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FOR THE QUARTERLY PERIOD ENDED March 31, 2018</w:t>
      </w:r>
    </w:p>
    <w:p>
      <w:pPr>
        <w:spacing w:after="0" w:line="16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4"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COMMISSION FILE NUMBER: 814-00852</w:t>
      </w:r>
    </w:p>
    <w:p>
      <w:pPr>
        <w:spacing w:after="0" w:line="11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GSV Capital Corp.</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ectPr>
          <w:pgSz w:w="11900" w:h="16838" w:orient="portrait"/>
          <w:cols w:equalWidth="0" w:num="1">
            <w:col w:w="11240"/>
          </w:cols>
          <w:pgMar w:left="240" w:top="229" w:right="419" w:bottom="1440" w:gutter="0" w:footer="0" w:header="0"/>
        </w:sectPr>
      </w:pPr>
    </w:p>
    <w:p>
      <w:pPr>
        <w:spacing w:after="0" w:line="16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27-4443543</w:t>
      </w:r>
    </w:p>
    <w:p>
      <w:pPr>
        <w:spacing w:after="0" w:line="90" w:lineRule="exact"/>
        <w:rPr>
          <w:sz w:val="24"/>
          <w:szCs w:val="24"/>
          <w:color w:val="auto"/>
        </w:rPr>
      </w:pPr>
    </w:p>
    <w:p>
      <w:pPr>
        <w:sectPr>
          <w:pgSz w:w="11900" w:h="16838" w:orient="portrait"/>
          <w:cols w:equalWidth="0" w:num="2">
            <w:col w:w="7460" w:space="720"/>
            <w:col w:w="3060"/>
          </w:cols>
          <w:pgMar w:left="240" w:top="229" w:right="419" w:bottom="1440" w:gutter="0" w:footer="0" w:header="0"/>
          <w:type w:val="continuous"/>
        </w:sectPr>
      </w:pPr>
    </w:p>
    <w:p>
      <w:pPr>
        <w:ind w:left="2180"/>
        <w:spacing w:after="0"/>
        <w:rPr>
          <w:sz w:val="20"/>
          <w:szCs w:val="20"/>
          <w:color w:val="auto"/>
        </w:rPr>
      </w:pPr>
      <w:r>
        <w:rPr>
          <w:rFonts w:ascii="Arial" w:cs="Arial" w:eastAsia="Arial" w:hAnsi="Arial"/>
          <w:sz w:val="13"/>
          <w:szCs w:val="13"/>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58" w:lineRule="exact"/>
        <w:rPr>
          <w:sz w:val="24"/>
          <w:szCs w:val="24"/>
          <w:color w:val="auto"/>
        </w:rPr>
      </w:pPr>
    </w:p>
    <w:p>
      <w:pPr>
        <w:sectPr>
          <w:pgSz w:w="11900" w:h="16838" w:orient="portrait"/>
          <w:cols w:equalWidth="0" w:num="2">
            <w:col w:w="6800" w:space="720"/>
            <w:col w:w="3720"/>
          </w:cols>
          <w:pgMar w:left="240" w:top="229" w:right="419" w:bottom="1440" w:gutter="0" w:footer="0" w:header="0"/>
          <w:type w:val="continuous"/>
        </w:sectPr>
      </w:pPr>
    </w:p>
    <w:p>
      <w:pPr>
        <w:ind w:left="1620"/>
        <w:spacing w:after="0"/>
        <w:rPr>
          <w:sz w:val="20"/>
          <w:szCs w:val="20"/>
          <w:color w:val="auto"/>
        </w:rPr>
      </w:pPr>
      <w:r>
        <w:rPr>
          <w:rFonts w:ascii="Arial" w:cs="Arial" w:eastAsia="Arial" w:hAnsi="Arial"/>
          <w:sz w:val="14"/>
          <w:szCs w:val="14"/>
          <w:b w:val="1"/>
          <w:bCs w:val="1"/>
          <w:color w:val="auto"/>
        </w:rPr>
        <w:t>2925 Woodside Road Woodside,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94062</w:t>
      </w:r>
    </w:p>
    <w:p>
      <w:pPr>
        <w:spacing w:after="0" w:line="79" w:lineRule="exact"/>
        <w:rPr>
          <w:sz w:val="24"/>
          <w:szCs w:val="24"/>
          <w:color w:val="auto"/>
        </w:rPr>
      </w:pPr>
    </w:p>
    <w:p>
      <w:pPr>
        <w:sectPr>
          <w:pgSz w:w="11900" w:h="16838" w:orient="portrait"/>
          <w:cols w:equalWidth="0" w:num="2">
            <w:col w:w="7640" w:space="720"/>
            <w:col w:w="2880"/>
          </w:cols>
          <w:pgMar w:left="240" w:top="229" w:right="419" w:bottom="1440" w:gutter="0" w:footer="0" w:header="0"/>
          <w:type w:val="continuous"/>
        </w:sectPr>
      </w:pPr>
    </w:p>
    <w:p>
      <w:pPr>
        <w:ind w:left="17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75" w:lineRule="exact"/>
        <w:rPr>
          <w:sz w:val="24"/>
          <w:szCs w:val="24"/>
          <w:color w:val="auto"/>
        </w:rPr>
      </w:pPr>
    </w:p>
    <w:p>
      <w:pPr>
        <w:sectPr>
          <w:pgSz w:w="11900" w:h="16838" w:orient="portrait"/>
          <w:cols w:equalWidth="0" w:num="2">
            <w:col w:w="7540" w:space="720"/>
            <w:col w:w="2980"/>
          </w:cols>
          <w:pgMar w:left="240" w:top="229" w:right="41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(650) 235-4769</w:t>
      </w:r>
    </w:p>
    <w:p>
      <w:pPr>
        <w:spacing w:after="0" w:line="6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240" w:top="229" w:right="419" w:bottom="1440" w:gutter="0" w:footer="0" w:header="0"/>
          <w:type w:val="continuous"/>
        </w:sectPr>
      </w:pPr>
    </w:p>
    <w:p>
      <w:pPr>
        <w:spacing w:after="0" w:line="266" w:lineRule="exact"/>
        <w:rPr>
          <w:sz w:val="24"/>
          <w:szCs w:val="24"/>
          <w:color w:val="auto"/>
        </w:rPr>
      </w:pPr>
    </w:p>
    <w:p>
      <w:pPr>
        <w:ind w:right="40" w:firstLine="351"/>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56" w:lineRule="exact"/>
        <w:rPr>
          <w:sz w:val="24"/>
          <w:szCs w:val="24"/>
          <w:color w:val="auto"/>
        </w:rPr>
      </w:pPr>
    </w:p>
    <w:p>
      <w:pPr>
        <w:jc w:val="center"/>
        <w:ind w:right="120"/>
        <w:spacing w:after="0"/>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w:t>
      </w:r>
    </w:p>
    <w:p>
      <w:pPr>
        <w:spacing w:after="0" w:line="31" w:lineRule="exact"/>
        <w:rPr>
          <w:sz w:val="24"/>
          <w:szCs w:val="24"/>
          <w:color w:val="auto"/>
        </w:rPr>
      </w:pPr>
    </w:p>
    <w:p>
      <w:pPr>
        <w:ind w:right="120"/>
        <w:spacing w:after="0" w:line="200" w:lineRule="exact"/>
        <w:rPr>
          <w:sz w:val="20"/>
          <w:szCs w:val="20"/>
          <w:color w:val="auto"/>
        </w:rPr>
      </w:pPr>
      <w:r>
        <w:rPr>
          <w:rFonts w:ascii="Arial" w:cs="Arial" w:eastAsia="Arial" w:hAnsi="Arial"/>
          <w:sz w:val="16"/>
          <w:szCs w:val="16"/>
          <w:color w:val="auto"/>
        </w:rPr>
        <w:t xml:space="preserve">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firstLine="351"/>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240" w:top="229" w:right="419" w:bottom="1440" w:gutter="0" w:footer="0" w:header="0"/>
          <w:type w:val="continuous"/>
        </w:sectPr>
      </w:pPr>
    </w:p>
    <w:p>
      <w:pPr>
        <w:spacing w:after="0" w:line="99"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54" w:lineRule="exact"/>
        <w:rPr>
          <w:sz w:val="24"/>
          <w:szCs w:val="24"/>
          <w:color w:val="auto"/>
        </w:rPr>
      </w:pPr>
    </w:p>
    <w:p>
      <w:pPr>
        <w:sectPr>
          <w:pgSz w:w="11900" w:h="16838" w:orient="portrait"/>
          <w:cols w:equalWidth="0" w:num="2">
            <w:col w:w="6180" w:space="720"/>
            <w:col w:w="4340"/>
          </w:cols>
          <w:pgMar w:left="240" w:top="229" w:right="419" w:bottom="1440" w:gutter="0" w:footer="0" w:header="0"/>
          <w:type w:val="continuous"/>
        </w:sectPr>
      </w:pPr>
    </w:p>
    <w:p>
      <w:pPr>
        <w:ind w:left="3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5" w:lineRule="exact"/>
        <w:rPr>
          <w:sz w:val="24"/>
          <w:szCs w:val="24"/>
          <w:color w:val="auto"/>
        </w:rPr>
      </w:pPr>
    </w:p>
    <w:p>
      <w:pPr>
        <w:sectPr>
          <w:pgSz w:w="11900" w:h="16838" w:orient="portrait"/>
          <w:cols w:equalWidth="0" w:num="3">
            <w:col w:w="1920" w:space="40"/>
            <w:col w:w="4220" w:space="720"/>
            <w:col w:w="4340"/>
          </w:cols>
          <w:pgMar w:left="240" w:top="229" w:right="419" w:bottom="1440" w:gutter="0" w:footer="0" w:header="0"/>
          <w:type w:val="continuous"/>
        </w:sectPr>
      </w:pPr>
    </w:p>
    <w:p>
      <w:pPr>
        <w:ind w:left="3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240" w:top="229" w:right="419" w:bottom="1440" w:gutter="0" w:footer="0" w:header="0"/>
          <w:type w:val="continuous"/>
        </w:sectPr>
      </w:pPr>
    </w:p>
    <w:p>
      <w:pPr>
        <w:spacing w:after="0" w:line="99" w:lineRule="exact"/>
        <w:rPr>
          <w:sz w:val="24"/>
          <w:szCs w:val="24"/>
          <w:color w:val="auto"/>
        </w:rPr>
      </w:pPr>
    </w:p>
    <w:p>
      <w:pPr>
        <w:ind w:right="220" w:firstLine="351"/>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issuer had 21,066,538 shares of common stock, $0.01 par value per share, outstanding as of May 10,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29" w:right="419" w:bottom="1440" w:gutter="0" w:footer="0" w:header="0"/>
          <w:type w:val="continuous"/>
        </w:sectPr>
      </w:pPr>
    </w:p>
    <w:bookmarkStart w:id="1" w:name="page2"/>
    <w:bookmarkEnd w:id="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250"/>
        </w:trPr>
        <w:tc>
          <w:tcPr>
            <w:tcW w:w="10740" w:type="dxa"/>
            <w:vAlign w:val="bottom"/>
            <w:tcBorders>
              <w:bottom w:val="single" w:sz="8" w:color="CCEEFF"/>
            </w:tcBorders>
            <w:gridSpan w:val="22"/>
            <w:shd w:val="clear" w:color="auto" w:fill="CCEEFF"/>
          </w:tcPr>
          <w:p>
            <w:pPr>
              <w:ind w:lef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 xml:space="preserve">PART I. </w:t>
              </w:r>
            </w:hyperlink>
            <w:r>
              <w:rPr>
                <w:rFonts w:ascii="Arial" w:cs="Arial" w:eastAsia="Arial" w:hAnsi="Arial"/>
                <w:sz w:val="18"/>
                <w:szCs w:val="18"/>
                <w:b w:val="1"/>
                <w:bCs w:val="1"/>
                <w:color w:val="auto"/>
              </w:rPr>
              <w:t>FINANCIAL INFORMATION</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560" w:type="dxa"/>
            <w:vAlign w:val="bottom"/>
            <w:gridSpan w:val="17"/>
            <w:shd w:val="clear" w:color="auto" w:fill="CCEEFF"/>
          </w:tcPr>
          <w:p>
            <w:pPr>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Assets and Liabilities as of March 31, 2018 (Unaudited) and December 31, 2017</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3"/>
        </w:trPr>
        <w:tc>
          <w:tcPr>
            <w:tcW w:w="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680" w:type="dxa"/>
            <w:vAlign w:val="bottom"/>
            <w:tcBorders>
              <w:top w:val="single" w:sz="8" w:color="0000EE"/>
            </w:tcBorders>
            <w:gridSpan w:val="15"/>
          </w:tcPr>
          <w:p>
            <w:pPr>
              <w:spacing w:after="0" w:line="202"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for the Three Months Ended March 31, 2018 and 2017 (Unaudited)</w:t>
              </w:r>
            </w:hyperlink>
          </w:p>
        </w:tc>
        <w:tc>
          <w:tcPr>
            <w:tcW w:w="880" w:type="dxa"/>
            <w:vAlign w:val="bottom"/>
            <w:tcBorders>
              <w:top w:val="single" w:sz="8" w:color="CCEEFF"/>
            </w:tcBorders>
            <w:gridSpan w:val="2"/>
          </w:tcPr>
          <w:p>
            <w:pPr>
              <w:spacing w:after="0"/>
              <w:rPr>
                <w:sz w:val="17"/>
                <w:szCs w:val="17"/>
                <w:color w:val="auto"/>
              </w:rPr>
            </w:pPr>
          </w:p>
        </w:tc>
        <w:tc>
          <w:tcPr>
            <w:tcW w:w="5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Net Assets for the Three Months Ended March 31, 2018 and 2017 (Unaudited)</w:t>
              </w:r>
            </w:hyperlink>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60" w:type="dxa"/>
            <w:vAlign w:val="bottom"/>
            <w:gridSpan w:val="17"/>
          </w:tcPr>
          <w:p>
            <w:pPr>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for the Three Months Ended March 31, 2018 and 2017 (Unaudited)</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560" w:type="dxa"/>
            <w:vAlign w:val="bottom"/>
            <w:gridSpan w:val="17"/>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Condensed Consolidated Schedule of Investments as of March 31, 2018 (Unaudited)</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3"/>
        </w:trPr>
        <w:tc>
          <w:tcPr>
            <w:tcW w:w="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100" w:type="dxa"/>
            <w:vAlign w:val="bottom"/>
            <w:tcBorders>
              <w:top w:val="single" w:sz="8" w:color="0000EE"/>
            </w:tcBorders>
            <w:gridSpan w:val="10"/>
          </w:tcPr>
          <w:p>
            <w:pPr>
              <w:spacing w:after="0" w:line="202" w:lineRule="exact"/>
              <w:rPr>
                <w:sz w:val="20"/>
                <w:szCs w:val="20"/>
                <w:color w:val="auto"/>
              </w:rPr>
            </w:pPr>
            <w:r>
              <w:rPr>
                <w:rFonts w:ascii="Arial" w:cs="Arial" w:eastAsia="Arial" w:hAnsi="Arial"/>
                <w:sz w:val="18"/>
                <w:szCs w:val="18"/>
                <w:color w:val="0000EE"/>
                <w:w w:val="99"/>
              </w:rPr>
              <w:t>Condensed Consolidated Schedule of Investments as of December 31, 2017</w:t>
            </w:r>
          </w:p>
        </w:tc>
        <w:tc>
          <w:tcPr>
            <w:tcW w:w="3460" w:type="dxa"/>
            <w:vAlign w:val="bottom"/>
            <w:tcBorders>
              <w:top w:val="single" w:sz="8" w:color="CCEEFF"/>
            </w:tcBorders>
            <w:gridSpan w:val="7"/>
          </w:tcPr>
          <w:p>
            <w:pPr>
              <w:spacing w:after="0"/>
              <w:rPr>
                <w:sz w:val="17"/>
                <w:szCs w:val="17"/>
                <w:color w:val="auto"/>
              </w:rPr>
            </w:pPr>
          </w:p>
        </w:tc>
        <w:tc>
          <w:tcPr>
            <w:tcW w:w="5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500" w:type="dxa"/>
            <w:vAlign w:val="bottom"/>
            <w:gridSpan w:val="12"/>
            <w:shd w:val="clear" w:color="auto" w:fill="CCEEFF"/>
          </w:tcPr>
          <w:p>
            <w:pPr>
              <w:spacing w:after="0" w:line="20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Notes to Condensed Consolidated Financial Statements as of March 31, 2018 (Unaudited)</w:t>
              </w:r>
            </w:hyperlink>
          </w:p>
        </w:tc>
        <w:tc>
          <w:tcPr>
            <w:tcW w:w="3060" w:type="dxa"/>
            <w:vAlign w:val="bottom"/>
            <w:gridSpan w:val="5"/>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2.</w:t>
              </w:r>
            </w:hyperlink>
          </w:p>
        </w:tc>
        <w:tc>
          <w:tcPr>
            <w:tcW w:w="6500" w:type="dxa"/>
            <w:vAlign w:val="bottom"/>
            <w:gridSpan w:val="12"/>
          </w:tcPr>
          <w:p>
            <w:pPr>
              <w:spacing w:after="0" w:line="202"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Management’s Discussion and Analysis of Financial Condition and Results of Operations</w:t>
              </w:r>
            </w:hyperlink>
          </w:p>
        </w:tc>
        <w:tc>
          <w:tcPr>
            <w:tcW w:w="3060" w:type="dxa"/>
            <w:vAlign w:val="bottom"/>
            <w:gridSpan w:val="5"/>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3.</w:t>
              </w:r>
            </w:hyperlink>
          </w:p>
        </w:tc>
        <w:tc>
          <w:tcPr>
            <w:tcW w:w="9560" w:type="dxa"/>
            <w:vAlign w:val="bottom"/>
            <w:gridSpan w:val="17"/>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4.</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740" w:type="dxa"/>
            <w:vAlign w:val="bottom"/>
            <w:tcBorders>
              <w:bottom w:val="single" w:sz="8" w:color="CCEEFF"/>
            </w:tcBorders>
            <w:gridSpan w:val="22"/>
            <w:shd w:val="clear" w:color="auto" w:fill="CCEEFF"/>
          </w:tcPr>
          <w:p>
            <w:pPr>
              <w:ind w:left="40"/>
              <w:spacing w:after="0"/>
              <w:rPr>
                <w:rFonts w:ascii="Arial" w:cs="Arial" w:eastAsia="Arial" w:hAnsi="Arial"/>
                <w:sz w:val="18"/>
                <w:szCs w:val="18"/>
                <w:b w:val="1"/>
                <w:bCs w:val="1"/>
                <w:color w:val="auto"/>
              </w:rPr>
            </w:pPr>
            <w:hyperlink w:anchor="page64">
              <w:r>
                <w:rPr>
                  <w:rFonts w:ascii="Arial" w:cs="Arial" w:eastAsia="Arial" w:hAnsi="Arial"/>
                  <w:sz w:val="18"/>
                  <w:szCs w:val="18"/>
                  <w:b w:val="1"/>
                  <w:bCs w:val="1"/>
                  <w:color w:val="auto"/>
                </w:rPr>
                <w:t xml:space="preserve">PART II. </w:t>
              </w:r>
            </w:hyperlink>
            <w:r>
              <w:rPr>
                <w:rFonts w:ascii="Arial" w:cs="Arial" w:eastAsia="Arial" w:hAnsi="Arial"/>
                <w:sz w:val="18"/>
                <w:szCs w:val="18"/>
                <w:b w:val="1"/>
                <w:bCs w:val="1"/>
                <w:color w:val="auto"/>
              </w:rPr>
              <w:t>OTHER INFORMATION</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1.</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1A.</w:t>
              </w:r>
            </w:hyperlink>
          </w:p>
        </w:tc>
        <w:tc>
          <w:tcPr>
            <w:tcW w:w="9560" w:type="dxa"/>
            <w:vAlign w:val="bottom"/>
            <w:gridSpan w:val="17"/>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2.</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3.</w:t>
              </w:r>
            </w:hyperlink>
          </w:p>
        </w:tc>
        <w:tc>
          <w:tcPr>
            <w:tcW w:w="9560" w:type="dxa"/>
            <w:vAlign w:val="bottom"/>
            <w:gridSpan w:val="17"/>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Defaults Upon Senior Securities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4.</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5.</w:t>
              </w:r>
            </w:hyperlink>
          </w:p>
        </w:tc>
        <w:tc>
          <w:tcPr>
            <w:tcW w:w="9560" w:type="dxa"/>
            <w:vAlign w:val="bottom"/>
            <w:gridSpan w:val="17"/>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6.</w:t>
              </w:r>
            </w:hyperlink>
          </w:p>
        </w:tc>
        <w:tc>
          <w:tcPr>
            <w:tcW w:w="9560" w:type="dxa"/>
            <w:vAlign w:val="bottom"/>
            <w:gridSpan w:val="17"/>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Exhibits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-3609975</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ASSETS AND LIABILITIES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Investments at fair value:</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Non-controlled/non-affiliate investments (cost of $121,367,679 and $137,526,726, respectively)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173,595,462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179,908,234</w:t>
            </w:r>
          </w:p>
        </w:tc>
        <w:tc>
          <w:tcPr>
            <w:tcW w:w="0" w:type="dxa"/>
            <w:vAlign w:val="bottom"/>
          </w:tcPr>
          <w:p>
            <w:pPr>
              <w:spacing w:after="0"/>
              <w:rPr>
                <w:sz w:val="1"/>
                <w:szCs w:val="1"/>
                <w:color w:val="auto"/>
              </w:rPr>
            </w:pPr>
          </w:p>
        </w:tc>
      </w:tr>
      <w:tr>
        <w:trPr>
          <w:trHeight w:val="237"/>
        </w:trPr>
        <w:tc>
          <w:tcPr>
            <w:tcW w:w="8120" w:type="dxa"/>
            <w:vAlign w:val="bottom"/>
          </w:tcPr>
          <w:p>
            <w:pPr>
              <w:ind w:left="220"/>
              <w:spacing w:after="0"/>
              <w:rPr>
                <w:sz w:val="20"/>
                <w:szCs w:val="20"/>
                <w:color w:val="auto"/>
              </w:rPr>
            </w:pPr>
            <w:r>
              <w:rPr>
                <w:rFonts w:ascii="Arial" w:cs="Arial" w:eastAsia="Arial" w:hAnsi="Arial"/>
                <w:sz w:val="16"/>
                <w:szCs w:val="16"/>
                <w:color w:val="auto"/>
              </w:rPr>
              <w:t>Non-controlled/affiliate investments (cost of $42,197,673 and $41,886,312, respectively)</w:t>
            </w:r>
          </w:p>
        </w:tc>
        <w:tc>
          <w:tcPr>
            <w:tcW w:w="26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9,108,129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16,473,098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Controlled investments (cost of $22,568,505 and $23,161,314,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29,569,412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24,207,161</w:t>
            </w:r>
          </w:p>
        </w:tc>
        <w:tc>
          <w:tcPr>
            <w:tcW w:w="0" w:type="dxa"/>
            <w:vAlign w:val="bottom"/>
          </w:tcPr>
          <w:p>
            <w:pPr>
              <w:spacing w:after="0"/>
              <w:rPr>
                <w:sz w:val="1"/>
                <w:szCs w:val="1"/>
                <w:color w:val="auto"/>
              </w:rPr>
            </w:pPr>
          </w:p>
        </w:tc>
      </w:tr>
      <w:tr>
        <w:trPr>
          <w:trHeight w:val="217"/>
        </w:trPr>
        <w:tc>
          <w:tcPr>
            <w:tcW w:w="8120" w:type="dxa"/>
            <w:vAlign w:val="bottom"/>
          </w:tcPr>
          <w:p>
            <w:pPr>
              <w:ind w:left="340"/>
              <w:spacing w:after="0"/>
              <w:rPr>
                <w:sz w:val="20"/>
                <w:szCs w:val="20"/>
                <w:color w:val="auto"/>
              </w:rPr>
            </w:pPr>
            <w:r>
              <w:rPr>
                <w:rFonts w:ascii="Arial" w:cs="Arial" w:eastAsia="Arial" w:hAnsi="Arial"/>
                <w:sz w:val="16"/>
                <w:szCs w:val="16"/>
                <w:color w:val="auto"/>
              </w:rPr>
              <w:t>Total Portfolio Investments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212,273,003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220,588,493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Investments in U.S. Treasury bills (cost of $99,970,444 and $99,985,833,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99,987,000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99,994,000</w:t>
            </w:r>
          </w:p>
        </w:tc>
        <w:tc>
          <w:tcPr>
            <w:tcW w:w="0" w:type="dxa"/>
            <w:vAlign w:val="bottom"/>
          </w:tcPr>
          <w:p>
            <w:pPr>
              <w:spacing w:after="0"/>
              <w:rPr>
                <w:sz w:val="1"/>
                <w:szCs w:val="1"/>
                <w:color w:val="auto"/>
              </w:rPr>
            </w:pP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Investments (cost of $286,104,301 and $302,560,185, respectively)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312,260,003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320,582,493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90,319,558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59,838,600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Due from controlled investments</w:t>
            </w:r>
          </w:p>
        </w:tc>
        <w:tc>
          <w:tcPr>
            <w:tcW w:w="26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Escrow proceeds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603,456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Interest and dividends receivable</w:t>
            </w:r>
          </w:p>
        </w:tc>
        <w:tc>
          <w:tcPr>
            <w:tcW w:w="26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67,042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35,141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159,272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208,983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financing costs</w:t>
            </w:r>
          </w:p>
        </w:tc>
        <w:tc>
          <w:tcPr>
            <w:tcW w:w="26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31,163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413,023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403,045,485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381,682,536</w:t>
            </w:r>
          </w:p>
        </w:tc>
        <w:tc>
          <w:tcPr>
            <w:tcW w:w="0" w:type="dxa"/>
            <w:vAlign w:val="bottom"/>
          </w:tcPr>
          <w:p>
            <w:pPr>
              <w:spacing w:after="0"/>
              <w:rPr>
                <w:sz w:val="1"/>
                <w:szCs w:val="1"/>
                <w:color w:val="auto"/>
              </w:rPr>
            </w:pPr>
          </w:p>
        </w:tc>
      </w:tr>
      <w:tr>
        <w:trPr>
          <w:trHeight w:val="217"/>
        </w:trPr>
        <w:tc>
          <w:tcPr>
            <w:tcW w:w="812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to GSV Asset Management</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471,390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231,697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788,154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458,203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incentive fees, net of waiver of incentive fees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5,749,419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9,278,085</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Accrued management fees, net of waiver of management fees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374,730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424,447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125,169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1,056,563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Payable for securities purchased</w:t>
            </w:r>
          </w:p>
        </w:tc>
        <w:tc>
          <w:tcPr>
            <w:tcW w:w="26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89,470,432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89,485,825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465,775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26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7,258,786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7,602,301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5.25% Convertible Senior Notes due September 15, 2018</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49,690,992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68,382,549</w:t>
            </w: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4.75% Convertible Senior Notes due March 28, 2023</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38,162,904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192,557,751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176,919,670</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 (Notes 7 and 10)</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210,487,734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204,762,866</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NET ASSETS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Common stock, par value $0.01 per share (100,000,000 authorized; 21,066,538 and 21,246,345 issued and outstanding,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210,665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212,463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Paid-in capital in excess of par</w:t>
            </w:r>
          </w:p>
        </w:tc>
        <w:tc>
          <w:tcPr>
            <w:tcW w:w="26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201,344,382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202,584,012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net investment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(8,586,244)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(8,593,717)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net realized gains/(losses) on investments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(1,034,471)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140,100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net unrealized appreciation of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18,553,402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10,420,008</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Net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210,487,734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204,762,866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Net Asset Value Per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-4116070</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-5487670</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-6517005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balance references a related-party transaction. Refer to “Note 3—Related-Party Arrangements” for more detail.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of March 31, 2018 and December 31, 2017, the 5.25% Convertible Senior Notes due September 15, 2018 had a face value of $49,982,000 and</w:t>
      </w:r>
    </w:p>
    <w:p>
      <w:pPr>
        <w:spacing w:after="0" w:line="20" w:lineRule="exact"/>
        <w:rPr>
          <w:rFonts w:ascii="Arial" w:cs="Arial" w:eastAsia="Arial" w:hAnsi="Arial"/>
          <w:sz w:val="17"/>
          <w:szCs w:val="17"/>
          <w:color w:val="auto"/>
        </w:rPr>
      </w:pPr>
    </w:p>
    <w:p>
      <w:pPr>
        <w:ind w:left="340" w:right="200"/>
        <w:spacing w:after="0" w:line="290" w:lineRule="auto"/>
        <w:rPr>
          <w:rFonts w:ascii="Arial" w:cs="Arial" w:eastAsia="Arial" w:hAnsi="Arial"/>
          <w:sz w:val="17"/>
          <w:szCs w:val="17"/>
          <w:color w:val="auto"/>
        </w:rPr>
      </w:pPr>
      <w:r>
        <w:rPr>
          <w:rFonts w:ascii="Arial" w:cs="Arial" w:eastAsia="Arial" w:hAnsi="Arial"/>
          <w:sz w:val="17"/>
          <w:szCs w:val="17"/>
          <w:color w:val="auto"/>
        </w:rPr>
        <w:t>$69,000,000, respectively. As of March 31, 2018 and December 31, 2017, the 4.75% Convertible Senior Notes due March 28, 2023 had a face value of $40,000,000 and $0, respectively. Refer to “Note 10—Debt Capital Activities” for a reconciliation of the carrying value to the face value.</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0000EE"/>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540" w:type="dxa"/>
            <w:vAlign w:val="bottom"/>
          </w:tcPr>
          <w:p>
            <w:pPr>
              <w:jc w:val="right"/>
              <w:ind w:right="1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2018</w:t>
            </w:r>
          </w:p>
        </w:tc>
        <w:tc>
          <w:tcPr>
            <w:tcW w:w="140" w:type="dxa"/>
            <w:vAlign w:val="bottom"/>
          </w:tcPr>
          <w:p>
            <w:pPr>
              <w:spacing w:after="0"/>
              <w:rPr>
                <w:sz w:val="16"/>
                <w:szCs w:val="16"/>
                <w:color w:val="auto"/>
              </w:rPr>
            </w:pPr>
          </w:p>
        </w:tc>
        <w:tc>
          <w:tcPr>
            <w:tcW w:w="1540" w:type="dxa"/>
            <w:vAlign w:val="bottom"/>
          </w:tcPr>
          <w:p>
            <w:pPr>
              <w:jc w:val="right"/>
              <w:ind w:right="28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36"/>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INVESTMENT INCOME</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Non-controlled/non-affiliate investments:</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8,373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Non-controlled/affiliate investments:</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234,082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95,677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59,409</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Dividend income</w:t>
            </w:r>
          </w:p>
        </w:tc>
        <w:tc>
          <w:tcPr>
            <w:tcW w:w="14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175,000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Total Investment Income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338,459</w:t>
            </w:r>
          </w:p>
        </w:tc>
        <w:tc>
          <w:tcPr>
            <w:tcW w:w="0" w:type="dxa"/>
            <w:vAlign w:val="bottom"/>
          </w:tcPr>
          <w:p>
            <w:pPr>
              <w:spacing w:after="0"/>
              <w:rPr>
                <w:sz w:val="1"/>
                <w:szCs w:val="1"/>
                <w:color w:val="auto"/>
              </w:rPr>
            </w:pPr>
          </w:p>
        </w:tc>
      </w:tr>
      <w:tr>
        <w:trPr>
          <w:trHeight w:val="217"/>
        </w:trPr>
        <w:tc>
          <w:tcPr>
            <w:tcW w:w="790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Management fees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1,323,576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1,454,421</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Incentive fees</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1,471,334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1,717,308</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Costs incurred under Administration Agreement</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424,145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531,484</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Directors’ fees</w:t>
            </w:r>
          </w:p>
        </w:tc>
        <w:tc>
          <w:tcPr>
            <w:tcW w:w="14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86,250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82,917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339,898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262,190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1,140,063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1,126,773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expenses</w:t>
            </w:r>
          </w:p>
        </w:tc>
        <w:tc>
          <w:tcPr>
            <w:tcW w:w="14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489,270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152,581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5,396,806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5,328,474</w:t>
            </w:r>
          </w:p>
        </w:tc>
        <w:tc>
          <w:tcPr>
            <w:tcW w:w="0" w:type="dxa"/>
            <w:vAlign w:val="bottom"/>
          </w:tcPr>
          <w:p>
            <w:pPr>
              <w:spacing w:after="0"/>
              <w:rPr>
                <w:sz w:val="1"/>
                <w:szCs w:val="1"/>
                <w:color w:val="auto"/>
              </w:rPr>
            </w:pPr>
          </w:p>
        </w:tc>
      </w:tr>
      <w:tr>
        <w:trPr>
          <w:trHeight w:val="270"/>
        </w:trPr>
        <w:tc>
          <w:tcPr>
            <w:tcW w:w="7900" w:type="dxa"/>
            <w:vAlign w:val="bottom"/>
          </w:tcPr>
          <w:p>
            <w:pPr>
              <w:ind w:left="220"/>
              <w:spacing w:after="0"/>
              <w:rPr>
                <w:sz w:val="20"/>
                <w:szCs w:val="20"/>
                <w:color w:val="auto"/>
              </w:rPr>
            </w:pPr>
            <w:r>
              <w:rPr>
                <w:rFonts w:ascii="Arial" w:cs="Arial" w:eastAsia="Arial" w:hAnsi="Arial"/>
                <w:sz w:val="16"/>
                <w:szCs w:val="16"/>
                <w:color w:val="auto"/>
              </w:rPr>
              <w:t>Management fee waiver</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(154,944)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(181,803)</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Incentive fee waiver</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(5,000,000)</w:t>
            </w: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7900" w:type="dxa"/>
            <w:vAlign w:val="bottom"/>
          </w:tcPr>
          <w:p>
            <w:pPr>
              <w:ind w:left="180"/>
              <w:spacing w:after="0"/>
              <w:rPr>
                <w:sz w:val="20"/>
                <w:szCs w:val="20"/>
                <w:color w:val="auto"/>
              </w:rPr>
            </w:pPr>
            <w:r>
              <w:rPr>
                <w:rFonts w:ascii="Arial" w:cs="Arial" w:eastAsia="Arial" w:hAnsi="Arial"/>
                <w:sz w:val="16"/>
                <w:szCs w:val="16"/>
                <w:color w:val="auto"/>
              </w:rPr>
              <w:t>Total operating expenses, net of waiver of management and incentive fees</w:t>
            </w:r>
          </w:p>
        </w:tc>
        <w:tc>
          <w:tcPr>
            <w:tcW w:w="14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241,862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5,146,671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Investment Income/(Loss)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(4,808,212)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Realized Losses on Investments:</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Non-controlled/non-affiliated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(776,045)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(22,785,753)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(1,903,414)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Realized Losses on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(776,725)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(24,689,167)</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Realized loss on partial repurchase of 5.25% Convertible Senior Notes due 2018</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(397,846)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Unrealized Appreciation/(Depreciation) of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Non-controlled/non-affiliated investments</w:t>
            </w:r>
          </w:p>
        </w:tc>
        <w:tc>
          <w:tcPr>
            <w:tcW w:w="14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9,854,664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30,160,950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Non-controlled/affiliate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(7,676,330)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1,426,668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14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5,955,060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1,692,647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Unrealized Appreciation/(Depreciation) of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8,133,394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33,280,265</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6,966,296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3,782,886</w:t>
            </w:r>
          </w:p>
        </w:tc>
        <w:tc>
          <w:tcPr>
            <w:tcW w:w="0" w:type="dxa"/>
            <w:vAlign w:val="bottom"/>
          </w:tcPr>
          <w:p>
            <w:pPr>
              <w:spacing w:after="0"/>
              <w:rPr>
                <w:sz w:val="1"/>
                <w:szCs w:val="1"/>
                <w:color w:val="auto"/>
              </w:rPr>
            </w:pPr>
          </w:p>
        </w:tc>
      </w:tr>
      <w:tr>
        <w:trPr>
          <w:trHeight w:val="22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in Net Assets Resulting from Operations per Common Share:</w:t>
            </w:r>
          </w:p>
        </w:tc>
        <w:tc>
          <w:tcPr>
            <w:tcW w:w="1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21,150,662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22,181,003</w:t>
            </w:r>
          </w:p>
        </w:tc>
        <w:tc>
          <w:tcPr>
            <w:tcW w:w="0" w:type="dxa"/>
            <w:vAlign w:val="bottom"/>
          </w:tcPr>
          <w:p>
            <w:pPr>
              <w:spacing w:after="0"/>
              <w:rPr>
                <w:sz w:val="1"/>
                <w:szCs w:val="1"/>
                <w:color w:val="auto"/>
              </w:rPr>
            </w:pPr>
          </w:p>
        </w:tc>
      </w:tr>
      <w:tr>
        <w:trPr>
          <w:trHeight w:val="272"/>
        </w:trPr>
        <w:tc>
          <w:tcPr>
            <w:tcW w:w="7900" w:type="dxa"/>
            <w:vAlign w:val="bottom"/>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26,713,656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22,181,003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-5540375</wp:posOffset>
            </wp:positionV>
            <wp:extent cx="50082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08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-6912610</wp:posOffset>
            </wp:positionV>
            <wp:extent cx="50082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balance references a related-party transaction. Refer to “Note 3—Related-Party Arrangements” for more detail.</w:t>
      </w:r>
    </w:p>
    <w:p>
      <w:pPr>
        <w:spacing w:after="0" w:line="7" w:lineRule="exact"/>
        <w:rPr>
          <w:rFonts w:ascii="Arial" w:cs="Arial" w:eastAsia="Arial" w:hAnsi="Arial"/>
          <w:sz w:val="18"/>
          <w:szCs w:val="18"/>
          <w:color w:val="auto"/>
        </w:rPr>
      </w:pPr>
    </w:p>
    <w:p>
      <w:pPr>
        <w:jc w:val="both"/>
        <w:ind w:left="340" w:right="300" w:hanging="332"/>
        <w:spacing w:after="0" w:line="30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three months ended March 31, 2017, 5,751,815 potentially dilutive common shares were excluded from the weighted-average common shares outstanding for diluted net increase in net assets resulting from operations per common share because the effect of these shares would have been anti-dilutive. Refer to “Note 6—Net Increase in Net Assets Resulting from Operations per Common Share—Basic and Diluted” for further detail.</w:t>
      </w:r>
    </w:p>
    <w:p>
      <w:pPr>
        <w:sectPr>
          <w:pgSz w:w="11900" w:h="16838" w:orient="portrait"/>
          <w:cols w:equalWidth="0" w:num="1">
            <w:col w:w="11420"/>
          </w:cols>
          <w:pgMar w:left="240" w:top="122"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003366"/>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NET ASSETS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5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2018</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Net Assets Resulting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investment income/(loss)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7,473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(4,808,212)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losses on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(24,689,167)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Realized loss on partial repurchase of 5.25% Convertible Senior Notes due 2018</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(397,846)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appreciation of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8,133,394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33,280,265</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6,966,296</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3,782,886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Net Assets Resulting from Capital Transactions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(1,241,428)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Decrease in Net Assets Resulting from Capital Transactions</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(1,241,428)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b w:val="1"/>
                <w:bCs w:val="1"/>
                <w:color w:val="auto"/>
              </w:rPr>
              <w:t>Total Increase in Net Assets</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5,724,868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3,782,886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at beginning of year</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204,762,866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192,128,810</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Assets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210,487,734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195,911,696</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Share Activity</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Shares outstanding at beginning of year</w:t>
            </w:r>
          </w:p>
        </w:tc>
        <w:tc>
          <w:tcPr>
            <w:tcW w:w="14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21,246,345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22,181,003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Shares repurchased</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(179,807)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Shares Outstanding at End of Period</w:t>
            </w:r>
          </w:p>
        </w:tc>
        <w:tc>
          <w:tcPr>
            <w:tcW w:w="1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21,066,538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22,181,003</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-3163570</wp:posOffset>
            </wp:positionV>
            <wp:extent cx="50082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54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2018</w:t>
            </w:r>
          </w:p>
        </w:tc>
        <w:tc>
          <w:tcPr>
            <w:tcW w:w="140" w:type="dxa"/>
            <w:vAlign w:val="bottom"/>
          </w:tcPr>
          <w:p>
            <w:pPr>
              <w:spacing w:after="0"/>
              <w:rPr>
                <w:sz w:val="16"/>
                <w:szCs w:val="16"/>
                <w:color w:val="auto"/>
              </w:rPr>
            </w:pPr>
          </w:p>
        </w:tc>
        <w:tc>
          <w:tcPr>
            <w:tcW w:w="1540" w:type="dxa"/>
            <w:vAlign w:val="bottom"/>
          </w:tcPr>
          <w:p>
            <w:pPr>
              <w:jc w:val="right"/>
              <w:ind w:right="279"/>
              <w:spacing w:after="0"/>
              <w:rPr>
                <w:sz w:val="20"/>
                <w:szCs w:val="20"/>
                <w:color w:val="auto"/>
              </w:rPr>
            </w:pPr>
            <w:r>
              <w:rPr>
                <w:rFonts w:ascii="Arial" w:cs="Arial" w:eastAsia="Arial" w:hAnsi="Arial"/>
                <w:sz w:val="14"/>
                <w:szCs w:val="14"/>
                <w:b w:val="1"/>
                <w:bCs w:val="1"/>
                <w:color w:val="auto"/>
              </w:rPr>
              <w:t>March 31, 2017</w:t>
            </w:r>
          </w:p>
        </w:tc>
      </w:tr>
      <w:tr>
        <w:trPr>
          <w:trHeight w:val="236"/>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increase in net assets resulting from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6,966,296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3,782,886</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Adjustments to reconcile net increase in net assets resulting from operations to net cash provided by/(used in) operating</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1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Net realized losses on investments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776,725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24,689,167</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unrealized (appreciation)/depreciation of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(8,133,394)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(33,280,265)</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(343,515)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discount on 5.25% Convertible Senior Notes due 2018</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203,075</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Amortization of discount on 4.75% Convertible Senior Notes due 2023</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deferred financing costs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Write-off of deferred offering costs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325,248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fixed income security premiums and discounts</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(32,796)</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Paid-in-kind-interest</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(207,069)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(17,897)</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 in:</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Portfolio investments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(105,568)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Treasury bills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(99,970,444)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(59,996,000)</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Proceeds from sales or maturity of investments in:</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Portfolio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15,962,239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U.S. Treasury bills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100,000,000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30,000,000</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operating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Due from controlled investments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56,275</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Interest and dividends receivable</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(31,901)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(112,734)</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Escrow proceeds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900" w:type="dxa"/>
            <w:vAlign w:val="bottom"/>
          </w:tcPr>
          <w:p>
            <w:pPr>
              <w:ind w:left="180"/>
              <w:spacing w:after="0"/>
              <w:rPr>
                <w:sz w:val="20"/>
                <w:szCs w:val="20"/>
                <w:color w:val="auto"/>
              </w:rPr>
            </w:pPr>
            <w:r>
              <w:rPr>
                <w:rFonts w:ascii="Arial" w:cs="Arial" w:eastAsia="Arial" w:hAnsi="Arial"/>
                <w:sz w:val="16"/>
                <w:szCs w:val="16"/>
                <w:color w:val="auto"/>
              </w:rPr>
              <w:t>Due to GSV Asset Management</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239,693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(362,161)</w:t>
            </w: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Payable for securities purchased</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27,497,250</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329,951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(94,085)</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payable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465,775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900" w:type="dxa"/>
            <w:vAlign w:val="bottom"/>
          </w:tcPr>
          <w:p>
            <w:pPr>
              <w:ind w:left="180"/>
              <w:spacing w:after="0"/>
              <w:rPr>
                <w:sz w:val="20"/>
                <w:szCs w:val="20"/>
                <w:color w:val="auto"/>
              </w:rPr>
            </w:pPr>
            <w:r>
              <w:rPr>
                <w:rFonts w:ascii="Arial" w:cs="Arial" w:eastAsia="Arial" w:hAnsi="Arial"/>
                <w:sz w:val="16"/>
                <w:szCs w:val="16"/>
                <w:color w:val="auto"/>
              </w:rPr>
              <w:t>Accrued incentive fees</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(3,528,666)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1,717,308</w:t>
            </w:r>
          </w:p>
        </w:tc>
      </w:tr>
      <w:tr>
        <w:trPr>
          <w:trHeight w:val="27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management fees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(99,848)</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Accrued interest payable</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(931,394)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(905,627)</w:t>
            </w: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by/(Used in)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12,419,085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(6,955,732)</w:t>
            </w:r>
          </w:p>
        </w:tc>
      </w:tr>
      <w:tr>
        <w:trPr>
          <w:trHeight w:val="217"/>
        </w:trPr>
        <w:tc>
          <w:tcPr>
            <w:tcW w:w="790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the issuance of 4.75% Convertible Senior Notes due 2023</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debt issuance costs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(1,840,120)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Repurchase of 5.25% Convertible Senior Notes due 2018</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(19,290,565)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loss on partial repurchase of 5.25% Convertible Senior Notes due 2018</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397,846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offering costs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36,140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(18,357)</w:t>
            </w: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18,061,873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(18,357)</w:t>
            </w:r>
          </w:p>
        </w:tc>
      </w:tr>
      <w:tr>
        <w:trPr>
          <w:trHeight w:val="217"/>
        </w:trPr>
        <w:tc>
          <w:tcPr>
            <w:tcW w:w="790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Total Increase/(Decrease) in Cash Balance</w:t>
            </w: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30,480,958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(6,974,089)</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Balance at Beginning of Year</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59,838,600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8,332,634</w:t>
            </w:r>
          </w:p>
        </w:tc>
      </w:tr>
      <w:tr>
        <w:trPr>
          <w:trHeight w:val="217"/>
        </w:trPr>
        <w:tc>
          <w:tcPr>
            <w:tcW w:w="790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Cash Balance at End of Period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90,319,558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1,358,545</w:t>
            </w: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1,810,677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1,811,250</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Taxes paid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r>
      <w:tr>
        <w:trPr>
          <w:trHeight w:val="33"/>
        </w:trPr>
        <w:tc>
          <w:tcPr>
            <w:tcW w:w="7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50082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08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50082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08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-2572385</wp:posOffset>
            </wp:positionV>
            <wp:extent cx="50082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08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-7837805</wp:posOffset>
            </wp:positionV>
            <wp:extent cx="50082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03" w:lineRule="exact"/>
        <w:rPr>
          <w:sz w:val="20"/>
          <w:szCs w:val="20"/>
          <w:color w:val="auto"/>
        </w:rPr>
      </w:pPr>
    </w:p>
    <w:p>
      <w:pPr>
        <w:ind w:left="5660" w:right="2700" w:hanging="5652"/>
        <w:spacing w:after="0" w:line="559"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balance references a related-party transaction. Refer to “Note 3—Related-Party Arrangements” for more detail. 4</w:t>
      </w:r>
    </w:p>
    <w:p>
      <w:pPr>
        <w:sectPr>
          <w:pgSz w:w="11900" w:h="16838" w:orient="portrait"/>
          <w:cols w:equalWidth="0" w:num="1">
            <w:col w:w="11420"/>
          </w:cols>
          <w:pgMar w:left="240" w:top="121" w:right="239" w:bottom="747" w:gutter="0" w:footer="0" w:header="0"/>
        </w:sectPr>
      </w:pPr>
    </w:p>
    <w:bookmarkStart w:id="6" w:name="page7"/>
    <w:bookmarkEnd w:id="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17"/>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660" w:type="dxa"/>
            <w:vAlign w:val="bottom"/>
            <w:gridSpan w:val="17"/>
            <w:vMerge w:val="continue"/>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3660" w:type="dxa"/>
            <w:vAlign w:val="bottom"/>
            <w:tcBorders>
              <w:top w:val="single" w:sz="8" w:color="auto"/>
            </w:tcBorders>
            <w:gridSpan w:val="17"/>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3"/>
                <w:szCs w:val="23"/>
                <w:color w:val="auto"/>
              </w:rPr>
            </w:pPr>
          </w:p>
        </w:tc>
        <w:tc>
          <w:tcPr>
            <w:tcW w:w="2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Palo Alto,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Data Analysis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5,773,690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35,915,162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Stockholm, Sweden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(7)</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On-Demand Music Streaming</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235,360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10,002,084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31,067,520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Dropbox, Inc.</w:t>
            </w: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(3)(8)</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Cloud Computing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874,990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13,656,926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24,062,243</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2,961,399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14,519,519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18,360,674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Lyft,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Transportation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128,563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2,503,585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5,161,000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7"/>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176,266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1,792,749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7,075,977</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1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4,296,334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12,236,977</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29"/>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Redwood City,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11,153,341</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General Assembly Space,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C</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126,552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2,999,978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4,671,034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7"/>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133,213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2,999,983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4,916,892</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1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5,999,961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9,587,926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29"/>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Parchment,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Scottsdale, AZ</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E-Transcript Exchange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3,200,512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4,000,982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5,662,466</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Menlo Park,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On-Demand Commerce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4,000,280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4,000,000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7"/>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879,198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1,002,440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1,208,696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1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5,002,720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5,208,696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29"/>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A Place for Rover Inc. (f/k/a DogVacay,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Seattle, WA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Peer-to-Peer Pet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707,991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2,506,119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3,276,947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Knewton,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3,031,557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SugarCRM,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Cupertino,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Customer Relationship Manager</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373,134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1,500,522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1,807,328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7"/>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1,524,799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5,476,502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1,255,890</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1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6,977,024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3,063,218</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29"/>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DreamBox Learning,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Bellevue, WA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Education Technology</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7,159,221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1,502,362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1,510,500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7"/>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3,579,610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758,017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755,250</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1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2,260,379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2,265,750</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29"/>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Online Marketplace Finance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2,259,716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2,249,999</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7"/>
        </w:trPr>
        <w:tc>
          <w:tcPr>
            <w:tcW w:w="3660" w:type="dxa"/>
            <w:vAlign w:val="bottom"/>
            <w:gridSpan w:val="17"/>
          </w:tcPr>
          <w:p>
            <w:pPr>
              <w:ind w:left="40"/>
              <w:spacing w:after="0" w:line="157" w:lineRule="exact"/>
              <w:rPr>
                <w:sz w:val="20"/>
                <w:szCs w:val="20"/>
                <w:color w:val="auto"/>
              </w:rPr>
            </w:pPr>
            <w:r>
              <w:rPr>
                <w:rFonts w:ascii="Arial" w:cs="Arial" w:eastAsia="Arial" w:hAnsi="Arial"/>
                <w:sz w:val="14"/>
                <w:szCs w:val="14"/>
                <w:color w:val="auto"/>
              </w:rPr>
              <w:t>Common warrants, $0.13 Strike Price,</w:t>
            </w: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gridSpan w:val="17"/>
          </w:tcPr>
          <w:p>
            <w:pPr>
              <w:ind w:left="40"/>
              <w:spacing w:after="0"/>
              <w:rPr>
                <w:sz w:val="20"/>
                <w:szCs w:val="20"/>
                <w:color w:val="auto"/>
              </w:rPr>
            </w:pPr>
            <w:r>
              <w:rPr>
                <w:rFonts w:ascii="Arial" w:cs="Arial" w:eastAsia="Arial" w:hAnsi="Arial"/>
                <w:sz w:val="14"/>
                <w:szCs w:val="14"/>
                <w:color w:val="auto"/>
              </w:rPr>
              <w:t>Expiration Date 6/15/2018</w:t>
            </w:r>
          </w:p>
        </w:tc>
        <w:tc>
          <w:tcPr>
            <w:tcW w:w="120" w:type="dxa"/>
            <w:vAlign w:val="bottom"/>
            <w:tcBorders>
              <w:bottom w:val="single" w:sz="8" w:color="CCEEFF"/>
            </w:tcBorders>
          </w:tcPr>
          <w:p>
            <w:pPr>
              <w:spacing w:after="0"/>
              <w:rPr>
                <w:sz w:val="16"/>
                <w:szCs w:val="16"/>
                <w:color w:val="auto"/>
              </w:rPr>
            </w:pPr>
          </w:p>
        </w:tc>
        <w:tc>
          <w:tcPr>
            <w:tcW w:w="26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770,934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23,128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15,419</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1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2,282,844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2,265,418</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29"/>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Clever,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Education Software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1,799,047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2,000,601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2,000,001</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230"/>
        </w:trPr>
        <w:tc>
          <w:tcPr>
            <w:tcW w:w="3660" w:type="dxa"/>
            <w:vAlign w:val="bottom"/>
            <w:gridSpan w:val="17"/>
          </w:tcPr>
          <w:p>
            <w:pPr>
              <w:ind w:left="40"/>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Marina Del Rey,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gridSpan w:val="17"/>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Financial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540,270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1,001,815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1,866,061</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-899795</wp:posOffset>
            </wp:positionV>
            <wp:extent cx="48710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-2357755</wp:posOffset>
            </wp:positionV>
            <wp:extent cx="48710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-3747135</wp:posOffset>
            </wp:positionV>
            <wp:extent cx="48710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-4792980</wp:posOffset>
            </wp:positionV>
            <wp:extent cx="48710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-5839460</wp:posOffset>
            </wp:positionV>
            <wp:extent cx="48710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107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070" w:gutter="0" w:footer="0" w:header="0"/>
          <w:type w:val="continuous"/>
        </w:sectPr>
      </w:pPr>
    </w:p>
    <w:bookmarkStart w:id="7" w:name="page8"/>
    <w:bookmarkEnd w:id="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12"/>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gridSpan w:val="1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9"/>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b w:val="1"/>
                <w:bCs w:val="1"/>
                <w:color w:val="auto"/>
              </w:rPr>
              <w:t>Lytro, Inc.</w:t>
            </w:r>
            <w:r>
              <w:rPr>
                <w:rFonts w:ascii="Arial" w:cs="Arial" w:eastAsia="Arial" w:hAnsi="Arial"/>
                <w:sz w:val="8"/>
                <w:szCs w:val="8"/>
                <w:color w:val="auto"/>
              </w:rPr>
              <w:t>(12)</w:t>
            </w:r>
          </w:p>
        </w:tc>
        <w:tc>
          <w:tcPr>
            <w:tcW w:w="1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12"/>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tcPr>
          <w:p>
            <w:pPr>
              <w:spacing w:after="0"/>
              <w:rPr>
                <w:sz w:val="22"/>
                <w:szCs w:val="22"/>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Light Field Imaging Platform</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159,160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502,142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48,337</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70"/>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color w:val="auto"/>
              </w:rPr>
              <w:t>Preferred shares, Series C-1</w:t>
            </w:r>
          </w:p>
        </w:tc>
        <w:tc>
          <w:tcPr>
            <w:tcW w:w="12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3,378,379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10,001,216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966,741</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620" w:type="dxa"/>
            <w:vAlign w:val="bottom"/>
            <w:tcBorders>
              <w:bottom w:val="single" w:sz="8" w:color="CCEEFF"/>
            </w:tcBorders>
            <w:gridSpan w:val="11"/>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10,503,358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1,015,078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29"/>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12"/>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Pr>
          <w:p>
            <w:pPr>
              <w:spacing w:after="0"/>
              <w:rPr>
                <w:sz w:val="22"/>
                <w:szCs w:val="22"/>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Computer Software</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534,162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309,310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791,361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36"/>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Chicago, IL</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12"/>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22"/>
                <w:szCs w:val="2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Social Data Platform</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436,219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1,436,404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578,549</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36"/>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Cambridge, MA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12"/>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22"/>
                <w:szCs w:val="22"/>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Business Education</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517,917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6,150,506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color w:val="auto"/>
              </w:rPr>
              <w:t>Promissory Note 1.47% Due 11/9/2021</w:t>
            </w:r>
            <w:r>
              <w:rPr>
                <w:rFonts w:ascii="Arial" w:cs="Arial" w:eastAsia="Arial" w:hAnsi="Arial"/>
                <w:sz w:val="8"/>
                <w:szCs w:val="8"/>
                <w:color w:val="auto"/>
              </w:rPr>
              <w:t>(4)</w:t>
            </w:r>
          </w:p>
        </w:tc>
        <w:tc>
          <w:tcPr>
            <w:tcW w:w="12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2,270,458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2,270,858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186,517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620" w:type="dxa"/>
            <w:vAlign w:val="bottom"/>
            <w:tcBorders>
              <w:bottom w:val="single" w:sz="8" w:color="CCEEFF"/>
            </w:tcBorders>
            <w:gridSpan w:val="11"/>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8,421,364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186,517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20" w:type="dxa"/>
            <w:vAlign w:val="bottom"/>
            <w:gridSpan w:val="11"/>
          </w:tcPr>
          <w:p>
            <w:pPr>
              <w:ind w:left="14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121,367,679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173,595,462</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82.47%</w:t>
            </w:r>
          </w:p>
        </w:tc>
        <w:tc>
          <w:tcPr>
            <w:tcW w:w="0" w:type="dxa"/>
            <w:vAlign w:val="bottom"/>
          </w:tcPr>
          <w:p>
            <w:pPr>
              <w:spacing w:after="0"/>
              <w:rPr>
                <w:sz w:val="1"/>
                <w:szCs w:val="1"/>
                <w:color w:val="auto"/>
              </w:rPr>
            </w:pPr>
          </w:p>
        </w:tc>
      </w:tr>
      <w:tr>
        <w:trPr>
          <w:trHeight w:val="330"/>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12"/>
          </w:tcPr>
          <w:p>
            <w:pPr>
              <w:ind w:left="40"/>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8"/>
                <w:szCs w:val="8"/>
                <w:color w:val="auto"/>
              </w:rPr>
              <w:t>(1)</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b w:val="1"/>
                <w:bCs w:val="1"/>
                <w:color w:val="auto"/>
              </w:rPr>
              <w:t>Ozy Media, Inc.</w:t>
            </w:r>
          </w:p>
        </w:tc>
        <w:tc>
          <w:tcPr>
            <w:tcW w:w="12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12"/>
          </w:tcPr>
          <w:p>
            <w:pPr>
              <w:ind w:left="40"/>
              <w:spacing w:after="0"/>
              <w:rPr>
                <w:sz w:val="20"/>
                <w:szCs w:val="20"/>
                <w:color w:val="auto"/>
              </w:rPr>
            </w:pPr>
            <w:r>
              <w:rPr>
                <w:rFonts w:ascii="Arial" w:cs="Arial" w:eastAsia="Arial" w:hAnsi="Arial"/>
                <w:sz w:val="14"/>
                <w:szCs w:val="14"/>
                <w:color w:val="auto"/>
              </w:rPr>
              <w:t>Convertible Promissory Note 5% Due 2/28/2018</w:t>
            </w:r>
            <w:r>
              <w:rPr>
                <w:rFonts w:ascii="Arial" w:cs="Arial" w:eastAsia="Arial" w:hAnsi="Arial"/>
                <w:sz w:val="8"/>
                <w:szCs w:val="8"/>
                <w:color w:val="auto"/>
              </w:rPr>
              <w:t>(4)(11)</w:t>
            </w:r>
          </w:p>
        </w:tc>
        <w:tc>
          <w:tcPr>
            <w:tcW w:w="120" w:type="dxa"/>
            <w:vAlign w:val="bottom"/>
          </w:tcPr>
          <w:p>
            <w:pPr>
              <w:spacing w:after="0"/>
              <w:rPr>
                <w:sz w:val="22"/>
                <w:szCs w:val="22"/>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Digital Media Platform</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3,102,164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6"/>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color w:val="auto"/>
              </w:rPr>
              <w:t>Promissory Note 10% Due 2/12/2018***</w:t>
            </w:r>
            <w:r>
              <w:rPr>
                <w:rFonts w:ascii="Arial" w:cs="Arial" w:eastAsia="Arial" w:hAnsi="Arial"/>
                <w:sz w:val="8"/>
                <w:szCs w:val="8"/>
                <w:color w:val="auto"/>
              </w:rPr>
              <w:t>(11)</w:t>
            </w:r>
          </w:p>
        </w:tc>
        <w:tc>
          <w:tcPr>
            <w:tcW w:w="1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64"/>
        </w:trPr>
        <w:tc>
          <w:tcPr>
            <w:tcW w:w="3660" w:type="dxa"/>
            <w:vAlign w:val="bottom"/>
            <w:gridSpan w:val="12"/>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922,509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4,999,999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1,238,486</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276"/>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1,090,909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3,000,200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742,881</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2"/>
          </w:tcPr>
          <w:p>
            <w:pPr>
              <w:ind w:left="40"/>
              <w:spacing w:after="0"/>
              <w:rPr>
                <w:sz w:val="20"/>
                <w:szCs w:val="20"/>
                <w:color w:val="auto"/>
              </w:rPr>
            </w:pPr>
            <w:r>
              <w:rPr>
                <w:rFonts w:ascii="Arial" w:cs="Arial" w:eastAsia="Arial" w:hAnsi="Arial"/>
                <w:sz w:val="14"/>
                <w:szCs w:val="14"/>
                <w:color w:val="auto"/>
              </w:rPr>
              <w:t>Preferred shares, Series Seed</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123,813</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11"/>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10,600,199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5,307,344</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29"/>
        </w:trPr>
        <w:tc>
          <w:tcPr>
            <w:tcW w:w="3660" w:type="dxa"/>
            <w:vAlign w:val="bottom"/>
            <w:gridSpan w:val="12"/>
          </w:tcPr>
          <w:p>
            <w:pPr>
              <w:ind w:left="40"/>
              <w:spacing w:after="0"/>
              <w:rPr>
                <w:sz w:val="20"/>
                <w:szCs w:val="20"/>
                <w:color w:val="auto"/>
              </w:rPr>
            </w:pPr>
            <w:r>
              <w:rPr>
                <w:rFonts w:ascii="Arial" w:cs="Arial" w:eastAsia="Arial" w:hAnsi="Arial"/>
                <w:sz w:val="14"/>
                <w:szCs w:val="14"/>
                <w:b w:val="1"/>
                <w:bCs w:val="1"/>
                <w:color w:val="auto"/>
              </w:rPr>
              <w:t>CUX, Inc. (d/b/a CorpU)</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Philadelphia, PA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60" w:type="dxa"/>
            <w:vAlign w:val="bottom"/>
            <w:gridSpan w:val="12"/>
            <w:shd w:val="clear" w:color="auto" w:fill="CCEEFF"/>
          </w:tcPr>
          <w:p>
            <w:pPr>
              <w:ind w:left="40"/>
              <w:spacing w:after="0" w:line="157" w:lineRule="exact"/>
              <w:rPr>
                <w:sz w:val="20"/>
                <w:szCs w:val="20"/>
                <w:color w:val="auto"/>
              </w:rPr>
            </w:pPr>
            <w:r>
              <w:rPr>
                <w:rFonts w:ascii="Arial" w:cs="Arial" w:eastAsia="Arial" w:hAnsi="Arial"/>
                <w:sz w:val="14"/>
                <w:szCs w:val="14"/>
                <w:color w:val="auto"/>
                <w:w w:val="99"/>
              </w:rPr>
              <w:t>Senior Subordinated Convertible Promissory Note 8% Due</w:t>
            </w:r>
          </w:p>
        </w:tc>
        <w:tc>
          <w:tcPr>
            <w:tcW w:w="12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02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w w:val="99"/>
              </w:rPr>
              <w:t>11/26/2018***</w:t>
            </w:r>
            <w:r>
              <w:rPr>
                <w:rFonts w:ascii="Arial" w:cs="Arial" w:eastAsia="Arial" w:hAnsi="Arial"/>
                <w:sz w:val="8"/>
                <w:szCs w:val="8"/>
                <w:color w:val="auto"/>
                <w:w w:val="99"/>
              </w:rPr>
              <w:t>(6)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Corporate Education</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1,259,710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1,259,712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1,259,712</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264"/>
        </w:trPr>
        <w:tc>
          <w:tcPr>
            <w:tcW w:w="3660" w:type="dxa"/>
            <w:vAlign w:val="bottom"/>
            <w:gridSpan w:val="12"/>
          </w:tcPr>
          <w:p>
            <w:pPr>
              <w:ind w:left="40"/>
              <w:spacing w:after="0"/>
              <w:rPr>
                <w:sz w:val="20"/>
                <w:szCs w:val="20"/>
                <w:color w:val="auto"/>
              </w:rPr>
            </w:pPr>
            <w:r>
              <w:rPr>
                <w:rFonts w:ascii="Arial" w:cs="Arial" w:eastAsia="Arial" w:hAnsi="Arial"/>
                <w:sz w:val="14"/>
                <w:szCs w:val="14"/>
                <w:color w:val="auto"/>
              </w:rPr>
              <w:t>Convertible preferred shares, Series D</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169,033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778,607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1,000,968</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76"/>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color w:val="auto"/>
              </w:rPr>
              <w:t>Convertible preferred shares, Series C</w:t>
            </w:r>
          </w:p>
        </w:tc>
        <w:tc>
          <w:tcPr>
            <w:tcW w:w="1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615,763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2,006,077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132,232</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57"/>
        </w:trPr>
        <w:tc>
          <w:tcPr>
            <w:tcW w:w="3660" w:type="dxa"/>
            <w:vAlign w:val="bottom"/>
            <w:gridSpan w:val="12"/>
          </w:tcPr>
          <w:p>
            <w:pPr>
              <w:ind w:left="40"/>
              <w:spacing w:after="0" w:line="157" w:lineRule="exact"/>
              <w:rPr>
                <w:sz w:val="20"/>
                <w:szCs w:val="20"/>
                <w:color w:val="auto"/>
              </w:rPr>
            </w:pPr>
            <w:r>
              <w:rPr>
                <w:rFonts w:ascii="Arial" w:cs="Arial" w:eastAsia="Arial" w:hAnsi="Arial"/>
                <w:sz w:val="14"/>
                <w:szCs w:val="14"/>
                <w:color w:val="auto"/>
                <w:w w:val="98"/>
              </w:rPr>
              <w:t>Preferred Warrants Series D, Strike Price $4.59, Expiration</w:t>
            </w: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gridSpan w:val="12"/>
          </w:tcPr>
          <w:p>
            <w:pPr>
              <w:ind w:left="40"/>
              <w:spacing w:after="0"/>
              <w:rPr>
                <w:sz w:val="20"/>
                <w:szCs w:val="20"/>
                <w:color w:val="auto"/>
              </w:rPr>
            </w:pPr>
            <w:r>
              <w:rPr>
                <w:rFonts w:ascii="Arial" w:cs="Arial" w:eastAsia="Arial" w:hAnsi="Arial"/>
                <w:sz w:val="14"/>
                <w:szCs w:val="14"/>
                <w:color w:val="auto"/>
              </w:rPr>
              <w:t>Date 8/1/2018</w:t>
            </w:r>
            <w:r>
              <w:rPr>
                <w:rFonts w:ascii="Arial" w:cs="Arial" w:eastAsia="Arial" w:hAnsi="Arial"/>
                <w:sz w:val="8"/>
                <w:szCs w:val="8"/>
                <w:color w:val="auto"/>
              </w:rPr>
              <w:t>(9)</w:t>
            </w: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16,903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3,888</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620" w:type="dxa"/>
            <w:vAlign w:val="bottom"/>
            <w:tcBorders>
              <w:top w:val="single" w:sz="8" w:color="CCEEFF"/>
              <w:bottom w:val="single" w:sz="8" w:color="CCEEFF"/>
            </w:tcBorders>
            <w:gridSpan w:val="11"/>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4,044,396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2,396,800</w:t>
            </w:r>
          </w:p>
        </w:tc>
        <w:tc>
          <w:tcPr>
            <w:tcW w:w="1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29"/>
        </w:trPr>
        <w:tc>
          <w:tcPr>
            <w:tcW w:w="3660" w:type="dxa"/>
            <w:vAlign w:val="bottom"/>
            <w:gridSpan w:val="12"/>
          </w:tcPr>
          <w:p>
            <w:pPr>
              <w:ind w:left="40"/>
              <w:spacing w:after="0"/>
              <w:rPr>
                <w:sz w:val="20"/>
                <w:szCs w:val="20"/>
                <w:color w:val="auto"/>
              </w:rPr>
            </w:pPr>
            <w:r>
              <w:rPr>
                <w:rFonts w:ascii="Arial" w:cs="Arial" w:eastAsia="Arial" w:hAnsi="Arial"/>
                <w:sz w:val="14"/>
                <w:szCs w:val="14"/>
                <w:b w:val="1"/>
                <w:bCs w:val="1"/>
                <w:color w:val="auto"/>
              </w:rPr>
              <w:t>Declara,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Palo Alto,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color w:val="auto"/>
              </w:rPr>
              <w:t>Convertible Promissory Note 12% Due 4/30/2018</w:t>
            </w:r>
            <w:r>
              <w:rPr>
                <w:rFonts w:ascii="Arial" w:cs="Arial" w:eastAsia="Arial" w:hAnsi="Arial"/>
                <w:sz w:val="8"/>
                <w:szCs w:val="8"/>
                <w:color w:val="auto"/>
              </w:rPr>
              <w:t>(4)(10)</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Social Cognitive Learning</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2,327,727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2,333,259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517,067</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2"/>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10,716,390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9,999,999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169,471</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11"/>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12,333,258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686,538</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29"/>
        </w:trPr>
        <w:tc>
          <w:tcPr>
            <w:tcW w:w="3660" w:type="dxa"/>
            <w:vAlign w:val="bottom"/>
            <w:gridSpan w:val="12"/>
          </w:tcPr>
          <w:p>
            <w:pPr>
              <w:ind w:left="40"/>
              <w:spacing w:after="0"/>
              <w:rPr>
                <w:sz w:val="20"/>
                <w:szCs w:val="20"/>
                <w:color w:val="auto"/>
              </w:rPr>
            </w:pPr>
            <w:r>
              <w:rPr>
                <w:rFonts w:ascii="Arial" w:cs="Arial" w:eastAsia="Arial" w:hAnsi="Arial"/>
                <w:sz w:val="14"/>
                <w:szCs w:val="14"/>
                <w:b w:val="1"/>
                <w:bCs w:val="1"/>
                <w:color w:val="auto"/>
              </w:rPr>
              <w:t>EdSurge,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Burlingame,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Education Media Platform</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378,788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501,360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2"/>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494,365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500,801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11"/>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1,002,161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29"/>
        </w:trPr>
        <w:tc>
          <w:tcPr>
            <w:tcW w:w="3660" w:type="dxa"/>
            <w:vAlign w:val="bottom"/>
            <w:gridSpan w:val="12"/>
          </w:tcPr>
          <w:p>
            <w:pPr>
              <w:ind w:left="40"/>
              <w:spacing w:after="0"/>
              <w:rPr>
                <w:sz w:val="20"/>
                <w:szCs w:val="20"/>
                <w:color w:val="auto"/>
              </w:rPr>
            </w:pPr>
            <w:r>
              <w:rPr>
                <w:rFonts w:ascii="Arial" w:cs="Arial" w:eastAsia="Arial" w:hAnsi="Arial"/>
                <w:sz w:val="14"/>
                <w:szCs w:val="14"/>
                <w:b w:val="1"/>
                <w:bCs w:val="1"/>
                <w:color w:val="auto"/>
              </w:rPr>
              <w:t>Maven Research, Inc.</w:t>
            </w:r>
          </w:p>
        </w:tc>
        <w:tc>
          <w:tcPr>
            <w:tcW w:w="120" w:type="dxa"/>
            <w:vAlign w:val="bottom"/>
          </w:tcPr>
          <w:p>
            <w:pPr>
              <w:spacing w:after="0"/>
              <w:rPr>
                <w:sz w:val="19"/>
                <w:szCs w:val="19"/>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color w:val="auto"/>
              </w:rPr>
              <w:t>Preferred shares, Series C</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Knowledge Networks</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318,979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2,000,447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197,724</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12"/>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49,505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217,206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19,723</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11"/>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2,217,653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217,447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23"/>
        </w:trPr>
        <w:tc>
          <w:tcPr>
            <w:tcW w:w="3660" w:type="dxa"/>
            <w:vAlign w:val="bottom"/>
            <w:gridSpan w:val="12"/>
          </w:tcPr>
          <w:p>
            <w:pPr>
              <w:ind w:left="40"/>
              <w:spacing w:after="0"/>
              <w:rPr>
                <w:sz w:val="20"/>
                <w:szCs w:val="20"/>
                <w:color w:val="auto"/>
              </w:rPr>
            </w:pPr>
            <w:r>
              <w:rPr>
                <w:rFonts w:ascii="Arial" w:cs="Arial" w:eastAsia="Arial" w:hAnsi="Arial"/>
                <w:sz w:val="14"/>
                <w:szCs w:val="14"/>
                <w:b w:val="1"/>
                <w:bCs w:val="1"/>
                <w:color w:val="auto"/>
              </w:rPr>
              <w:t>Curious.com, Inc.</w:t>
            </w:r>
          </w:p>
        </w:tc>
        <w:tc>
          <w:tcPr>
            <w:tcW w:w="120" w:type="dxa"/>
            <w:vAlign w:val="bottom"/>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Menlo Park,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12"/>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3,407,834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12,000,006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11"/>
            <w:shd w:val="clear" w:color="auto" w:fill="CCEEFF"/>
          </w:tcPr>
          <w:p>
            <w:pPr>
              <w:ind w:left="140"/>
              <w:spacing w:after="0"/>
              <w:rPr>
                <w:sz w:val="20"/>
                <w:szCs w:val="20"/>
                <w:color w:val="auto"/>
              </w:rPr>
            </w:pPr>
            <w:r>
              <w:rPr>
                <w:rFonts w:ascii="Arial" w:cs="Arial" w:eastAsia="Arial" w:hAnsi="Arial"/>
                <w:sz w:val="14"/>
                <w:szCs w:val="14"/>
                <w:b w:val="1"/>
                <w:bCs w:val="1"/>
                <w:color w:val="auto"/>
              </w:rPr>
              <w:t>Total Non-controlled/Affiliate</w:t>
            </w:r>
          </w:p>
        </w:tc>
        <w:tc>
          <w:tcPr>
            <w:tcW w:w="12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42,197,673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9,108,129</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-1577340</wp:posOffset>
            </wp:positionV>
            <wp:extent cx="48539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-2280285</wp:posOffset>
            </wp:positionV>
            <wp:extent cx="4073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735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-2983865</wp:posOffset>
            </wp:positionV>
            <wp:extent cx="4073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735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-4133215</wp:posOffset>
            </wp:positionV>
            <wp:extent cx="4073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1151"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151" w:gutter="0" w:footer="0" w:header="0"/>
          <w:type w:val="continuous"/>
        </w:sectPr>
      </w:pPr>
    </w:p>
    <w:bookmarkStart w:id="8" w:name="page9"/>
    <w:bookmarkEnd w:id="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vMerge w:val="restart"/>
          </w:tcPr>
          <w:p>
            <w:pPr>
              <w:spacing w:after="0"/>
              <w:rPr>
                <w:sz w:val="14"/>
                <w:szCs w:val="14"/>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80" w:type="dxa"/>
            <w:vAlign w:val="bottom"/>
          </w:tcPr>
          <w:p>
            <w:pPr>
              <w:spacing w:after="0"/>
              <w:rPr>
                <w:sz w:val="14"/>
                <w:szCs w:val="14"/>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of Net Assets</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gridSpan w:val="6"/>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8"/>
                <w:szCs w:val="8"/>
                <w:color w:val="auto"/>
              </w:rPr>
              <w:t>(2)</w:t>
            </w: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gridSpan w:val="7"/>
          </w:tcPr>
          <w:p>
            <w:pPr>
              <w:ind w:left="40"/>
              <w:spacing w:after="0"/>
              <w:rPr>
                <w:sz w:val="20"/>
                <w:szCs w:val="20"/>
                <w:color w:val="auto"/>
              </w:rPr>
            </w:pPr>
            <w:r>
              <w:rPr>
                <w:rFonts w:ascii="Arial" w:cs="Arial" w:eastAsia="Arial" w:hAnsi="Arial"/>
                <w:sz w:val="14"/>
                <w:szCs w:val="14"/>
                <w:b w:val="1"/>
                <w:bCs w:val="1"/>
                <w:color w:val="auto"/>
              </w:rPr>
              <w:t>NestGSV, Inc. (d/b/a GSV Labs, Inc.)</w:t>
            </w: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Redwood City,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Convertible Promissory Note 8% Due 7/31/2018***</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Global Innovation Platform</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560,199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564,079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560,199</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64"/>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Preferred shares, Series A-4</w:t>
            </w: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3,720,424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4,904,498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8,495,305</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76"/>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A-3</w:t>
            </w: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1,561,625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2,005,730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2,971,543</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64"/>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Preferred shares, Series A-2</w:t>
            </w: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450,001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605,500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513,770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76"/>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A-1</w:t>
            </w: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1,021,778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856,284</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64"/>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Common shares</w:t>
            </w: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w w:val="98"/>
              </w:rPr>
              <w:t>Preferred Warrants Series A-3, Strike Price $1.33, Expiration</w:t>
            </w: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Date 4/4/2019</w:t>
            </w:r>
          </w:p>
        </w:tc>
        <w:tc>
          <w:tcPr>
            <w:tcW w:w="2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187,500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195,000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57"/>
        </w:trPr>
        <w:tc>
          <w:tcPr>
            <w:tcW w:w="3780" w:type="dxa"/>
            <w:vAlign w:val="bottom"/>
            <w:gridSpan w:val="7"/>
          </w:tcPr>
          <w:p>
            <w:pPr>
              <w:ind w:left="40"/>
              <w:spacing w:after="0" w:line="157" w:lineRule="exact"/>
              <w:rPr>
                <w:sz w:val="20"/>
                <w:szCs w:val="20"/>
                <w:color w:val="auto"/>
              </w:rPr>
            </w:pPr>
            <w:r>
              <w:rPr>
                <w:rFonts w:ascii="Arial" w:cs="Arial" w:eastAsia="Arial" w:hAnsi="Arial"/>
                <w:sz w:val="14"/>
                <w:szCs w:val="14"/>
                <w:color w:val="auto"/>
                <w:w w:val="98"/>
              </w:rPr>
              <w:t>Preferred Warrants Series A-4, Strike Price $1.33, Expiration</w:t>
            </w: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Date 10/6/2019</w:t>
            </w: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725,000</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63"/>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w w:val="98"/>
              </w:rPr>
              <w:t>Preferred Warrants Series A-4, Strike Price $1.33, Expiration</w:t>
            </w: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Date 7/18/2021</w:t>
            </w:r>
          </w:p>
        </w:tc>
        <w:tc>
          <w:tcPr>
            <w:tcW w:w="2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375,000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57"/>
        </w:trPr>
        <w:tc>
          <w:tcPr>
            <w:tcW w:w="378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Preferred Warrants Series B, Strike Price $2.31, Expiration</w:t>
            </w: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Date 11/29/2021</w:t>
            </w: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29,275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66,000</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63"/>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Warrant Series B–Strike Price $2.31, Expiration</w:t>
            </w: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Date 5/29/2022</w:t>
            </w:r>
          </w:p>
        </w:tc>
        <w:tc>
          <w:tcPr>
            <w:tcW w:w="2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125,000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70,379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82,500</w:t>
            </w:r>
          </w:p>
        </w:tc>
        <w:tc>
          <w:tcPr>
            <w:tcW w:w="12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gridSpan w:val="6"/>
          </w:tcPr>
          <w:p>
            <w:pPr>
              <w:ind w:left="140"/>
              <w:spacing w:after="0"/>
              <w:rPr>
                <w:sz w:val="20"/>
                <w:szCs w:val="20"/>
                <w:color w:val="auto"/>
              </w:rPr>
            </w:pPr>
            <w:r>
              <w:rPr>
                <w:rFonts w:ascii="Arial" w:cs="Arial" w:eastAsia="Arial" w:hAnsi="Arial"/>
                <w:sz w:val="14"/>
                <w:szCs w:val="14"/>
                <w:color w:val="auto"/>
              </w:rPr>
              <w:t>Total</w:t>
            </w: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9,276,619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14,840,601</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229"/>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StormWind, LLC</w:t>
            </w:r>
            <w:r>
              <w:rPr>
                <w:rFonts w:ascii="Arial" w:cs="Arial" w:eastAsia="Arial" w:hAnsi="Arial"/>
                <w:sz w:val="8"/>
                <w:szCs w:val="8"/>
                <w:color w:val="auto"/>
              </w:rPr>
              <w:t>(5)</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Scottsdale, AZ</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Preferred shares, Series C</w:t>
            </w:r>
          </w:p>
        </w:tc>
        <w:tc>
          <w:tcPr>
            <w:tcW w:w="27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Interactive Learning</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2,779,134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4,000,787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7,260,523</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76"/>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3,279,629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2,019,687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5,847,686</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7"/>
          </w:tcPr>
          <w:p>
            <w:pPr>
              <w:ind w:left="40"/>
              <w:spacing w:after="0"/>
              <w:rPr>
                <w:sz w:val="20"/>
                <w:szCs w:val="20"/>
                <w:color w:val="auto"/>
              </w:rPr>
            </w:pPr>
            <w:r>
              <w:rPr>
                <w:rFonts w:ascii="Arial" w:cs="Arial" w:eastAsia="Arial" w:hAnsi="Arial"/>
                <w:sz w:val="14"/>
                <w:szCs w:val="14"/>
                <w:color w:val="auto"/>
              </w:rPr>
              <w:t>Preferred shares, Series A</w:t>
            </w: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366,666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110,000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430,174</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6,130,474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13,538,383</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229"/>
        </w:trPr>
        <w:tc>
          <w:tcPr>
            <w:tcW w:w="3780" w:type="dxa"/>
            <w:vAlign w:val="bottom"/>
            <w:gridSpan w:val="7"/>
          </w:tcPr>
          <w:p>
            <w:pPr>
              <w:ind w:left="40"/>
              <w:spacing w:after="0"/>
              <w:rPr>
                <w:sz w:val="20"/>
                <w:szCs w:val="20"/>
                <w:color w:val="auto"/>
              </w:rPr>
            </w:pPr>
            <w:r>
              <w:rPr>
                <w:rFonts w:ascii="Arial" w:cs="Arial" w:eastAsia="Arial" w:hAnsi="Arial"/>
                <w:sz w:val="14"/>
                <w:szCs w:val="14"/>
                <w:b w:val="1"/>
                <w:bCs w:val="1"/>
                <w:color w:val="auto"/>
              </w:rPr>
              <w:t>SPBRX, INC. (f/k/a GSV Sustainability Partners, Inc.)</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Woodside,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Class A***</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Clean Technology</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14,300,000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1,190,428</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64"/>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Common shares</w:t>
            </w: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620" w:type="dxa"/>
            <w:vAlign w:val="bottom"/>
            <w:tcBorders>
              <w:top w:val="single" w:sz="8" w:color="CCEEFF"/>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tcBorders>
            <w:shd w:val="clear" w:color="auto" w:fill="CCEEFF"/>
          </w:tcPr>
          <w:p>
            <w:pPr>
              <w:spacing w:after="0"/>
              <w:rPr>
                <w:sz w:val="22"/>
                <w:szCs w:val="22"/>
                <w:color w:val="auto"/>
              </w:rPr>
            </w:pPr>
          </w:p>
        </w:tc>
        <w:tc>
          <w:tcPr>
            <w:tcW w:w="26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1,190,428</w:t>
            </w:r>
          </w:p>
        </w:tc>
        <w:tc>
          <w:tcPr>
            <w:tcW w:w="1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740" w:type="dxa"/>
            <w:vAlign w:val="bottom"/>
            <w:gridSpan w:val="6"/>
            <w:shd w:val="clear" w:color="auto" w:fill="CCEEFF"/>
          </w:tcPr>
          <w:p>
            <w:pPr>
              <w:ind w:left="140"/>
              <w:spacing w:after="0"/>
              <w:rPr>
                <w:sz w:val="20"/>
                <w:szCs w:val="20"/>
                <w:color w:val="auto"/>
              </w:rPr>
            </w:pPr>
            <w:r>
              <w:rPr>
                <w:rFonts w:ascii="Arial" w:cs="Arial" w:eastAsia="Arial" w:hAnsi="Arial"/>
                <w:sz w:val="14"/>
                <w:szCs w:val="14"/>
                <w:b w:val="1"/>
                <w:bCs w:val="1"/>
                <w:color w:val="auto"/>
              </w:rPr>
              <w:t>Total Controlled</w:t>
            </w:r>
          </w:p>
        </w:tc>
        <w:tc>
          <w:tcPr>
            <w:tcW w:w="2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22,568,505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29,569,412</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740" w:type="dxa"/>
            <w:vAlign w:val="bottom"/>
            <w:gridSpan w:val="6"/>
            <w:shd w:val="clear" w:color="auto" w:fill="CCEEFF"/>
          </w:tcPr>
          <w:p>
            <w:pPr>
              <w:ind w:left="140"/>
              <w:spacing w:after="0"/>
              <w:rPr>
                <w:sz w:val="20"/>
                <w:szCs w:val="20"/>
                <w:color w:val="auto"/>
              </w:rPr>
            </w:pPr>
            <w:r>
              <w:rPr>
                <w:rFonts w:ascii="Arial" w:cs="Arial" w:eastAsia="Arial" w:hAnsi="Arial"/>
                <w:sz w:val="14"/>
                <w:szCs w:val="14"/>
                <w:b w:val="1"/>
                <w:bCs w:val="1"/>
                <w:color w:val="auto"/>
              </w:rPr>
              <w:t>Total Portfolio Investments</w:t>
            </w:r>
          </w:p>
        </w:tc>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186,133,857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212,273,003</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100.85%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U.S. Treasury</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gridSpan w:val="7"/>
          </w:tcPr>
          <w:p>
            <w:pPr>
              <w:ind w:left="40"/>
              <w:spacing w:after="0"/>
              <w:rPr>
                <w:sz w:val="20"/>
                <w:szCs w:val="20"/>
                <w:color w:val="auto"/>
              </w:rPr>
            </w:pPr>
            <w:r>
              <w:rPr>
                <w:rFonts w:ascii="Arial" w:cs="Arial" w:eastAsia="Arial" w:hAnsi="Arial"/>
                <w:sz w:val="14"/>
                <w:szCs w:val="14"/>
                <w:color w:val="auto"/>
              </w:rPr>
              <w:t>U.S. Treasury bills, 0%, due 4/5/2018***</w:t>
            </w:r>
            <w:r>
              <w:rPr>
                <w:rFonts w:ascii="Arial" w:cs="Arial" w:eastAsia="Arial" w:hAnsi="Arial"/>
                <w:sz w:val="8"/>
                <w:szCs w:val="8"/>
                <w:color w:val="auto"/>
              </w:rPr>
              <w:t>(3)</w:t>
            </w: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99,970,444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99,987,000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47.50%</w:t>
            </w:r>
          </w:p>
        </w:tc>
        <w:tc>
          <w:tcPr>
            <w:tcW w:w="0" w:type="dxa"/>
            <w:vAlign w:val="bottom"/>
          </w:tcPr>
          <w:p>
            <w:pPr>
              <w:spacing w:after="0"/>
              <w:rPr>
                <w:sz w:val="1"/>
                <w:szCs w:val="1"/>
                <w:color w:val="auto"/>
              </w:rPr>
            </w:pPr>
          </w:p>
        </w:tc>
      </w:tr>
      <w:tr>
        <w:trPr>
          <w:trHeight w:val="303"/>
        </w:trPr>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40" w:type="dxa"/>
            <w:vAlign w:val="bottom"/>
            <w:tcBorders>
              <w:bottom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gridSpan w:val="7"/>
          </w:tcPr>
          <w:p>
            <w:pPr>
              <w:ind w:left="40"/>
              <w:spacing w:after="0"/>
              <w:rPr>
                <w:sz w:val="20"/>
                <w:szCs w:val="20"/>
                <w:color w:val="auto"/>
              </w:rPr>
            </w:pPr>
            <w:r>
              <w:rPr>
                <w:rFonts w:ascii="Arial" w:cs="Arial" w:eastAsia="Arial" w:hAnsi="Arial"/>
                <w:sz w:val="14"/>
                <w:szCs w:val="14"/>
                <w:b w:val="1"/>
                <w:bCs w:val="1"/>
                <w:color w:val="auto"/>
              </w:rPr>
              <w:t>TOTAL INVESTMENTS</w:t>
            </w: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286,104,301</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312,260,003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148.35%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-1783080</wp:posOffset>
            </wp:positionV>
            <wp:extent cx="48539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-2486660</wp:posOffset>
            </wp:positionV>
            <wp:extent cx="48539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-3180715</wp:posOffset>
            </wp:positionV>
            <wp:extent cx="48539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9" w:lineRule="exact"/>
        <w:rPr>
          <w:sz w:val="20"/>
          <w:szCs w:val="20"/>
          <w:color w:val="auto"/>
        </w:rPr>
      </w:pPr>
    </w:p>
    <w:p>
      <w:pPr>
        <w:ind w:left="500" w:right="20" w:hanging="492"/>
        <w:spacing w:after="0" w:line="252"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non-income-producing, unless otherwise identified. Equity investments are subject to lock-up restrictions upon their initial public offering (“IPO”).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investments are restricted as to resale, unless otherwise noted, and were valued at fair value as determined in good faith by the Company’s board of directors.</w:t>
      </w:r>
    </w:p>
    <w:p>
      <w:pPr>
        <w:spacing w:after="0" w:line="194" w:lineRule="exact"/>
        <w:rPr>
          <w:sz w:val="20"/>
          <w:szCs w:val="20"/>
          <w:color w:val="auto"/>
        </w:rPr>
      </w:pPr>
    </w:p>
    <w:p>
      <w:pPr>
        <w:jc w:val="both"/>
        <w:ind w:left="500" w:right="140" w:hanging="492"/>
        <w:spacing w:after="0" w:line="34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Investment Company Act of 1940, as amended (the “1940 Act”). Of GSV Capital Corp.’s total investments as of March 31, 2018, 17.66% of its total investments are non-qualifying assets.</w:t>
      </w:r>
    </w:p>
    <w:p>
      <w:pPr>
        <w:spacing w:after="0" w:line="123" w:lineRule="exact"/>
        <w:rPr>
          <w:rFonts w:ascii="Arial" w:cs="Arial" w:eastAsia="Arial" w:hAnsi="Arial"/>
          <w:sz w:val="16"/>
          <w:szCs w:val="16"/>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is income-producing.</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2018</w:t>
      </w:r>
    </w:p>
    <w:p>
      <w:pPr>
        <w:spacing w:after="0" w:line="251" w:lineRule="exact"/>
        <w:rPr>
          <w:sz w:val="20"/>
          <w:szCs w:val="20"/>
          <w:color w:val="auto"/>
        </w:rPr>
      </w:pPr>
    </w:p>
    <w:p>
      <w:pPr>
        <w:ind w:left="500" w:hanging="492"/>
        <w:spacing w:after="0" w:line="25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86" w:lineRule="exact"/>
        <w:rPr>
          <w:rFonts w:ascii="Arial" w:cs="Arial" w:eastAsia="Arial" w:hAnsi="Arial"/>
          <w:sz w:val="18"/>
          <w:szCs w:val="18"/>
          <w:color w:val="auto"/>
        </w:rPr>
      </w:pPr>
    </w:p>
    <w:p>
      <w:pPr>
        <w:ind w:left="500" w:right="200" w:hanging="492"/>
        <w:spacing w:after="0" w:line="25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 Investments at Fair Value”.</w:t>
      </w:r>
    </w:p>
    <w:p>
      <w:pPr>
        <w:spacing w:after="0" w:line="188"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Denotes an investment considered Level 1 or Level 2 and valued using observable inputs.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March 31, 2018, the investments noted had been placed on non-accrual status.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GSV Capital Corp.’s investments in StormWind, LLC are held through GSV Capital Corp.'s wholly owned subsidiary, GSVC SW Holdings, Inc.</w:t>
      </w:r>
    </w:p>
    <w:p>
      <w:pPr>
        <w:spacing w:after="0" w:line="236" w:lineRule="exact"/>
        <w:rPr>
          <w:rFonts w:ascii="Arial" w:cs="Arial" w:eastAsia="Arial" w:hAnsi="Arial"/>
          <w:sz w:val="17"/>
          <w:szCs w:val="17"/>
          <w:color w:val="auto"/>
        </w:rPr>
      </w:pPr>
    </w:p>
    <w:p>
      <w:pPr>
        <w:ind w:left="500" w:right="4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181" w:lineRule="exact"/>
        <w:rPr>
          <w:rFonts w:ascii="Arial" w:cs="Arial" w:eastAsia="Arial" w:hAnsi="Arial"/>
          <w:sz w:val="18"/>
          <w:szCs w:val="18"/>
          <w:color w:val="auto"/>
        </w:rPr>
      </w:pPr>
    </w:p>
    <w:p>
      <w:pPr>
        <w:ind w:left="500" w:right="300" w:hanging="492"/>
        <w:spacing w:after="0" w:line="312"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March 14, 2018, as disclosed in its Amendment No. 1 to its Form F-1 Registration Statement filed in connection with its direct listing, Spotify Technology S.A. effectuated a 40:1 stock split of its ordinary shares, beneficiary certificates and any other of its outstanding securities. On April 3, 2018, Spotify Technology S.A., registered for resale up to 55,731,480 ordinary shares by the registered shareholders in a direct listing.</w:t>
      </w:r>
    </w:p>
    <w:p>
      <w:pPr>
        <w:spacing w:after="0" w:line="146" w:lineRule="exact"/>
        <w:rPr>
          <w:rFonts w:ascii="Arial" w:cs="Arial" w:eastAsia="Arial" w:hAnsi="Arial"/>
          <w:sz w:val="16"/>
          <w:szCs w:val="16"/>
          <w:color w:val="auto"/>
        </w:rPr>
      </w:pPr>
    </w:p>
    <w:p>
      <w:pPr>
        <w:ind w:left="500" w:right="20" w:hanging="492"/>
        <w:spacing w:after="0" w:line="25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7, 2018, as disclosed in its Amendment No. 1 to its Form S-1 Registration Statement filed in connection with its initial public offering, Dropbox, Inc. effectuated a 1:1.5 reverse stock split of its capital stock. On March 23, 2018, Dropbox, Inc. priced its initial public offering for 26,822,409 Class A common shares at a price of $21.00 per share. Dropbox, Inc., also registered for resale up to 9,177,591 Class A common shares by the registered shareholders. At March 31, 2018, GSV Capital Corp. valued Dropbox, Inc. based on its March 31, 2018 closing price, less a 12% liquidity discount.</w:t>
      </w:r>
    </w:p>
    <w:p>
      <w:pPr>
        <w:spacing w:after="0" w:line="188"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February 23, 2018, CUX, Inc. (d/b/a CorpU) agreed to extend the maturity of the GSV Capital Corp.'s Series D warrants until August 1, 2018.</w:t>
      </w:r>
    </w:p>
    <w:p>
      <w:pPr>
        <w:spacing w:after="0" w:line="236" w:lineRule="exact"/>
        <w:rPr>
          <w:rFonts w:ascii="Arial" w:cs="Arial" w:eastAsia="Arial" w:hAnsi="Arial"/>
          <w:sz w:val="17"/>
          <w:szCs w:val="17"/>
          <w:color w:val="auto"/>
        </w:rPr>
      </w:pPr>
    </w:p>
    <w:p>
      <w:pPr>
        <w:ind w:left="500" w:right="8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maturity date of the convertible promissory note to Declara, Inc. was extended an additional three months to April 30, 2018. On January 31, 2018 the interest rate on the convertible promissory note increased to 12% per annum (including 365 days for the purposes of accrual). GSV Capital Corp. and Declara, Inc. are in the process of renegotiating the terms of GSV Capital Corp.'s investment.</w:t>
      </w:r>
    </w:p>
    <w:p>
      <w:pPr>
        <w:spacing w:after="0" w:line="181" w:lineRule="exact"/>
        <w:rPr>
          <w:rFonts w:ascii="Arial" w:cs="Arial" w:eastAsia="Arial" w:hAnsi="Arial"/>
          <w:sz w:val="18"/>
          <w:szCs w:val="18"/>
          <w:color w:val="auto"/>
        </w:rPr>
      </w:pPr>
    </w:p>
    <w:p>
      <w:pPr>
        <w:ind w:left="500" w:right="200" w:hanging="492"/>
        <w:spacing w:after="0" w:line="279"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period, Ozy Media, Inc.’s obligations under its financing arrangements with the Company became past due. Effective April 9, 2018, the term of Ozy Media Inc.'s notes were extended through the issuance of a new convertible promissory note, which extended the maturity date of the existing notes to October 31, 2018, or December 31, 2018 if certain conditions are satisfied. In consideration for amending and restating the existing notes, the Company was issued warrants exercisable for a certain number of shares of Ozy Media Inc.'s common stock.</w:t>
      </w:r>
    </w:p>
    <w:p>
      <w:pPr>
        <w:spacing w:after="0" w:line="171" w:lineRule="exact"/>
        <w:rPr>
          <w:rFonts w:ascii="Arial" w:cs="Arial" w:eastAsia="Arial" w:hAnsi="Arial"/>
          <w:sz w:val="17"/>
          <w:szCs w:val="17"/>
          <w:color w:val="auto"/>
        </w:rPr>
      </w:pPr>
    </w:p>
    <w:p>
      <w:pPr>
        <w:ind w:left="500" w:right="40" w:hanging="492"/>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March 27, 2018, Lytro, Inc. announced that it was preparing to wind down the company over an unspecified period of time. As a result of the wind down, the Company expects to recover an amount equal to the fair value of its investment in Lytro, Inc. as of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16"/>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w:t>
            </w:r>
          </w:p>
        </w:tc>
        <w:tc>
          <w:tcPr>
            <w:tcW w:w="24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540" w:type="dxa"/>
            <w:vAlign w:val="bottom"/>
            <w:gridSpan w:val="16"/>
            <w:vMerge w:val="continue"/>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6"/>
        </w:trPr>
        <w:tc>
          <w:tcPr>
            <w:tcW w:w="3540" w:type="dxa"/>
            <w:vAlign w:val="bottom"/>
            <w:tcBorders>
              <w:top w:val="single" w:sz="8" w:color="auto"/>
            </w:tcBorders>
            <w:gridSpan w:val="16"/>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9"/>
                <w:szCs w:val="19"/>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Palo Alto,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Data Analysis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35,075,759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Spotify Technology S.A.**</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Stockholm, Sweden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On-Demand Music Streaming</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10,002,084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30,729,068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2,961,399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14,519,519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18,360,674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Dropbox,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Cloud Computing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552,486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5,015,773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7,524,859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760,000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8,641,153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10,350,837</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13,656,926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17,875,696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General Assembly Space,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C</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126,552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2,999,978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5,281,440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133,213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2,999,983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5,559,426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5,999,961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10,840,866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Lyft,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Transportation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128,563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2,503,585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4,269,577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176,266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1,792,749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5,853,938</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4,296,334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10,123,515</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9"/>
                <w:szCs w:val="19"/>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Redwood City,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Online Education</w:t>
            </w: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10,041,426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Chegg, Inc.**</w:t>
            </w:r>
          </w:p>
        </w:tc>
        <w:tc>
          <w:tcPr>
            <w:tcW w:w="120" w:type="dxa"/>
            <w:vAlign w:val="bottom"/>
          </w:tcPr>
          <w:p>
            <w:pPr>
              <w:spacing w:after="0"/>
              <w:rPr>
                <w:sz w:val="19"/>
                <w:szCs w:val="19"/>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Santa Clara,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(3)(11)</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Online Education Services</w:t>
            </w: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6,008,468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8,160,000</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8"/>
                <w:szCs w:val="8"/>
                <w:color w:val="auto"/>
              </w:rPr>
              <w:t>(4)</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Junior Preferred Stock</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Globally-Focused Private School</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10,014,270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10,151,854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5,908,419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Parchment,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Scottsdale, AZ</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E-Transcript Exchange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3,200,512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4,000,982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5,583,562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Menlo Park,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On-Demand Commerce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4,000,280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3,929,210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879,198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1,002,440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1,190,998</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5,002,720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5,120,208</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Knewton,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3,597,034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SugarCRM,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Cupertino,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Customer Relationship Manager</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373,134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1,500,522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1,838,912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1,524,799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5,476,502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1,384,956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6,977,024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3,223,868</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A Place for Rover Inc. (f/k/a DogVacay, Inc.)</w:t>
            </w:r>
            <w:r>
              <w:rPr>
                <w:rFonts w:ascii="Arial" w:cs="Arial" w:eastAsia="Arial" w:hAnsi="Arial"/>
                <w:sz w:val="8"/>
                <w:szCs w:val="8"/>
                <w:color w:val="auto"/>
              </w:rPr>
              <w:t>(7)</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Seattle, WA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9"/>
              </w:rPr>
              <w:t>Peer-to-Peer Pet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707,991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2,506,119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3,130,348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Online Marketplace Finance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2,259,716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2,249,999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57"/>
        </w:trPr>
        <w:tc>
          <w:tcPr>
            <w:tcW w:w="3540" w:type="dxa"/>
            <w:vAlign w:val="bottom"/>
            <w:gridSpan w:val="16"/>
          </w:tcPr>
          <w:p>
            <w:pPr>
              <w:ind w:left="40"/>
              <w:spacing w:after="0" w:line="157" w:lineRule="exact"/>
              <w:rPr>
                <w:sz w:val="20"/>
                <w:szCs w:val="20"/>
                <w:color w:val="auto"/>
              </w:rPr>
            </w:pPr>
            <w:r>
              <w:rPr>
                <w:rFonts w:ascii="Arial" w:cs="Arial" w:eastAsia="Arial" w:hAnsi="Arial"/>
                <w:sz w:val="14"/>
                <w:szCs w:val="14"/>
                <w:color w:val="auto"/>
              </w:rPr>
              <w:t>Common warrants, $0.13 Strike Price,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gridSpan w:val="15"/>
          </w:tcPr>
          <w:p>
            <w:pPr>
              <w:ind w:left="160"/>
              <w:spacing w:after="0"/>
              <w:rPr>
                <w:sz w:val="20"/>
                <w:szCs w:val="20"/>
                <w:color w:val="auto"/>
              </w:rPr>
            </w:pPr>
            <w:r>
              <w:rPr>
                <w:rFonts w:ascii="Arial" w:cs="Arial" w:eastAsia="Arial" w:hAnsi="Arial"/>
                <w:sz w:val="14"/>
                <w:szCs w:val="14"/>
                <w:color w:val="auto"/>
              </w:rPr>
              <w:t>Expiration Date 6/15/2018</w:t>
            </w: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770,934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23,128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46,256</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50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2,282,844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2,296,255</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-1276985</wp:posOffset>
            </wp:positionV>
            <wp:extent cx="48710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-2323465</wp:posOffset>
            </wp:positionV>
            <wp:extent cx="48710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-4415790</wp:posOffset>
            </wp:positionV>
            <wp:extent cx="48710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-5119370</wp:posOffset>
            </wp:positionV>
            <wp:extent cx="48710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-5822315</wp:posOffset>
            </wp:positionV>
            <wp:extent cx="48710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14"/>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Headquarters/</w:t>
            </w:r>
          </w:p>
        </w:tc>
        <w:tc>
          <w:tcPr>
            <w:tcW w:w="1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of Net Assets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1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DreamBox Learning,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Bellevue, WA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Education Technology</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7,159,221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1,502,362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1,518,176</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758,017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759,088</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2,260,379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2,277,264</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Lytro,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tcPr>
          <w:p>
            <w:pPr>
              <w:spacing w:after="0"/>
              <w:rPr>
                <w:sz w:val="22"/>
                <w:szCs w:val="22"/>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Light Field Imaging Platform</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159,160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502,081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100,680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C-1</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3,378,379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2,013,587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10,502,083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2,114,267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Clever,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tcPr>
          <w:p>
            <w:pPr>
              <w:spacing w:after="0"/>
              <w:rPr>
                <w:sz w:val="22"/>
                <w:szCs w:val="22"/>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Education Software</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2,000,601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2,000,001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Marina Del Rey,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Pr>
          <w:p>
            <w:pPr>
              <w:spacing w:after="0"/>
              <w:rPr>
                <w:sz w:val="22"/>
                <w:szCs w:val="22"/>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Financial Services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540,270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1,001,815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1,748,371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Computer Software</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534,162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309,310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791,361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Chicago, IL</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Social Data Platform</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436,219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1,436,404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593,702</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Cambridge, MA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Business Education</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517,917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6,150,506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Promissory note 1.47%, Due 11/9/2021</w:t>
            </w:r>
            <w:r>
              <w:rPr>
                <w:rFonts w:ascii="Arial" w:cs="Arial" w:eastAsia="Arial" w:hAnsi="Arial"/>
                <w:sz w:val="8"/>
                <w:szCs w:val="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2,270,458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2,270,858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316,570</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8,421,364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316,570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70"/>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137,526,726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179,908,234</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87.89%</w:t>
            </w:r>
          </w:p>
        </w:tc>
        <w:tc>
          <w:tcPr>
            <w:tcW w:w="0" w:type="dxa"/>
            <w:vAlign w:val="bottom"/>
          </w:tcPr>
          <w:p>
            <w:pPr>
              <w:spacing w:after="0"/>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Curious.com,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Menlo Park,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3,407,834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12,000,006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5,514,077</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Ozy Media,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gridSpan w:val="14"/>
          </w:tcPr>
          <w:p>
            <w:pPr>
              <w:ind w:left="40"/>
              <w:spacing w:after="0" w:line="157" w:lineRule="exact"/>
              <w:rPr>
                <w:sz w:val="20"/>
                <w:szCs w:val="20"/>
                <w:color w:val="auto"/>
              </w:rPr>
            </w:pPr>
            <w:r>
              <w:rPr>
                <w:rFonts w:ascii="Arial" w:cs="Arial" w:eastAsia="Arial" w:hAnsi="Arial"/>
                <w:sz w:val="14"/>
                <w:szCs w:val="14"/>
                <w:color w:val="auto"/>
              </w:rPr>
              <w:t>Convertible Promissory Note 5% Due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0" w:type="dxa"/>
            <w:vAlign w:val="bottom"/>
            <w:gridSpan w:val="6"/>
          </w:tcPr>
          <w:p>
            <w:pPr>
              <w:ind w:left="40"/>
              <w:spacing w:after="0"/>
              <w:rPr>
                <w:sz w:val="20"/>
                <w:szCs w:val="20"/>
                <w:color w:val="auto"/>
              </w:rPr>
            </w:pPr>
            <w:r>
              <w:rPr>
                <w:rFonts w:ascii="Arial" w:cs="Arial" w:eastAsia="Arial" w:hAnsi="Arial"/>
                <w:sz w:val="14"/>
                <w:szCs w:val="14"/>
                <w:color w:val="auto"/>
              </w:rPr>
              <w:t>2/28/2018***</w:t>
            </w:r>
            <w:r>
              <w:rPr>
                <w:rFonts w:ascii="Arial" w:cs="Arial" w:eastAsia="Arial" w:hAnsi="Arial"/>
                <w:sz w:val="8"/>
                <w:szCs w:val="8"/>
                <w:color w:val="auto"/>
              </w:rPr>
              <w:t>(14)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Digital Media Platform</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1,067,639</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Preferred shares, Series B</w:t>
            </w:r>
          </w:p>
        </w:tc>
        <w:tc>
          <w:tcPr>
            <w:tcW w:w="1140" w:type="dxa"/>
            <w:vAlign w:val="bottom"/>
            <w:tcBorders>
              <w:bottom w:val="single" w:sz="8" w:color="CCEEFF"/>
            </w:tcBorders>
            <w:gridSpan w:val="4"/>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922,509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2,367,022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1,090,909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3,000,200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1,419,810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Seed</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236,635</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10,500,199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5,091,106</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CUX, Inc. (d/b/a CorpU)</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Philadelphia, PA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gridSpan w:val="14"/>
          </w:tcPr>
          <w:p>
            <w:pPr>
              <w:ind w:left="40"/>
              <w:spacing w:after="0" w:line="157" w:lineRule="exact"/>
              <w:rPr>
                <w:sz w:val="20"/>
                <w:szCs w:val="20"/>
                <w:color w:val="auto"/>
              </w:rPr>
            </w:pPr>
            <w:r>
              <w:rPr>
                <w:rFonts w:ascii="Arial" w:cs="Arial" w:eastAsia="Arial" w:hAnsi="Arial"/>
                <w:sz w:val="14"/>
                <w:szCs w:val="14"/>
                <w:color w:val="auto"/>
                <w:w w:val="94"/>
              </w:rPr>
              <w:t>Senior Subordinated Convertible Promissory Note 8%, Due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20" w:type="dxa"/>
            <w:vAlign w:val="bottom"/>
            <w:gridSpan w:val="7"/>
          </w:tcPr>
          <w:p>
            <w:pPr>
              <w:ind w:left="40"/>
              <w:spacing w:after="0"/>
              <w:rPr>
                <w:sz w:val="20"/>
                <w:szCs w:val="20"/>
                <w:color w:val="auto"/>
              </w:rPr>
            </w:pPr>
            <w:r>
              <w:rPr>
                <w:rFonts w:ascii="Arial" w:cs="Arial" w:eastAsia="Arial" w:hAnsi="Arial"/>
                <w:sz w:val="14"/>
                <w:szCs w:val="14"/>
                <w:color w:val="auto"/>
                <w:w w:val="99"/>
              </w:rPr>
              <w:t>11/26/2018***</w:t>
            </w:r>
            <w:r>
              <w:rPr>
                <w:rFonts w:ascii="Arial" w:cs="Arial" w:eastAsia="Arial" w:hAnsi="Arial"/>
                <w:sz w:val="8"/>
                <w:szCs w:val="8"/>
                <w:color w:val="auto"/>
                <w:w w:val="99"/>
              </w:rPr>
              <w:t>(6)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Corporate Education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1,259,712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1,259,712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1,259,712</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4"/>
                <w:szCs w:val="14"/>
                <w:color w:val="auto"/>
                <w:shd w:val="clear" w:color="auto" w:fill="CCEEFF"/>
              </w:rPr>
              <w:t>Convertible preferred shares, Series D</w:t>
            </w: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169,033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778,607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989,489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Convertible preferred shares, Series C</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615,763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480,184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63"/>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color w:val="auto"/>
                <w:w w:val="95"/>
              </w:rPr>
              <w:t>Preferred Warrants Series D–Strike Price $4.59–Expiration</w:t>
            </w:r>
          </w:p>
        </w:tc>
        <w:tc>
          <w:tcPr>
            <w:tcW w:w="1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color w:val="auto"/>
              </w:rPr>
              <w:t>Date 2/25/2018</w:t>
            </w:r>
            <w:r>
              <w:rPr>
                <w:rFonts w:ascii="Arial" w:cs="Arial" w:eastAsia="Arial" w:hAnsi="Arial"/>
                <w:sz w:val="8"/>
                <w:szCs w:val="8"/>
                <w:color w:val="auto"/>
              </w:rPr>
              <w:t>(15)</w:t>
            </w:r>
          </w:p>
        </w:tc>
        <w:tc>
          <w:tcPr>
            <w:tcW w:w="1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2,366</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tcPr>
          <w:p>
            <w:pPr>
              <w:spacing w:after="0"/>
              <w:rPr>
                <w:sz w:val="22"/>
                <w:szCs w:val="22"/>
                <w:color w:val="auto"/>
              </w:rPr>
            </w:pPr>
          </w:p>
        </w:tc>
        <w:tc>
          <w:tcPr>
            <w:tcW w:w="3500" w:type="dxa"/>
            <w:vAlign w:val="bottom"/>
            <w:tcBorders>
              <w:top w:val="single" w:sz="8" w:color="CCEEFF"/>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bottom w:val="single" w:sz="8" w:color="CCEEFF"/>
            </w:tcBorders>
          </w:tcPr>
          <w:p>
            <w:pPr>
              <w:spacing w:after="0"/>
              <w:rPr>
                <w:sz w:val="22"/>
                <w:szCs w:val="22"/>
                <w:color w:val="auto"/>
              </w:rPr>
            </w:pPr>
          </w:p>
        </w:tc>
        <w:tc>
          <w:tcPr>
            <w:tcW w:w="2740" w:type="dxa"/>
            <w:vAlign w:val="bottom"/>
            <w:tcBorders>
              <w:top w:val="single" w:sz="8" w:color="CCEEFF"/>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940" w:type="dxa"/>
            <w:vAlign w:val="bottom"/>
            <w:tcBorders>
              <w:top w:val="single" w:sz="8" w:color="CCEEFF"/>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4,044,396</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2,731,751</w:t>
            </w:r>
          </w:p>
        </w:tc>
        <w:tc>
          <w:tcPr>
            <w:tcW w:w="12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Declara,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Palo Alto,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gridSpan w:val="14"/>
          </w:tcPr>
          <w:p>
            <w:pPr>
              <w:ind w:left="40"/>
              <w:spacing w:after="0" w:line="157" w:lineRule="exact"/>
              <w:rPr>
                <w:sz w:val="20"/>
                <w:szCs w:val="20"/>
                <w:color w:val="auto"/>
              </w:rPr>
            </w:pPr>
            <w:r>
              <w:rPr>
                <w:rFonts w:ascii="Arial" w:cs="Arial" w:eastAsia="Arial" w:hAnsi="Arial"/>
                <w:sz w:val="14"/>
                <w:szCs w:val="14"/>
                <w:color w:val="auto"/>
              </w:rPr>
              <w:t>Convertible Promissory Note 9% Due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0" w:type="dxa"/>
            <w:vAlign w:val="bottom"/>
            <w:gridSpan w:val="6"/>
          </w:tcPr>
          <w:p>
            <w:pPr>
              <w:ind w:left="40"/>
              <w:spacing w:after="0"/>
              <w:rPr>
                <w:sz w:val="20"/>
                <w:szCs w:val="20"/>
                <w:color w:val="auto"/>
              </w:rPr>
            </w:pPr>
            <w:r>
              <w:rPr>
                <w:rFonts w:ascii="Arial" w:cs="Arial" w:eastAsia="Arial" w:hAnsi="Arial"/>
                <w:sz w:val="14"/>
                <w:szCs w:val="14"/>
                <w:color w:val="auto"/>
                <w:w w:val="95"/>
              </w:rPr>
              <w:t>12/31/2017</w:t>
            </w:r>
            <w:r>
              <w:rPr>
                <w:rFonts w:ascii="Arial" w:cs="Arial" w:eastAsia="Arial" w:hAnsi="Arial"/>
                <w:sz w:val="8"/>
                <w:szCs w:val="8"/>
                <w:color w:val="auto"/>
                <w:w w:val="95"/>
              </w:rPr>
              <w:t>(10)(12)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Social Cognitive Learning</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2,120,658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2,121,898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1,120,329</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10,716,390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9,999,999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382,678</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12,121,897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1,503,007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EdSurge,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Burlingame,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Education Media Platform</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378,788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501,360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494,365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500,801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581,917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500" w:type="dxa"/>
            <w:vAlign w:val="bottom"/>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1,002,161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1,081,917</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48539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-1449705</wp:posOffset>
            </wp:positionV>
            <wp:extent cx="48539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-2599055</wp:posOffset>
            </wp:positionV>
            <wp:extent cx="48539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-4382770</wp:posOffset>
            </wp:positionV>
            <wp:extent cx="48539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-6457950</wp:posOffset>
            </wp:positionV>
            <wp:extent cx="48539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-7160895</wp:posOffset>
            </wp:positionV>
            <wp:extent cx="48539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vMerge w:val="restart"/>
          </w:tcPr>
          <w:p>
            <w:pPr>
              <w:spacing w:after="0"/>
              <w:rPr>
                <w:sz w:val="14"/>
                <w:szCs w:val="14"/>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Headquarters/</w:t>
            </w:r>
          </w:p>
        </w:tc>
        <w:tc>
          <w:tcPr>
            <w:tcW w:w="1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of Net Assets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7"/>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Maven Research, Inc.</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C</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Knowledge Networks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318,979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2,000,447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501,240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217,206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62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2,217,653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551,240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70"/>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Total Non-controlled/Affiliate</w:t>
            </w: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41,886,312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16,473,098</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8.03%</w:t>
            </w:r>
          </w:p>
        </w:tc>
        <w:tc>
          <w:tcPr>
            <w:tcW w:w="0" w:type="dxa"/>
            <w:vAlign w:val="bottom"/>
          </w:tcPr>
          <w:p>
            <w:pPr>
              <w:spacing w:after="0"/>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8"/>
                <w:szCs w:val="8"/>
                <w:color w:val="auto"/>
              </w:rPr>
              <w:t>(2)</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StormWind, LLC</w:t>
            </w:r>
            <w:r>
              <w:rPr>
                <w:rFonts w:ascii="Arial" w:cs="Arial" w:eastAsia="Arial" w:hAnsi="Arial"/>
                <w:sz w:val="8"/>
                <w:szCs w:val="8"/>
                <w:color w:val="auto"/>
              </w:rPr>
              <w:t>(5)</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Scottsdale, AZ</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C</w:t>
            </w: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Interactive Learning</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2,779,134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4,000,787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7,223,904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7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3,279,629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2,019,687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5,804,472</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8"/>
          </w:tcPr>
          <w:p>
            <w:pPr>
              <w:ind w:left="40"/>
              <w:spacing w:after="0"/>
              <w:rPr>
                <w:sz w:val="20"/>
                <w:szCs w:val="20"/>
                <w:color w:val="auto"/>
              </w:rPr>
            </w:pPr>
            <w:r>
              <w:rPr>
                <w:rFonts w:ascii="Arial" w:cs="Arial" w:eastAsia="Arial" w:hAnsi="Arial"/>
                <w:sz w:val="14"/>
                <w:szCs w:val="14"/>
                <w:color w:val="auto"/>
              </w:rPr>
              <w:t>Preferred shares, Series A</w:t>
            </w: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366,666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110,000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425,342</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6,130,474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13,453,718</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29"/>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NestGSV, Inc. (d/b/a GSV Labs, Inc.)</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Redwood City,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6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Convertible Promissory Note 8% Due</w:t>
            </w:r>
          </w:p>
        </w:tc>
        <w:tc>
          <w:tcPr>
            <w:tcW w:w="2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7/31/2018***</w:t>
            </w:r>
            <w:r>
              <w:rPr>
                <w:rFonts w:ascii="Arial" w:cs="Arial" w:eastAsia="Arial" w:hAnsi="Arial"/>
                <w:sz w:val="8"/>
                <w:szCs w:val="8"/>
                <w:color w:val="auto"/>
              </w:rPr>
              <w:t>(9)</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Global Innovation Platform</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560,199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564,079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560,199</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57"/>
        </w:trPr>
        <w:tc>
          <w:tcPr>
            <w:tcW w:w="36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Unsecured Promissory Note 12% Due</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20" w:type="dxa"/>
            <w:vAlign w:val="bottom"/>
            <w:gridSpan w:val="3"/>
          </w:tcPr>
          <w:p>
            <w:pPr>
              <w:ind w:left="200"/>
              <w:spacing w:after="0"/>
              <w:rPr>
                <w:sz w:val="20"/>
                <w:szCs w:val="20"/>
                <w:color w:val="auto"/>
              </w:rPr>
            </w:pPr>
            <w:r>
              <w:rPr>
                <w:rFonts w:ascii="Arial" w:cs="Arial" w:eastAsia="Arial" w:hAnsi="Arial"/>
                <w:sz w:val="14"/>
                <w:szCs w:val="14"/>
                <w:color w:val="auto"/>
              </w:rPr>
              <w:t>1/15/2018***</w:t>
            </w:r>
            <w:r>
              <w:rPr>
                <w:rFonts w:ascii="Arial" w:cs="Arial" w:eastAsia="Arial" w:hAnsi="Arial"/>
                <w:sz w:val="8"/>
                <w:szCs w:val="8"/>
                <w:color w:val="auto"/>
              </w:rPr>
              <w:t>(8)</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592,129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592,809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592,129</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7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A-4</w:t>
            </w: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3,720,424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4,904,498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5,390,842</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A-3</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1,561,625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2,005,730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1,885,644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27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A-2</w:t>
            </w: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450,001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326,022</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A-1</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1,021,778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543,370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7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Preferred Warrants Series A-3–Strike Price $1.33–</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gridSpan w:val="7"/>
          </w:tcPr>
          <w:p>
            <w:pPr>
              <w:ind w:left="160"/>
              <w:spacing w:after="0"/>
              <w:rPr>
                <w:sz w:val="20"/>
                <w:szCs w:val="20"/>
                <w:color w:val="auto"/>
              </w:rPr>
            </w:pPr>
            <w:r>
              <w:rPr>
                <w:rFonts w:ascii="Arial" w:cs="Arial" w:eastAsia="Arial" w:hAnsi="Arial"/>
                <w:sz w:val="14"/>
                <w:szCs w:val="14"/>
                <w:color w:val="auto"/>
              </w:rPr>
              <w:t>Expiration Date 4/4/2019</w:t>
            </w: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1,875</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63"/>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Warrants Series A-4–Strike Price $1.33–</w:t>
            </w:r>
          </w:p>
        </w:tc>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620" w:type="dxa"/>
            <w:vAlign w:val="bottom"/>
            <w:gridSpan w:val="7"/>
            <w:shd w:val="clear" w:color="auto" w:fill="CCEEFF"/>
          </w:tcPr>
          <w:p>
            <w:pPr>
              <w:ind w:left="160"/>
              <w:spacing w:after="0"/>
              <w:rPr>
                <w:sz w:val="20"/>
                <w:szCs w:val="20"/>
                <w:color w:val="auto"/>
              </w:rPr>
            </w:pPr>
            <w:r>
              <w:rPr>
                <w:rFonts w:ascii="Arial" w:cs="Arial" w:eastAsia="Arial" w:hAnsi="Arial"/>
                <w:sz w:val="14"/>
                <w:szCs w:val="14"/>
                <w:color w:val="auto"/>
              </w:rPr>
              <w:t>Expiration Date 10/6/2019</w:t>
            </w:r>
          </w:p>
        </w:tc>
        <w:tc>
          <w:tcPr>
            <w:tcW w:w="2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160,000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57"/>
        </w:trPr>
        <w:tc>
          <w:tcPr>
            <w:tcW w:w="36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Preferred Warrants Series A-4–Strike Price $1.33–</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gridSpan w:val="7"/>
          </w:tcPr>
          <w:p>
            <w:pPr>
              <w:ind w:left="160"/>
              <w:spacing w:after="0"/>
              <w:rPr>
                <w:sz w:val="20"/>
                <w:szCs w:val="20"/>
                <w:color w:val="auto"/>
              </w:rPr>
            </w:pPr>
            <w:r>
              <w:rPr>
                <w:rFonts w:ascii="Arial" w:cs="Arial" w:eastAsia="Arial" w:hAnsi="Arial"/>
                <w:sz w:val="14"/>
                <w:szCs w:val="14"/>
                <w:color w:val="auto"/>
              </w:rPr>
              <w:t>Expiration Date 7/18/2021</w:t>
            </w: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102,500</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63"/>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w w:val="98"/>
              </w:rPr>
              <w:t>Preferred Warrants Series B–Strike Price $2.31–Expiration</w:t>
            </w:r>
          </w:p>
        </w:tc>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620" w:type="dxa"/>
            <w:vAlign w:val="bottom"/>
            <w:gridSpan w:val="7"/>
            <w:shd w:val="clear" w:color="auto" w:fill="CCEEFF"/>
          </w:tcPr>
          <w:p>
            <w:pPr>
              <w:ind w:left="160"/>
              <w:spacing w:after="0"/>
              <w:rPr>
                <w:sz w:val="20"/>
                <w:szCs w:val="20"/>
                <w:color w:val="auto"/>
              </w:rPr>
            </w:pPr>
            <w:r>
              <w:rPr>
                <w:rFonts w:ascii="Arial" w:cs="Arial" w:eastAsia="Arial" w:hAnsi="Arial"/>
                <w:sz w:val="14"/>
                <w:szCs w:val="14"/>
                <w:color w:val="auto"/>
              </w:rPr>
              <w:t>Date 11/29/2021</w:t>
            </w:r>
            <w:r>
              <w:rPr>
                <w:rFonts w:ascii="Arial" w:cs="Arial" w:eastAsia="Arial" w:hAnsi="Arial"/>
                <w:sz w:val="8"/>
                <w:szCs w:val="8"/>
                <w:color w:val="auto"/>
              </w:rPr>
              <w:t>(13)</w:t>
            </w:r>
          </w:p>
        </w:tc>
        <w:tc>
          <w:tcPr>
            <w:tcW w:w="2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41,000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57"/>
        </w:trPr>
        <w:tc>
          <w:tcPr>
            <w:tcW w:w="36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Preferred Warrant Series B–Strike Price $2.31, Expiration</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gridSpan w:val="7"/>
          </w:tcPr>
          <w:p>
            <w:pPr>
              <w:ind w:left="160"/>
              <w:spacing w:after="0"/>
              <w:rPr>
                <w:sz w:val="20"/>
                <w:szCs w:val="20"/>
                <w:color w:val="auto"/>
              </w:rPr>
            </w:pPr>
            <w:r>
              <w:rPr>
                <w:rFonts w:ascii="Arial" w:cs="Arial" w:eastAsia="Arial" w:hAnsi="Arial"/>
                <w:sz w:val="14"/>
                <w:szCs w:val="14"/>
                <w:color w:val="auto"/>
              </w:rPr>
              <w:t>Date 5/29/2022</w:t>
            </w:r>
            <w:r>
              <w:rPr>
                <w:rFonts w:ascii="Arial" w:cs="Arial" w:eastAsia="Arial" w:hAnsi="Arial"/>
                <w:sz w:val="8"/>
                <w:szCs w:val="8"/>
                <w:color w:val="auto"/>
              </w:rPr>
              <w:t>(8)</w:t>
            </w:r>
          </w:p>
        </w:tc>
        <w:tc>
          <w:tcPr>
            <w:tcW w:w="27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125,000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70,379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80,000</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9,869,428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9,683,581</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29"/>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SPBRX, INC. (f/k/a GSV Sustainability Partners, Inc.)</w:t>
            </w: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Woodside,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Class A***</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Clean Technology</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14,300,000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1,069,862</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Common shares</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500" w:type="dxa"/>
            <w:vAlign w:val="bottom"/>
            <w:tcBorders>
              <w:top w:val="single" w:sz="8" w:color="CCEEFF"/>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1,069,862</w:t>
            </w:r>
          </w:p>
        </w:tc>
        <w:tc>
          <w:tcPr>
            <w:tcW w:w="1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8"/>
          </w:tcPr>
          <w:p>
            <w:pPr>
              <w:ind w:left="40"/>
              <w:spacing w:after="0"/>
              <w:rPr>
                <w:sz w:val="20"/>
                <w:szCs w:val="20"/>
                <w:color w:val="auto"/>
              </w:rPr>
            </w:pPr>
            <w:r>
              <w:rPr>
                <w:rFonts w:ascii="Arial" w:cs="Arial" w:eastAsia="Arial" w:hAnsi="Arial"/>
                <w:sz w:val="14"/>
                <w:szCs w:val="14"/>
                <w:b w:val="1"/>
                <w:bCs w:val="1"/>
                <w:color w:val="auto"/>
              </w:rPr>
              <w:t>Total Controlled</w:t>
            </w: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23,161,314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24,207,161</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11.82%</w:t>
            </w:r>
          </w:p>
        </w:tc>
        <w:tc>
          <w:tcPr>
            <w:tcW w:w="0" w:type="dxa"/>
            <w:vAlign w:val="bottom"/>
          </w:tcPr>
          <w:p>
            <w:pPr>
              <w:spacing w:after="0"/>
              <w:rPr>
                <w:sz w:val="1"/>
                <w:szCs w:val="1"/>
                <w:color w:val="auto"/>
              </w:rPr>
            </w:pPr>
          </w:p>
        </w:tc>
      </w:tr>
      <w:tr>
        <w:trPr>
          <w:trHeight w:val="270"/>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Total Portfolio Investments</w:t>
            </w: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202,574,352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220,588,493</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107.74%</w:t>
            </w:r>
          </w:p>
        </w:tc>
        <w:tc>
          <w:tcPr>
            <w:tcW w:w="0" w:type="dxa"/>
            <w:vAlign w:val="bottom"/>
          </w:tcPr>
          <w:p>
            <w:pPr>
              <w:spacing w:after="0"/>
              <w:rPr>
                <w:sz w:val="1"/>
                <w:szCs w:val="1"/>
                <w:color w:val="auto"/>
              </w:rPr>
            </w:pPr>
          </w:p>
        </w:tc>
      </w:tr>
      <w:tr>
        <w:trPr>
          <w:trHeight w:val="230"/>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U.S. Treasury</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4"/>
                <w:szCs w:val="14"/>
                <w:color w:val="auto"/>
              </w:rPr>
              <w:t>U.S. Treasury bills, 0%, due 1/4/2018***</w:t>
            </w:r>
            <w:r>
              <w:rPr>
                <w:rFonts w:ascii="Arial" w:cs="Arial" w:eastAsia="Arial" w:hAnsi="Arial"/>
                <w:sz w:val="8"/>
                <w:szCs w:val="8"/>
                <w:color w:val="auto"/>
              </w:rPr>
              <w:t>(3)</w:t>
            </w:r>
          </w:p>
        </w:tc>
        <w:tc>
          <w:tcPr>
            <w:tcW w:w="120" w:type="dxa"/>
            <w:vAlign w:val="bottom"/>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100,000,000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99,985,833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99,994,000</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48.83%</w:t>
            </w:r>
          </w:p>
        </w:tc>
        <w:tc>
          <w:tcPr>
            <w:tcW w:w="0" w:type="dxa"/>
            <w:vAlign w:val="bottom"/>
          </w:tcPr>
          <w:p>
            <w:pPr>
              <w:spacing w:after="0"/>
              <w:rPr>
                <w:sz w:val="1"/>
                <w:szCs w:val="1"/>
                <w:color w:val="auto"/>
              </w:rPr>
            </w:pPr>
          </w:p>
        </w:tc>
      </w:tr>
      <w:tr>
        <w:trPr>
          <w:trHeight w:val="256"/>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TOTAL INVESTMENTS</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302,560,185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320,582,493</w:t>
            </w: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48539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48539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48539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-4561840</wp:posOffset>
            </wp:positionV>
            <wp:extent cx="48539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-5599430</wp:posOffset>
            </wp:positionV>
            <wp:extent cx="48539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03" w:lineRule="exact"/>
        <w:rPr>
          <w:sz w:val="20"/>
          <w:szCs w:val="20"/>
          <w:color w:val="auto"/>
        </w:rPr>
      </w:pPr>
    </w:p>
    <w:p>
      <w:pPr>
        <w:ind w:left="500" w:right="20" w:hanging="492"/>
        <w:spacing w:after="0" w:line="255"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non-income-producing, unless otherwise identified. Equity investments are subject to lock-up restrictions upon their initial public offering (“IPO”).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investments are restricted as to resale, unless otherwise noted, and were valued at fair value as determined in good faith by the Company’s board of directors.</w:t>
      </w:r>
    </w:p>
    <w:p>
      <w:pPr>
        <w:sectPr>
          <w:pgSz w:w="11900" w:h="16838" w:orient="portrait"/>
          <w:cols w:equalWidth="0" w:num="1">
            <w:col w:w="11420"/>
          </w:cols>
          <w:pgMar w:left="240" w:top="122"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ind w:left="500" w:right="60" w:hanging="492"/>
        <w:spacing w:after="0" w:line="34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Investment Company Act of 1940, as amended (the “1940 Act”). Of GSV Capital Corp.’s total portfolio as of December 31, 2017, 12.13% of its total investments are non-qualifying assets.</w:t>
      </w:r>
    </w:p>
    <w:p>
      <w:pPr>
        <w:spacing w:after="0" w:line="164" w:lineRule="exact"/>
        <w:rPr>
          <w:rFonts w:ascii="Arial" w:cs="Arial" w:eastAsia="Arial" w:hAnsi="Arial"/>
          <w:sz w:val="16"/>
          <w:szCs w:val="16"/>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66" w:lineRule="exact"/>
        <w:rPr>
          <w:sz w:val="20"/>
          <w:szCs w:val="20"/>
          <w:color w:val="auto"/>
        </w:rPr>
      </w:pPr>
    </w:p>
    <w:p>
      <w:pPr>
        <w:ind w:left="500" w:right="20" w:hanging="492"/>
        <w:spacing w:after="0" w:line="279"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7"/>
          <w:szCs w:val="17"/>
          <w:i w:val="1"/>
          <w:iCs w:val="1"/>
          <w:color w:val="auto"/>
        </w:rPr>
        <w:t>i.e.</w:t>
      </w:r>
      <w:r>
        <w:rPr>
          <w:rFonts w:ascii="Arial" w:cs="Arial" w:eastAsia="Arial" w:hAnsi="Arial"/>
          <w:sz w:val="17"/>
          <w:szCs w:val="17"/>
          <w:color w:val="auto"/>
        </w:rPr>
        <w:t>, securities with the right to elect directors) of such company. For the Schedule of Investments In, and Advances To, Affiliates, as required by SEC Regulation S-X, Rule 12-14, refer to “Note 4—Investments at Fair Value”.</w:t>
      </w:r>
    </w:p>
    <w:p>
      <w:pPr>
        <w:spacing w:after="0" w:line="171" w:lineRule="exact"/>
        <w:rPr>
          <w:rFonts w:ascii="Arial" w:cs="Arial" w:eastAsia="Arial" w:hAnsi="Arial"/>
          <w:sz w:val="17"/>
          <w:szCs w:val="17"/>
          <w:color w:val="auto"/>
        </w:rPr>
      </w:pPr>
    </w:p>
    <w:p>
      <w:pPr>
        <w:ind w:left="500" w:right="60" w:hanging="492"/>
        <w:spacing w:after="0" w:line="25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88"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Denotes an investment considered Level 1 valued using observable inputs.</w:t>
      </w:r>
    </w:p>
    <w:p>
      <w:pPr>
        <w:spacing w:after="0" w:line="225" w:lineRule="exact"/>
        <w:rPr>
          <w:rFonts w:ascii="Arial" w:cs="Arial" w:eastAsia="Arial" w:hAnsi="Arial"/>
          <w:sz w:val="18"/>
          <w:szCs w:val="18"/>
          <w:color w:val="auto"/>
        </w:rPr>
      </w:pPr>
    </w:p>
    <w:p>
      <w:pPr>
        <w:ind w:left="500" w:right="74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 In January 2018, GSV Capital Corp. sold its entire position in Avenues Global Holdings, LLC.</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StormWind, LLC is held through its wholly owned subsidiary, GSVC SW Holdings, Inc.</w:t>
      </w:r>
    </w:p>
    <w:p>
      <w:pPr>
        <w:spacing w:after="0" w:line="225" w:lineRule="exact"/>
        <w:rPr>
          <w:rFonts w:ascii="Arial" w:cs="Arial" w:eastAsia="Arial" w:hAnsi="Arial"/>
          <w:sz w:val="18"/>
          <w:szCs w:val="18"/>
          <w:color w:val="auto"/>
        </w:rPr>
      </w:pPr>
    </w:p>
    <w:p>
      <w:pPr>
        <w:ind w:left="500" w:right="40" w:hanging="49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181"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29, 2017, A Place for Rover, Inc. acquired DogVacay, Inc. and, pursuant to a plan of reorganization, the Company received common shares of A Place for Rover Inc. in exchange for the Company’s previously held Series B-1 preferred shares of DogVacay, Inc.</w:t>
      </w:r>
    </w:p>
    <w:p>
      <w:pPr>
        <w:spacing w:after="0" w:line="170" w:lineRule="exact"/>
        <w:rPr>
          <w:rFonts w:ascii="Arial" w:cs="Arial" w:eastAsia="Arial" w:hAnsi="Arial"/>
          <w:sz w:val="18"/>
          <w:szCs w:val="18"/>
          <w:color w:val="auto"/>
        </w:rPr>
      </w:pPr>
    </w:p>
    <w:p>
      <w:pPr>
        <w:ind w:left="500" w:right="40" w:hanging="492"/>
        <w:spacing w:after="0" w:line="276"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Refer to “Note 4—Investments at Fair Value.” On November 29, 2017, the maturity date of the unsecured promissory note to NestGSV, Inc. (d/b/a GSV Labs, Inc.) was extended to January 15, 2018. In January 2018, upon its maturity, NestGSV, Inc. (d/b/a GSV Labs, Inc.) repaid the unsecured promissory note, with interest.</w:t>
      </w:r>
    </w:p>
    <w:p>
      <w:pPr>
        <w:spacing w:after="0" w:line="172" w:lineRule="exact"/>
        <w:rPr>
          <w:rFonts w:ascii="Arial" w:cs="Arial" w:eastAsia="Arial" w:hAnsi="Arial"/>
          <w:sz w:val="17"/>
          <w:szCs w:val="17"/>
          <w:color w:val="auto"/>
        </w:rPr>
      </w:pPr>
    </w:p>
    <w:p>
      <w:pPr>
        <w:ind w:left="500" w:hanging="492"/>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July 31, 2017, the maturity date of the convertible promissory note to NestGSV, Inc. (d/b/a GSV Labs, Inc.) was extended to July 31, 2018.</w:t>
      </w:r>
    </w:p>
    <w:p>
      <w:pPr>
        <w:spacing w:after="0" w:line="236" w:lineRule="exact"/>
        <w:rPr>
          <w:rFonts w:ascii="Arial" w:cs="Arial" w:eastAsia="Arial" w:hAnsi="Arial"/>
          <w:sz w:val="17"/>
          <w:szCs w:val="17"/>
          <w:color w:val="auto"/>
        </w:rPr>
      </w:pPr>
    </w:p>
    <w:p>
      <w:pPr>
        <w:ind w:left="500" w:hanging="492"/>
        <w:spacing w:after="0" w:line="25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July 1, 2017, the maturity date of the convertible promissory note to Declara, Inc. was extended to December 31, 2017. The convertible promissory note was further extended until January 31, 2018. The maturity date of the convertible promissory note to Declara, Inc. was then subsequently extended an additional three months to April 30, 2018. On January 31, 2018 the interest rate on the convertible promissory note increased to 12% per annum (including 365 days for the purposes of accrual).</w:t>
      </w:r>
    </w:p>
    <w:p>
      <w:pPr>
        <w:spacing w:after="0" w:line="186" w:lineRule="exact"/>
        <w:rPr>
          <w:rFonts w:ascii="Arial" w:cs="Arial" w:eastAsia="Arial" w:hAnsi="Arial"/>
          <w:sz w:val="18"/>
          <w:szCs w:val="18"/>
          <w:color w:val="auto"/>
        </w:rPr>
      </w:pPr>
    </w:p>
    <w:p>
      <w:pPr>
        <w:jc w:val="both"/>
        <w:ind w:left="500" w:right="80" w:hanging="49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12, 2013, Chegg, Inc. priced its IPO. The lock-up agreement for the Company’s Chegg, Inc. common shares expired on May 11, 2014. As a result, the Company’s Chegg, Inc. common shares are considered unrestricted. As of February 22, 2018, all remaining shares of Chegg, Inc. held by GSV Capital Corp. had been sold.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2" w:right="279" w:bottom="1440" w:gutter="0" w:footer="0" w:header="0"/>
        </w:sectPr>
      </w:pPr>
    </w:p>
    <w:bookmarkStart w:id="14" w:name="page15"/>
    <w:bookmarkEnd w:id="1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2017, the investments noted had been placed on non-accrual status.</w:t>
      </w:r>
    </w:p>
    <w:p>
      <w:pPr>
        <w:spacing w:after="0" w:line="225"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fourth quarter of 2017, NestGSV, Inc. (d/b/a GSV Labs, Inc.) met certain financing qualifications under the Company’s warrant agreement with NestGSV, Inc. (d/b/a GSV Labs, Inc.), and the Company’s Series A-4 warrants with a strike price of $1.33 converted to Series B warrants with a $2.31 strike price.</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Subsequent to period-end, Ozy Media, Inc.’s obligations under its financing arrangements with the Company became past due. The Company and Ozy Media are in the process of renegotiating the terms of the Company’s investment.</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February 23, 2018, CUX, Inc. (d/b/a CorpU) agreed to extend the maturity of the Company’s Series D warrants until August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122"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229"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GSV Capital Corp. (the “Company” or “GSV Capital”), formed in September 2010 as a Maryland corporation, is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188" w:lineRule="exact"/>
        <w:rPr>
          <w:sz w:val="20"/>
          <w:szCs w:val="20"/>
          <w:color w:val="auto"/>
        </w:rPr>
      </w:pPr>
    </w:p>
    <w:p>
      <w:pPr>
        <w:ind w:right="20" w:firstLine="351"/>
        <w:spacing w:after="0" w:line="342" w:lineRule="auto"/>
        <w:rPr>
          <w:sz w:val="20"/>
          <w:szCs w:val="20"/>
          <w:color w:val="auto"/>
        </w:rPr>
      </w:pPr>
      <w:r>
        <w:rPr>
          <w:rFonts w:ascii="Arial" w:cs="Arial" w:eastAsia="Arial" w:hAnsi="Arial"/>
          <w:sz w:val="16"/>
          <w:szCs w:val="16"/>
          <w:color w:val="auto"/>
        </w:rPr>
        <w:t>The Company’s date of inception was January 6, 2011, which is the date it commenced its development stage activities. The Company’s common stock is currently listed on the Nasdaq Capital Market under the symbol “GSVC”. The Company began its investment operations during the second quarter of 2011.</w:t>
      </w:r>
    </w:p>
    <w:p>
      <w:pPr>
        <w:spacing w:after="0" w:line="124" w:lineRule="exact"/>
        <w:rPr>
          <w:sz w:val="20"/>
          <w:szCs w:val="20"/>
          <w:color w:val="auto"/>
        </w:rPr>
      </w:pPr>
    </w:p>
    <w:p>
      <w:pPr>
        <w:ind w:right="140" w:firstLine="351"/>
        <w:spacing w:after="0" w:line="276" w:lineRule="auto"/>
        <w:rPr>
          <w:sz w:val="20"/>
          <w:szCs w:val="20"/>
          <w:color w:val="auto"/>
        </w:rPr>
      </w:pPr>
      <w:r>
        <w:rPr>
          <w:rFonts w:ascii="Arial" w:cs="Arial" w:eastAsia="Arial" w:hAnsi="Arial"/>
          <w:sz w:val="17"/>
          <w:szCs w:val="17"/>
          <w:color w:val="auto"/>
        </w:rPr>
        <w:t>The table below displays all the Company’s subsidiaries as of March 31, 2018,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Arial" w:cs="Arial" w:eastAsia="Arial" w:hAnsi="Arial"/>
          <w:sz w:val="17"/>
          <w:szCs w:val="17"/>
          <w:i w:val="1"/>
          <w:iCs w:val="1"/>
          <w:color w:val="auto"/>
        </w:rPr>
        <w:t>Basis of Consolidation</w:t>
      </w:r>
      <w:r>
        <w:rPr>
          <w:rFonts w:ascii="Arial" w:cs="Arial" w:eastAsia="Arial" w:hAnsi="Arial"/>
          <w:sz w:val="17"/>
          <w:szCs w:val="17"/>
          <w:color w:val="auto"/>
        </w:rPr>
        <w:t>” below for further detail.</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Jurisdiction of</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Formation</w:t>
            </w:r>
          </w:p>
        </w:tc>
        <w:tc>
          <w:tcPr>
            <w:tcW w:w="1320" w:type="dxa"/>
            <w:vAlign w:val="bottom"/>
          </w:tcPr>
          <w:p>
            <w:pPr>
              <w:jc w:val="right"/>
              <w:ind w:right="23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6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Incorporation</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GCL</w:t>
            </w:r>
          </w:p>
        </w:tc>
        <w:tc>
          <w:tcPr>
            <w:tcW w:w="15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April 13, 2012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6"/>
                <w:szCs w:val="16"/>
                <w:b w:val="1"/>
                <w:bCs w:val="1"/>
                <w:color w:val="auto"/>
              </w:rPr>
              <w:t>Subsidiaries below are referred to collectively, as the “GSVC Holdings”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AE Holdings, Inc. (“GAE”)</w:t>
            </w:r>
          </w:p>
        </w:tc>
        <w:tc>
          <w:tcPr>
            <w:tcW w:w="15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GSVC AV Holdings, Inc. (“GAV”)</w:t>
            </w:r>
          </w:p>
        </w:tc>
        <w:tc>
          <w:tcPr>
            <w:tcW w:w="1580" w:type="dxa"/>
            <w:vAlign w:val="bottom"/>
            <w:gridSpan w:val="2"/>
          </w:tcPr>
          <w:p>
            <w:pPr>
              <w:ind w:left="760"/>
              <w:spacing w:after="0"/>
              <w:rPr>
                <w:sz w:val="20"/>
                <w:szCs w:val="20"/>
                <w:color w:val="auto"/>
              </w:rPr>
            </w:pPr>
            <w:r>
              <w:rPr>
                <w:rFonts w:ascii="Arial" w:cs="Arial" w:eastAsia="Arial" w:hAnsi="Arial"/>
                <w:sz w:val="18"/>
                <w:szCs w:val="18"/>
                <w:color w:val="auto"/>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NG Holdings, Inc. (“GNG”)</w:t>
            </w:r>
          </w:p>
        </w:tc>
        <w:tc>
          <w:tcPr>
            <w:tcW w:w="15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GSVC SW Holdings, Inc. (“GSW”)</w:t>
            </w:r>
          </w:p>
        </w:tc>
        <w:tc>
          <w:tcPr>
            <w:tcW w:w="1580" w:type="dxa"/>
            <w:vAlign w:val="bottom"/>
            <w:gridSpan w:val="2"/>
          </w:tcPr>
          <w:p>
            <w:pPr>
              <w:ind w:left="760"/>
              <w:spacing w:after="0"/>
              <w:rPr>
                <w:sz w:val="20"/>
                <w:szCs w:val="20"/>
                <w:color w:val="auto"/>
              </w:rPr>
            </w:pPr>
            <w:r>
              <w:rPr>
                <w:rFonts w:ascii="Arial" w:cs="Arial" w:eastAsia="Arial" w:hAnsi="Arial"/>
                <w:sz w:val="18"/>
                <w:szCs w:val="18"/>
                <w:color w:val="auto"/>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WS Holdings, Inc. (“GWS”)</w:t>
            </w:r>
          </w:p>
        </w:tc>
        <w:tc>
          <w:tcPr>
            <w:tcW w:w="15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GSVC SVDS Holdings, Inc. (“SVDS”)</w:t>
            </w:r>
          </w:p>
        </w:tc>
        <w:tc>
          <w:tcPr>
            <w:tcW w:w="1580" w:type="dxa"/>
            <w:vAlign w:val="bottom"/>
            <w:gridSpan w:val="2"/>
          </w:tcPr>
          <w:p>
            <w:pPr>
              <w:ind w:left="760"/>
              <w:spacing w:after="0"/>
              <w:rPr>
                <w:sz w:val="20"/>
                <w:szCs w:val="20"/>
                <w:color w:val="auto"/>
              </w:rPr>
            </w:pPr>
            <w:r>
              <w:rPr>
                <w:rFonts w:ascii="Arial" w:cs="Arial" w:eastAsia="Arial" w:hAnsi="Arial"/>
                <w:sz w:val="18"/>
                <w:szCs w:val="18"/>
                <w:color w:val="auto"/>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13, 2013</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351"/>
        <w:spacing w:after="0" w:line="297"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0" w:firstLine="351"/>
        <w:spacing w:after="0" w:line="273" w:lineRule="auto"/>
        <w:rPr>
          <w:sz w:val="20"/>
          <w:szCs w:val="20"/>
          <w:color w:val="auto"/>
        </w:rPr>
      </w:pPr>
      <w:r>
        <w:rPr>
          <w:rFonts w:ascii="Arial" w:cs="Arial" w:eastAsia="Arial" w:hAnsi="Arial"/>
          <w:sz w:val="17"/>
          <w:szCs w:val="17"/>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Services—Investment Companies. In the opinion of management, all adjustments, all of which were of a normal recurring nature, considered necessary for the fair presentation of consolidated financial statements for the interim period have been included.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results of operations for the current interim period are not necessarily indicative of results that ultimately may be achieved for any other interim period or for the year ending December 31, 2018. The interim unaudited condensed consolidated financial statements and notes hereto should be read in conjunction with the audited condensed consolidated financial statements and notes thereto contained in the Company’s annual report on Form 10-K for the year ended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ind w:right="120" w:firstLine="351"/>
        <w:spacing w:after="0" w:line="288" w:lineRule="auto"/>
        <w:rPr>
          <w:sz w:val="20"/>
          <w:szCs w:val="20"/>
          <w:color w:val="auto"/>
        </w:rPr>
      </w:pPr>
      <w:r>
        <w:rPr>
          <w:rFonts w:ascii="Arial" w:cs="Arial" w:eastAsia="Arial" w:hAnsi="Arial"/>
          <w:sz w:val="16"/>
          <w:szCs w:val="16"/>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w:t>
      </w:r>
    </w:p>
    <w:p>
      <w:pPr>
        <w:ind w:right="440"/>
        <w:spacing w:after="0" w:line="261" w:lineRule="auto"/>
        <w:rPr>
          <w:sz w:val="20"/>
          <w:szCs w:val="20"/>
          <w:color w:val="auto"/>
        </w:rPr>
      </w:pPr>
      <w:r>
        <w:rPr>
          <w:rFonts w:ascii="Arial" w:cs="Arial" w:eastAsia="Arial" w:hAnsi="Arial"/>
          <w:sz w:val="18"/>
          <w:szCs w:val="18"/>
          <w:color w:val="auto"/>
        </w:rPr>
        <w:t>Accordingly, the Company’s consolidated financial statements include its accounts and the accounts of the GSVC Holdings and GCL, its wholly-owned subsidiaries. All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160" w:firstLine="351"/>
        <w:spacing w:after="0" w:line="257" w:lineRule="auto"/>
        <w:rPr>
          <w:sz w:val="20"/>
          <w:szCs w:val="20"/>
          <w:color w:val="auto"/>
        </w:rPr>
      </w:pPr>
      <w:r>
        <w:rPr>
          <w:rFonts w:ascii="Arial" w:cs="Arial" w:eastAsia="Arial" w:hAnsi="Arial"/>
          <w:sz w:val="18"/>
          <w:szCs w:val="18"/>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Uncertainties and Risk Factors</w:t>
      </w:r>
    </w:p>
    <w:p>
      <w:pPr>
        <w:spacing w:after="0" w:line="229" w:lineRule="exact"/>
        <w:rPr>
          <w:sz w:val="20"/>
          <w:szCs w:val="20"/>
          <w:color w:val="auto"/>
        </w:rPr>
      </w:pPr>
    </w:p>
    <w:p>
      <w:pPr>
        <w:ind w:firstLine="351"/>
        <w:spacing w:after="0" w:line="276" w:lineRule="auto"/>
        <w:rPr>
          <w:sz w:val="20"/>
          <w:szCs w:val="20"/>
          <w:color w:val="auto"/>
        </w:rPr>
      </w:pPr>
      <w:r>
        <w:rPr>
          <w:rFonts w:ascii="Arial" w:cs="Arial" w:eastAsia="Arial" w:hAnsi="Arial"/>
          <w:sz w:val="17"/>
          <w:szCs w:val="17"/>
          <w:color w:val="auto"/>
        </w:rPr>
        <w:t>The Company is subject to a number of risks and uncertainties in the nature of its operations, as well as vulnerability due to certain concentrations. Refer to “Management's Discussion and Analysis of Financial Condition and Results of Operations - Forward-Looking Statements" and "Risk Factors” in this quarterly report on Form 10-Q and "Risk Factors" in Part I, Item 1A of the Company's annual report on Form 10-K for the fiscal year ended December 31, 2017 for a detailed discussion of the risks and uncertainties inherent in the nature of the Company’s operations. Refer to “Note 4—Investments at Fair Value.” for an overview of the Company’s industry and geographic concentrations.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at Fair Value</w:t>
      </w:r>
    </w:p>
    <w:p>
      <w:pPr>
        <w:spacing w:after="0" w:line="229" w:lineRule="exact"/>
        <w:rPr>
          <w:sz w:val="20"/>
          <w:szCs w:val="20"/>
          <w:color w:val="auto"/>
        </w:rPr>
      </w:pPr>
    </w:p>
    <w:p>
      <w:pPr>
        <w:ind w:right="260" w:firstLine="351"/>
        <w:spacing w:after="0" w:line="277" w:lineRule="auto"/>
        <w:rPr>
          <w:sz w:val="20"/>
          <w:szCs w:val="20"/>
          <w:color w:val="auto"/>
        </w:rPr>
      </w:pPr>
      <w:r>
        <w:rPr>
          <w:rFonts w:ascii="Arial" w:cs="Arial" w:eastAsia="Arial" w:hAnsi="Arial"/>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70" w:lineRule="exact"/>
        <w:rPr>
          <w:sz w:val="20"/>
          <w:szCs w:val="20"/>
          <w:color w:val="auto"/>
        </w:rPr>
      </w:pPr>
    </w:p>
    <w:p>
      <w:pPr>
        <w:ind w:firstLine="351"/>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4" w:lineRule="exact"/>
        <w:rPr>
          <w:sz w:val="20"/>
          <w:szCs w:val="20"/>
          <w:color w:val="auto"/>
        </w:rPr>
      </w:pPr>
    </w:p>
    <w:p>
      <w:pPr>
        <w:ind w:right="80" w:firstLine="351"/>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—Valuations based on unadjusted quoted prices for identical assets or liabilities in an active market that the Company has the ability to access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162" w:lineRule="exact"/>
        <w:rPr>
          <w:sz w:val="20"/>
          <w:szCs w:val="20"/>
          <w:color w:val="auto"/>
        </w:rPr>
      </w:pPr>
    </w:p>
    <w:p>
      <w:pPr>
        <w:jc w:val="both"/>
        <w:ind w:right="20" w:firstLine="351"/>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—Valuations based on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at the measurement date for substantially the full term of the assets or liabilities.</w:t>
      </w:r>
    </w:p>
    <w:p>
      <w:pPr>
        <w:spacing w:after="0" w:line="176"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—Valuations based on unobservable inputs that reflect management’s best estimate of what market participants would use in pricing the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at the measurement date. Consideration is given to the risk inherent in the valuation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technique and the risk inherent in the inputs to the model. The majority of the Company’s investments are Level 3 investments and are subject to a high degree of judgment and uncertainty in determining fair value.</w:t>
      </w:r>
    </w:p>
    <w:p>
      <w:pPr>
        <w:spacing w:after="0" w:line="170" w:lineRule="exact"/>
        <w:rPr>
          <w:sz w:val="20"/>
          <w:szCs w:val="20"/>
          <w:color w:val="auto"/>
        </w:rPr>
      </w:pPr>
    </w:p>
    <w:p>
      <w:pPr>
        <w:ind w:right="120" w:firstLine="351"/>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8" w:lineRule="exact"/>
        <w:rPr>
          <w:sz w:val="20"/>
          <w:szCs w:val="20"/>
          <w:color w:val="auto"/>
        </w:rPr>
      </w:pPr>
    </w:p>
    <w:p>
      <w:pPr>
        <w:ind w:right="220" w:firstLine="351"/>
        <w:spacing w:after="0" w:line="279" w:lineRule="auto"/>
        <w:rPr>
          <w:sz w:val="20"/>
          <w:szCs w:val="20"/>
          <w:color w:val="auto"/>
        </w:rPr>
      </w:pPr>
      <w:r>
        <w:rPr>
          <w:rFonts w:ascii="Arial" w:cs="Arial" w:eastAsia="Arial" w:hAnsi="Arial"/>
          <w:sz w:val="17"/>
          <w:szCs w:val="17"/>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 Refer to “Levelling Policy” below for a detailed discussion of the levelling of the Company’s financial assets or liabilities and events that may cause a reclassification within the fair value hierarchy.</w:t>
      </w:r>
    </w:p>
    <w:p>
      <w:pPr>
        <w:spacing w:after="0" w:line="17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93" w:lineRule="exact"/>
        <w:rPr>
          <w:sz w:val="20"/>
          <w:szCs w:val="20"/>
          <w:color w:val="auto"/>
        </w:rPr>
      </w:pPr>
    </w:p>
    <w:p>
      <w:pPr>
        <w:ind w:right="140" w:firstLine="351"/>
        <w:spacing w:after="0" w:line="286"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GSV Asset Management, our board of directors or the valuation committee of the Company’s board of directors (the “Valuation Committee”), does not reliably represent fair value, shall each be valued as follows:</w:t>
      </w:r>
    </w:p>
    <w:p>
      <w:pPr>
        <w:spacing w:after="0" w:line="166" w:lineRule="exact"/>
        <w:rPr>
          <w:sz w:val="20"/>
          <w:szCs w:val="20"/>
          <w:color w:val="auto"/>
        </w:rPr>
      </w:pPr>
    </w:p>
    <w:p>
      <w:pPr>
        <w:ind w:left="660" w:right="3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GSV Asset Management senior management;</w:t>
      </w:r>
    </w:p>
    <w:p>
      <w:pPr>
        <w:spacing w:after="0" w:line="265"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the Valuation Committee to conduct independent appraisals and review GSV Asset Management’s preliminary valuations and make its own independent assessment, for all investments for which there are no readily available market quotations;</w:t>
      </w:r>
    </w:p>
    <w:p>
      <w:pPr>
        <w:spacing w:after="0" w:line="221"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GSV Asset Management and the independent third-party valuation firm; and</w:t>
      </w:r>
    </w:p>
    <w:p>
      <w:pPr>
        <w:spacing w:after="0" w:line="21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211"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6"/>
          <w:szCs w:val="16"/>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which the portfolio company does business, and other relevant factors. The Company assigns a weighting based upon the relevance of each method to determine the fair value of each investment.</w:t>
      </w:r>
    </w:p>
    <w:p>
      <w:pPr>
        <w:spacing w:after="0" w:line="170" w:lineRule="exact"/>
        <w:rPr>
          <w:sz w:val="20"/>
          <w:szCs w:val="20"/>
          <w:color w:val="auto"/>
        </w:rPr>
      </w:pPr>
    </w:p>
    <w:p>
      <w:pPr>
        <w:ind w:right="100" w:firstLine="351"/>
        <w:spacing w:after="0" w:line="279" w:lineRule="auto"/>
        <w:rPr>
          <w:sz w:val="20"/>
          <w:szCs w:val="20"/>
          <w:color w:val="auto"/>
        </w:rPr>
      </w:pPr>
      <w:r>
        <w:rPr>
          <w:rFonts w:ascii="Arial" w:cs="Arial" w:eastAsia="Arial" w:hAnsi="Arial"/>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7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7" w:lineRule="exact"/>
        <w:rPr>
          <w:sz w:val="20"/>
          <w:szCs w:val="20"/>
          <w:color w:val="auto"/>
        </w:rPr>
      </w:pPr>
    </w:p>
    <w:p>
      <w:pPr>
        <w:ind w:firstLine="351"/>
        <w:spacing w:after="0" w:line="342" w:lineRule="auto"/>
        <w:rPr>
          <w:sz w:val="20"/>
          <w:szCs w:val="20"/>
          <w:color w:val="auto"/>
        </w:rPr>
      </w:pPr>
      <w:r>
        <w:rPr>
          <w:rFonts w:ascii="Arial" w:cs="Arial" w:eastAsia="Arial" w:hAnsi="Arial"/>
          <w:sz w:val="16"/>
          <w:szCs w:val="16"/>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25" w:lineRule="exact"/>
        <w:rPr>
          <w:sz w:val="20"/>
          <w:szCs w:val="20"/>
          <w:color w:val="auto"/>
        </w:rPr>
      </w:pPr>
    </w:p>
    <w:p>
      <w:pPr>
        <w:ind w:right="140" w:firstLine="351"/>
        <w:spacing w:after="0" w:line="293" w:lineRule="auto"/>
        <w:rPr>
          <w:sz w:val="20"/>
          <w:szCs w:val="20"/>
          <w:color w:val="auto"/>
        </w:rPr>
      </w:pPr>
      <w:r>
        <w:rPr>
          <w:rFonts w:ascii="Arial" w:cs="Arial" w:eastAsia="Arial" w:hAnsi="Arial"/>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6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67" w:lineRule="exact"/>
        <w:rPr>
          <w:sz w:val="20"/>
          <w:szCs w:val="20"/>
          <w:color w:val="auto"/>
        </w:rPr>
      </w:pPr>
    </w:p>
    <w:p>
      <w:pPr>
        <w:ind w:right="40" w:firstLine="351"/>
        <w:spacing w:after="0" w:line="271" w:lineRule="auto"/>
        <w:rPr>
          <w:sz w:val="20"/>
          <w:szCs w:val="20"/>
          <w:color w:val="auto"/>
        </w:rPr>
      </w:pPr>
      <w:r>
        <w:rPr>
          <w:rFonts w:ascii="Arial" w:cs="Arial" w:eastAsia="Arial" w:hAnsi="Arial"/>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Consolidated Statements of Operations and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Consolidated Statements of Cash Flows.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2" w:right="27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The Company’s board of directors will ascribe value to warrants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warrants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March 31, 2018 and December 31, 2017, for details regarding the nature and composition of the Company’s investment portfolio.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Levelling Policy</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2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w:t>
      </w:r>
      <w:r>
        <w:rPr>
          <w:rFonts w:ascii="Arial" w:cs="Arial" w:eastAsia="Arial" w:hAnsi="Arial"/>
          <w:sz w:val="18"/>
          <w:szCs w:val="18"/>
          <w:i w:val="1"/>
          <w:iCs w:val="1"/>
          <w:color w:val="auto"/>
        </w:rPr>
        <w:t>i.e.</w:t>
      </w:r>
      <w:r>
        <w:rPr>
          <w:rFonts w:ascii="Arial" w:cs="Arial" w:eastAsia="Arial" w:hAnsi="Arial"/>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Financial Instruments</w:t>
      </w:r>
    </w:p>
    <w:p>
      <w:pPr>
        <w:spacing w:after="0" w:line="229" w:lineRule="exact"/>
        <w:rPr>
          <w:sz w:val="20"/>
          <w:szCs w:val="20"/>
          <w:color w:val="auto"/>
        </w:rPr>
      </w:pPr>
    </w:p>
    <w:p>
      <w:pPr>
        <w:ind w:right="400" w:firstLine="351"/>
        <w:spacing w:after="0" w:line="277"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right="200" w:firstLine="351"/>
        <w:spacing w:after="0" w:line="312" w:lineRule="auto"/>
        <w:rPr>
          <w:sz w:val="20"/>
          <w:szCs w:val="20"/>
          <w:color w:val="auto"/>
        </w:rPr>
      </w:pPr>
      <w:r>
        <w:rPr>
          <w:rFonts w:ascii="Arial" w:cs="Arial" w:eastAsia="Arial" w:hAnsi="Arial"/>
          <w:sz w:val="16"/>
          <w:szCs w:val="16"/>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Proceeds Receivable</w:t>
      </w:r>
    </w:p>
    <w:p>
      <w:pPr>
        <w:spacing w:after="0" w:line="225" w:lineRule="exact"/>
        <w:rPr>
          <w:sz w:val="20"/>
          <w:szCs w:val="20"/>
          <w:color w:val="auto"/>
        </w:rPr>
      </w:pPr>
    </w:p>
    <w:p>
      <w:pPr>
        <w:ind w:right="120" w:firstLine="351"/>
        <w:spacing w:after="0" w:line="273" w:lineRule="auto"/>
        <w:rPr>
          <w:sz w:val="20"/>
          <w:szCs w:val="20"/>
          <w:color w:val="auto"/>
        </w:rPr>
      </w:pPr>
      <w:r>
        <w:rPr>
          <w:rFonts w:ascii="Arial" w:cs="Arial" w:eastAsia="Arial" w:hAnsi="Arial"/>
          <w:sz w:val="17"/>
          <w:szCs w:val="17"/>
          <w:color w:val="auto"/>
        </w:rPr>
        <w:t>During 2017 the Company completed the sale of its investments in JAMF Holdings, Inc. and Strategic Data Command, LLC. A portion of the proceeds from the sale of these portfolio investments are held in escrow as a recourse for indemnity claims that may arise under the sale agreement. Amounts held in escrow are held at estimated realizable value and included in net realized gains (losses) on investments in the Condensed Consolidated Statements of Operations for the period in which they occurred. Any remaining escrow proceeds balances from these transaction reasonably expected to be received are reflected on the Condensed Consolidated Statement of Assets and Liabilities as escrow proceeds receivable. At March 31, 2018 and December 31, 2017, the Company had $208,447 and $603,456, respectively, in escrow proceeds receivable.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ind w:right="60" w:firstLine="351"/>
        <w:spacing w:after="0" w:line="272" w:lineRule="auto"/>
        <w:rPr>
          <w:sz w:val="20"/>
          <w:szCs w:val="20"/>
          <w:color w:val="auto"/>
        </w:rPr>
      </w:pPr>
      <w:r>
        <w:rPr>
          <w:rFonts w:ascii="Arial" w:cs="Arial" w:eastAsia="Arial" w:hAnsi="Arial"/>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As of March 31, 2018, and December 31, 2017, the Company had deferred financing costs of $31,163 and $413,023, respectively, on the Condensed Consolidated Statements of Assets and Liabilities.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 facility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51,636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offering costs</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361,387</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Financing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31,163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413,023</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2825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80" w:firstLine="351"/>
        <w:spacing w:after="0" w:line="342" w:lineRule="auto"/>
        <w:rPr>
          <w:sz w:val="20"/>
          <w:szCs w:val="20"/>
          <w:color w:val="auto"/>
        </w:rPr>
      </w:pPr>
      <w:r>
        <w:rPr>
          <w:rFonts w:ascii="Arial" w:cs="Arial" w:eastAsia="Arial" w:hAnsi="Arial"/>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 Costs and Escrow Deposits</w:t>
      </w:r>
    </w:p>
    <w:p>
      <w:pPr>
        <w:spacing w:after="0" w:line="229" w:lineRule="exact"/>
        <w:rPr>
          <w:sz w:val="20"/>
          <w:szCs w:val="20"/>
          <w:color w:val="auto"/>
        </w:rPr>
      </w:pPr>
    </w:p>
    <w:p>
      <w:pPr>
        <w:ind w:firstLine="351"/>
        <w:spacing w:after="0" w:line="273"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At March 31, 2018 and December 31, 2017, the Company had no escrow deposits.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of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Unrealized appreciation or depreciation is calculated as the difference between the fair value of the investment and the cost basis of such investment.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and State Income Taxes</w:t>
      </w:r>
    </w:p>
    <w:p>
      <w:pPr>
        <w:spacing w:after="0" w:line="22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Company meets the Annual Distribution Requirement, but does not distribute (or is not deemed to have distributed) each calendar year a sum of</w:t>
      </w:r>
    </w:p>
    <w:p>
      <w:pPr>
        <w:spacing w:after="0" w:line="46" w:lineRule="exact"/>
        <w:rPr>
          <w:sz w:val="20"/>
          <w:szCs w:val="20"/>
          <w:color w:val="auto"/>
        </w:rPr>
      </w:pPr>
    </w:p>
    <w:p>
      <w:pPr>
        <w:ind w:right="40" w:firstLine="8"/>
        <w:spacing w:after="0" w:line="290"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64"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16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Information</w:t>
      </w:r>
    </w:p>
    <w:p>
      <w:pPr>
        <w:spacing w:after="0" w:line="229" w:lineRule="exact"/>
        <w:rPr>
          <w:sz w:val="20"/>
          <w:szCs w:val="20"/>
          <w:color w:val="auto"/>
        </w:rPr>
      </w:pPr>
    </w:p>
    <w:p>
      <w:pPr>
        <w:ind w:right="160" w:firstLine="351"/>
        <w:spacing w:after="0" w:line="293" w:lineRule="auto"/>
        <w:rPr>
          <w:sz w:val="20"/>
          <w:szCs w:val="20"/>
          <w:color w:val="auto"/>
        </w:rPr>
      </w:pPr>
      <w:r>
        <w:rPr>
          <w:rFonts w:ascii="Arial" w:cs="Arial" w:eastAsia="Arial" w:hAnsi="Arial"/>
          <w:sz w:val="16"/>
          <w:szCs w:val="16"/>
          <w:color w:val="auto"/>
        </w:rPr>
        <w:t xml:space="preserve">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6"/>
          <w:szCs w:val="16"/>
          <w:i w:val="1"/>
          <w:iCs w:val="1"/>
          <w:color w:val="auto"/>
        </w:rPr>
        <w:t>FASB ASC 260, Earnings Per Share</w:t>
      </w:r>
      <w:r>
        <w:rPr>
          <w:rFonts w:ascii="Arial" w:cs="Arial" w:eastAsia="Arial" w:hAnsi="Arial"/>
          <w:sz w:val="16"/>
          <w:szCs w:val="16"/>
          <w:color w:val="auto"/>
        </w:rPr>
        <w:t xml:space="preserve"> (“ASC 260”) to determine the number of potentially dilutive shares outstanding. Refer to “Note 6—Net Increase in Net Assets Resulting from Operations per Common Share—Basic and Diluted” for further detail.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firstLine="351"/>
        <w:spacing w:after="0" w:line="272" w:lineRule="auto"/>
        <w:rPr>
          <w:sz w:val="20"/>
          <w:szCs w:val="20"/>
          <w:color w:val="auto"/>
        </w:rPr>
      </w:pPr>
      <w:r>
        <w:rPr>
          <w:rFonts w:ascii="Arial" w:cs="Arial" w:eastAsia="Arial" w:hAnsi="Arial"/>
          <w:sz w:val="17"/>
          <w:szCs w:val="17"/>
          <w:color w:val="auto"/>
        </w:rPr>
        <w:t xml:space="preserve">In July 2017, the FASB issued ASU 2017-13 which addressed the application of ASU 2014-9,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it relates to adoption period for entities not otherwise required to adopt the new revenue recognition standard, but whose financial statements or financial information are included in another entity’s filing with the SEC. ASU 2014-9, issued by FASB in May 2014, and related amendments, provide comprehensive guidance for recognizing revenue from contracts with customers. Entities will be able to recognize revenue when the entity transfers promised goods or services to customers in an amount that reflects the consideration to which the entity expects to be entitled to in exchange for those goods or services. The guidance in ASU 2014-9, and the related amendments, is effective for the Company on January 1, 2018. The Company adopted the ASU on January 1, 2018, which did not have a material impact on the Company's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3—RELATED-PARTY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229"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The Company has entered into an investment advisory agreement with GSV Asset Management (the “Investment Advisory Agreement”). Under the terms of the agreement, GSV Asset Management is paid a quarterly management fee and an annual incentive fee. GSV Asset Management is controlled by Michael Moe, the Executive Chairman of the Company’s board of directors. Mr. Moe, through his ownership interest in GSV Asset Management, is entitled to a portion of any profits earned by GSV Asset Management in performing its services under the Investment Advisory Agreement. Mr. Moe and</w:t>
      </w:r>
    </w:p>
    <w:p>
      <w:pPr>
        <w:spacing w:after="0" w:line="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William Tanona, the Company’s President, Chief Financial Officer, Treasurer and Corporate Secretary, as principals of GSV Asset Management, collectively manage the business and internal affairs of GSV Asset Management. Mark Klein, the Company’s Chief Executive Officer and a member of the Company’s board of directors, or entities with which he is affiliated, receives consulting fees from GSV Asset Management equal to a percentage of each of the base management fee and the incentive fee paid by the Company to GSV Asset Management pursuant to a consulting agreement with GSV Asset Management.</w:t>
      </w:r>
    </w:p>
    <w:p>
      <w:pPr>
        <w:spacing w:after="0" w:line="16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the Investment Advisory Agreement, there are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has, however, adopted an internal policy whereby any fees or compensation received by a manager, partner, officer or employee of GSV Asset Management in exchange for serving as a director of, or providing consulting services to, any of the Company’s portfolio companies will be transferred to the Company, net of any personal taxes incurred, upon such receipt for the benefit of the Company and its stockholders.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Under the terms of the Investment Advisory Agreement, GSV Asset Management is paid a base management fee of 2.0% of gross assets, which is the Company’s total assets reflected on its Condensed Consolidated Statements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GSV Asset Management earned $1,323,576 and $1,454,421 in management fees for the three months ended March 31,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GSV Asset Management waived $154,944 and $181,803 in management fees for the three months ended March 31, 2018 and 2017,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ind w:right="120" w:firstLine="351"/>
        <w:spacing w:after="0" w:line="273" w:lineRule="auto"/>
        <w:rPr>
          <w:sz w:val="20"/>
          <w:szCs w:val="20"/>
          <w:color w:val="auto"/>
        </w:rPr>
      </w:pPr>
      <w:r>
        <w:rPr>
          <w:rFonts w:ascii="Arial" w:cs="Arial" w:eastAsia="Arial" w:hAnsi="Arial"/>
          <w:sz w:val="17"/>
          <w:szCs w:val="17"/>
          <w:color w:val="auto"/>
        </w:rPr>
        <w:t>Under the terms of the Investment Advisory Agreement, GSV Asset Management is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is modified pursuant to the terms of the Waiver Agreement, as further described below.</w:t>
      </w:r>
    </w:p>
    <w:p>
      <w:pPr>
        <w:spacing w:after="0" w:line="178"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The Company is required to accrue incentive fees for all periods as if the Company had fully liquidated its entire investment portfolio at the fair value stated on the Condensed Consolidated Statements of Assets and Liabilities as of March 31, 2018 and December 31, 2017. This accrual considers both the hypothetical liquidation of the Company’s portfolio described previously, as well as the Company’s actual cumulative realized gains and losses since inception, as well any previously paid incentive fees.</w:t>
      </w:r>
    </w:p>
    <w:p>
      <w:pPr>
        <w:spacing w:after="0" w:line="187" w:lineRule="exact"/>
        <w:rPr>
          <w:sz w:val="20"/>
          <w:szCs w:val="20"/>
          <w:color w:val="auto"/>
        </w:rPr>
      </w:pPr>
    </w:p>
    <w:p>
      <w:pPr>
        <w:ind w:right="140" w:firstLine="351"/>
        <w:spacing w:after="0" w:line="264" w:lineRule="auto"/>
        <w:rPr>
          <w:sz w:val="20"/>
          <w:szCs w:val="20"/>
          <w:color w:val="auto"/>
        </w:rPr>
      </w:pPr>
      <w:r>
        <w:rPr>
          <w:rFonts w:ascii="Arial" w:cs="Arial" w:eastAsia="Arial" w:hAnsi="Arial"/>
          <w:sz w:val="18"/>
          <w:szCs w:val="18"/>
          <w:color w:val="auto"/>
        </w:rPr>
        <w:t>For the three months ended March 31, 2018 and 2017, the Company accrued incentive fees of $1,471,334 and $1,717,308, respectively. Pursuant to the Waiver Agreement, GSV Asset Management forfeited $5.0 million of the then accrued incentive fees. As of March 31, 2018, the net accrued incentive fee balance due GSV Asset Management was $5,749,419, net of the Waiver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 Waiver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February 2, 2018, GSV Asset Management voluntarily agreed to reduce the fees payable under the Investment Advisory Agreement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Waiver Agreement. The Waiver Agreement is effective February 1, 2018 and changes the fee structure set forth in the Investment Advisory Agreement by:</w:t>
      </w:r>
    </w:p>
    <w:p>
      <w:pPr>
        <w:spacing w:after="0" w:line="32" w:lineRule="exact"/>
        <w:rPr>
          <w:sz w:val="20"/>
          <w:szCs w:val="20"/>
          <w:color w:val="auto"/>
        </w:rPr>
      </w:pPr>
    </w:p>
    <w:p>
      <w:pPr>
        <w:ind w:firstLine="8"/>
        <w:spacing w:after="0" w:line="255"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the Company’s base management fee from 2.00% to 1.75%; and (ii) creating certain high-water marks that must be reached before any incentive fee is paid to GSV Asset Management. In addition to the foregoing changes to the fee structure, GSV Asset Management also agreed to forfeit $5.0 million of previously accrued but unpaid incentive fees.</w:t>
      </w:r>
    </w:p>
    <w:p>
      <w:pPr>
        <w:spacing w:after="0" w:line="190" w:lineRule="exact"/>
        <w:rPr>
          <w:sz w:val="20"/>
          <w:szCs w:val="20"/>
          <w:color w:val="auto"/>
        </w:rPr>
      </w:pPr>
    </w:p>
    <w:p>
      <w:pPr>
        <w:ind w:right="80" w:firstLine="351"/>
        <w:spacing w:after="0" w:line="297" w:lineRule="auto"/>
        <w:rPr>
          <w:sz w:val="20"/>
          <w:szCs w:val="20"/>
          <w:color w:val="auto"/>
        </w:rPr>
      </w:pPr>
      <w:r>
        <w:rPr>
          <w:rFonts w:ascii="Arial" w:cs="Arial" w:eastAsia="Arial" w:hAnsi="Arial"/>
          <w:sz w:val="16"/>
          <w:szCs w:val="16"/>
          <w:color w:val="auto"/>
        </w:rPr>
        <w:t>Pursuant to the Waiver Agreement, effective February 1, 2018, the base management fee is reduced to 1.75% of the Company’s gross assets. The base management fee is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 In addition, because the Company's 5.25% Convertible Senior Notes mature on September 15, 2018 (the "5.25% Convertible Senior Notes due 2018"), the Company is currently carrying a larger cash balance than it would in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ordinary course of its business. As a result, under the Waiver Agreement, GSV Asset Management has agreed to waive its base management fee on any cash balances effective as of February 1, 2018 until the 5.25% Convertible Senior Notes due 2018 mature, or the date that all the 5.25% Convertible Senior Notes due 2018 have been repurchased or redeemed, whichever is earlier.</w:t>
      </w:r>
    </w:p>
    <w:p>
      <w:pPr>
        <w:spacing w:after="0" w:line="18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Pursuant to the Waiver Agreement, in addition to the “hurdle” feature in the incentive fee, GSV Asset Management has agreed to additional conditions on its ability to receive an incentive fee. Specifically, the Waiver Agreement provides that an incentive fee earned by GSV Asset Management under the Investment Advisory Agreement will be payable to GSV Asset Management only if, at the time that such incentive fee becomes payable under the Investment Advisory Agreement, both the Company’s stock price and its last reported net asset value per share are equal to or greater than $12.55 (the “High-Water Mark”). The High-Water Mark is based upon the volume weighted average price (VWAP) of all the Company’s equity offerings since its initial public offering, less the dollar amount of all dividends paid by the Company since inception. Upon such time that the High-Water Mark is achieved, and GSV Asset Management is paid an incentive fee, a new High-Water Mark will be established. Each new High-Water Mark will be equal to the most recent High-Water Mark, plus 10.0%. Any High-Water Mark then in effect will be adjusted to reflect any dividends paid by the Company or any stock split effected by the Company.</w:t>
      </w:r>
    </w:p>
    <w:p>
      <w:pPr>
        <w:spacing w:after="0" w:line="197" w:lineRule="exact"/>
        <w:rPr>
          <w:sz w:val="20"/>
          <w:szCs w:val="20"/>
          <w:color w:val="auto"/>
        </w:rPr>
      </w:pPr>
    </w:p>
    <w:p>
      <w:pPr>
        <w:ind w:right="360" w:firstLine="351"/>
        <w:spacing w:after="0" w:line="342" w:lineRule="auto"/>
        <w:rPr>
          <w:sz w:val="20"/>
          <w:szCs w:val="20"/>
          <w:color w:val="auto"/>
        </w:rPr>
      </w:pPr>
      <w:r>
        <w:rPr>
          <w:rFonts w:ascii="Arial" w:cs="Arial" w:eastAsia="Arial" w:hAnsi="Arial"/>
          <w:sz w:val="16"/>
          <w:szCs w:val="16"/>
          <w:color w:val="auto"/>
        </w:rPr>
        <w:t>For the avoidance of doubt, after the effective date of the Waiver Agreement, under no circumstances will the aggregate fees earned by GSV Asset Management in any quarterly period be higher than those aggregate fees that would have been earned prior to the effectiveness of the Waiver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GSV Asset Management</w:t>
      </w:r>
    </w:p>
    <w:p>
      <w:pPr>
        <w:spacing w:after="0" w:line="225" w:lineRule="exact"/>
        <w:rPr>
          <w:sz w:val="20"/>
          <w:szCs w:val="20"/>
          <w:color w:val="auto"/>
        </w:rPr>
      </w:pPr>
    </w:p>
    <w:p>
      <w:pPr>
        <w:ind w:right="220" w:firstLine="351"/>
        <w:spacing w:after="0" w:line="264" w:lineRule="auto"/>
        <w:rPr>
          <w:sz w:val="20"/>
          <w:szCs w:val="20"/>
          <w:color w:val="auto"/>
        </w:rPr>
      </w:pPr>
      <w:r>
        <w:rPr>
          <w:rFonts w:ascii="Arial" w:cs="Arial" w:eastAsia="Arial" w:hAnsi="Arial"/>
          <w:sz w:val="18"/>
          <w:szCs w:val="18"/>
          <w:color w:val="auto"/>
        </w:rPr>
        <w:t>As of each of March 31, 2018 and December 31, 2017, there were no receivables owed to the Company by GSV Asset Management. In addition, as of each of March 31, 2018 and December 31, 2017, the Company owed GSV Asset Management $471,390 and $231,697, respectively, primarily for the reimbursement of overhead allocation expenses and travel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GSV Asset Management controls GSV Capital Service Company. The Company reimburses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is no limit on the total amount of expenses the Company may be required to reimburse to GSV Capital Service Company, GSV Capital Service Company will only charge the Company for the actual expenses GSV Capital Service Company incurs on the Company’s behalf, or the Company’s allocable portion thereof, without any profit to GSV Capital Service Company. There were $424,145 and $531,484 in such costs incurred under the Administration Agreement for the three months ended March 31, 2018 and 2017,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Investment Advisory Agreement with GSV Asset Management is in effect. Other than with respect to this limited license, the Company has no legal right to the “GSV” name.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Arrangements</w:t>
      </w:r>
    </w:p>
    <w:p>
      <w:pPr>
        <w:spacing w:after="0" w:line="22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Mark Moe, who is the brother of Michael Moe, the Executive Chairman of the Company’s board of directors, serves as Vice President of Business Development, Global Expansion for NestGSV, Inc. (d/b/a GSV Labs, Inc.), one of the Company’s portfolio companies. Diane Flynn, who is the spouse of the Company’s former President, Mark Flynn, served as Chief Marketing Officer of NestGSV, Inc. until her resignation in January 2017. Ron Johnson, the Chief Executive Officer of Enjoy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Technology, Inc., one of the Company’s portfolio companies, is the brother-in-law of the Company’s former President, Mark Flynn. As of March 31, 2018, the fair values of the Company’s investments in NestGSV, Inc. and Enjoy Technology, Inc. were $14,840,601 and $5,208,696, respectively.</w:t>
      </w:r>
    </w:p>
    <w:p>
      <w:pPr>
        <w:spacing w:after="0" w:line="147"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In addition, the Company’s executive officers and directors, and the principals of the Company’s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 For example, as of May 9, 2018, GSV Asset Management also manages Coursera@GSV Fund, LP and Coursera@GSV-EDBI Fund, LP, special purpose vehicles each comprised of an underlying investment in the capital stock of Coursera, Inc. (the “Coursera Funds”), GSV@SP, LLC, a special purpose vehicle comprised of an underlying investment in the capital stock of Spotify Technology S.A. (the “GSV@SP Fund”), and GSV@LT, LLC, a special purpose vehicle comprised of an underlying investment in the capital stock of Lyft, Inc. (the “GSV@LT Fund”). GSV Asset Management will likely manage one or more private funds, or series within such private funds, in the future. The Company has no ownership interests in the Coursera Funds, the GSV@SP Fund or the GSV@LT Fund.</w:t>
      </w:r>
    </w:p>
    <w:p>
      <w:pPr>
        <w:spacing w:after="0" w:line="182" w:lineRule="exact"/>
        <w:rPr>
          <w:sz w:val="20"/>
          <w:szCs w:val="20"/>
          <w:color w:val="auto"/>
        </w:rPr>
      </w:pPr>
    </w:p>
    <w:p>
      <w:pPr>
        <w:ind w:firstLine="351"/>
        <w:spacing w:after="0" w:line="269" w:lineRule="auto"/>
        <w:rPr>
          <w:sz w:val="20"/>
          <w:szCs w:val="20"/>
          <w:color w:val="auto"/>
        </w:rPr>
      </w:pPr>
      <w:r>
        <w:rPr>
          <w:rFonts w:ascii="Arial" w:cs="Arial" w:eastAsia="Arial" w:hAnsi="Arial"/>
          <w:sz w:val="17"/>
          <w:szCs w:val="17"/>
          <w:color w:val="auto"/>
        </w:rPr>
        <w:t>The 1940 Act prohibits the Company from making certain negotiated co-investments with affiliates unless it receives an order from the SEC permitting it to do so. To the extent that the Company competes with entities managed by GSV Asset Management or any of its affiliates for one or more investment or disposition opportunities, GSV Asset Management will allocate any such opportunity across the entities for which the opportunity is appropriate, consistent with (1) its internal conflict-resolution and allocation policies, (2) the requirements of the Investment Advisers Act of 1940, and (3) certain restrictions under the 1940 Act regarding co-investments with affiliates. In situations where a particular investment or disposition opportunity is appropriate for both the Company and another entity managed by GSV Asset Management, even where co-investments are permissible under the 1940 Act, GSV Asset Management will first offer any such opportunity in its entirety to the Company. In the event that the size of such investment or disposition opportunity exceeds the Company’s capacity, other funds managed by GSV Asset Management may be offered the opportunity, but only to the extent that the Company and its board of directors have confirmed that any such investment or disposition by an affiliated entity is permissible under the 1940 Act and otherwise in the Company’s best interests. The Company’s Chief Compliance Officer and board of directors will monitor on a quarterly basis any such allocation of investment or disposition opportunities between the Company and any such other funds.</w:t>
      </w:r>
    </w:p>
    <w:p>
      <w:pPr>
        <w:spacing w:after="0" w:line="183" w:lineRule="exact"/>
        <w:rPr>
          <w:sz w:val="20"/>
          <w:szCs w:val="20"/>
          <w:color w:val="auto"/>
        </w:rPr>
      </w:pPr>
    </w:p>
    <w:p>
      <w:pPr>
        <w:ind w:right="100" w:firstLine="351"/>
        <w:spacing w:after="0" w:line="302" w:lineRule="auto"/>
        <w:rPr>
          <w:sz w:val="20"/>
          <w:szCs w:val="20"/>
          <w:color w:val="auto"/>
        </w:rPr>
      </w:pPr>
      <w:r>
        <w:rPr>
          <w:rFonts w:ascii="Arial" w:cs="Arial" w:eastAsia="Arial" w:hAnsi="Arial"/>
          <w:sz w:val="16"/>
          <w:szCs w:val="16"/>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29" w:lineRule="exact"/>
        <w:rPr>
          <w:sz w:val="20"/>
          <w:szCs w:val="20"/>
          <w:color w:val="auto"/>
        </w:rPr>
      </w:pPr>
    </w:p>
    <w:p>
      <w:pPr>
        <w:ind w:right="160" w:firstLine="351"/>
        <w:spacing w:after="0" w:line="279" w:lineRule="auto"/>
        <w:rPr>
          <w:sz w:val="20"/>
          <w:szCs w:val="20"/>
          <w:color w:val="auto"/>
        </w:rPr>
      </w:pPr>
      <w:r>
        <w:rPr>
          <w:rFonts w:ascii="Arial" w:cs="Arial" w:eastAsia="Arial" w:hAnsi="Arial"/>
          <w:sz w:val="17"/>
          <w:szCs w:val="17"/>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March 31, 2018, the Company had 60 positions in 29 portfolio companies. At December 31, 2017, the Company had 63 positions in 31 portfolio companies.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summarize the composition of the Company’s investment portfolio by security type at cost and fair value as of March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30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Fair Value</w:t>
            </w:r>
          </w:p>
        </w:tc>
        <w:tc>
          <w:tcPr>
            <w:tcW w:w="156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Assets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11"/>
        </w:trPr>
        <w:tc>
          <w:tcPr>
            <w:tcW w:w="1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44,772,533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77,010,960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53,413,686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86,824,096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118,979,328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104,011,334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134,145,680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120,253,822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Debt Investments</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8,527,908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5,725,659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8,809,356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4,916,578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197,162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1,462,807</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433,997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5"/>
        </w:trPr>
        <w:tc>
          <w:tcPr>
            <w:tcW w:w="19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Private 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2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172,476,931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188,210,760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196,565,884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212,428,493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Publicly Traded</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95"/>
              </w:rPr>
              <w:t>Portfolio Companies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13,656,926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24,062,243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6,008,468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8,160,000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Portfolio</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186,133,857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212,273,003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202,574,352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220,588,493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5"/>
        </w:trPr>
        <w:tc>
          <w:tcPr>
            <w:tcW w:w="19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Non-Portfolio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200"/>
              <w:spacing w:after="0"/>
              <w:rPr>
                <w:sz w:val="20"/>
                <w:szCs w:val="20"/>
                <w:color w:val="auto"/>
              </w:rPr>
            </w:pPr>
            <w:r>
              <w:rPr>
                <w:rFonts w:ascii="Arial" w:cs="Arial" w:eastAsia="Arial" w:hAnsi="Arial"/>
                <w:sz w:val="18"/>
                <w:szCs w:val="18"/>
                <w:b w:val="1"/>
                <w:bCs w:val="1"/>
                <w:color w:val="auto"/>
              </w:rPr>
              <w:t>Investments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bill</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99,970,444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99,987,000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99,985,833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99,994,000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57"/>
        </w:trPr>
        <w:tc>
          <w:tcPr>
            <w:tcW w:w="1900" w:type="dxa"/>
            <w:vAlign w:val="bottom"/>
          </w:tcPr>
          <w:p>
            <w:pPr>
              <w:ind w:left="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286,104,301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312,260,003</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302,560,185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320,582,493</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industrial and geographic compositions of the Company’s portfolio at fair value as of March 31, 2018 and December 31, 2017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 March 31, 2018</w:t>
            </w:r>
          </w:p>
        </w:tc>
        <w:tc>
          <w:tcPr>
            <w:tcW w:w="1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As of December 31, 2017</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6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Portfolio</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Net Assets</w:t>
            </w: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Portfolio</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50"/>
        </w:trPr>
        <w:tc>
          <w:tcPr>
            <w:tcW w:w="18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Industry</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Education Technology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69,474,775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90,658,640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Big Data/Cloud</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63,727,160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57,678,330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Social/Mobile</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37,968,492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38,528,143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Marketplaces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39,912,148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32,653,518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Sustainability</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1,190,428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1,069,862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212,273,003</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220,588,493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 March 31, 2018</w:t>
            </w:r>
          </w:p>
        </w:tc>
        <w:tc>
          <w:tcPr>
            <w:tcW w:w="1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As of December 31, 2017</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60" w:type="dxa"/>
            <w:vAlign w:val="bottom"/>
          </w:tcPr>
          <w:p>
            <w:pPr>
              <w:spacing w:after="0"/>
              <w:rPr>
                <w:sz w:val="13"/>
                <w:szCs w:val="13"/>
                <w:color w:val="auto"/>
              </w:rPr>
            </w:pPr>
          </w:p>
        </w:tc>
        <w:tc>
          <w:tcPr>
            <w:tcW w:w="1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Region</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165,424,134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165,871,083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Mid-west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578,549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593,702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Northeast</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15,202,800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23,394,640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31,067,520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30,729,068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7"/>
        </w:trPr>
        <w:tc>
          <w:tcPr>
            <w:tcW w:w="18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212,273,003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220,588,493</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-1903095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composition of the Company’s industrial themes presented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Industry Theme</w:t>
            </w:r>
          </w:p>
        </w:tc>
        <w:tc>
          <w:tcPr>
            <w:tcW w:w="120" w:type="dxa"/>
            <w:vAlign w:val="bottom"/>
          </w:tcPr>
          <w:p>
            <w:pPr>
              <w:spacing w:after="0"/>
              <w:rPr>
                <w:sz w:val="16"/>
                <w:szCs w:val="16"/>
                <w:color w:val="auto"/>
              </w:rPr>
            </w:pPr>
          </w:p>
        </w:tc>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Education Technology</w:t>
            </w:r>
          </w:p>
        </w:tc>
        <w:tc>
          <w:tcPr>
            <w:tcW w:w="7640" w:type="dxa"/>
            <w:vAlign w:val="bottom"/>
          </w:tcPr>
          <w:p>
            <w:pPr>
              <w:ind w:left="20"/>
              <w:spacing w:after="0"/>
              <w:rPr>
                <w:sz w:val="20"/>
                <w:szCs w:val="20"/>
                <w:color w:val="auto"/>
              </w:rPr>
            </w:pPr>
            <w:r>
              <w:rPr>
                <w:rFonts w:ascii="Arial" w:cs="Arial" w:eastAsia="Arial" w:hAnsi="Arial"/>
                <w:sz w:val="18"/>
                <w:szCs w:val="18"/>
                <w:color w:val="auto"/>
              </w:rPr>
              <w:t>Business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Computer Software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Corporate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Education Media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Education Software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Education Technology</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E-Transcript Exchange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Globally-Focused Private School</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Interactive Learning</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Online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Online Education Services</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Big Data/Cloud</w:t>
            </w:r>
          </w:p>
        </w:tc>
        <w:tc>
          <w:tcPr>
            <w:tcW w:w="7640" w:type="dxa"/>
            <w:vAlign w:val="bottom"/>
          </w:tcPr>
          <w:p>
            <w:pPr>
              <w:ind w:left="20"/>
              <w:spacing w:after="0"/>
              <w:rPr>
                <w:sz w:val="20"/>
                <w:szCs w:val="20"/>
                <w:color w:val="auto"/>
              </w:rPr>
            </w:pPr>
            <w:r>
              <w:rPr>
                <w:rFonts w:ascii="Arial" w:cs="Arial" w:eastAsia="Arial" w:hAnsi="Arial"/>
                <w:sz w:val="18"/>
                <w:szCs w:val="18"/>
                <w:color w:val="auto"/>
              </w:rPr>
              <w:t>Cloud Computing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Customer Relationship Manager</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Data Analysis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Social Cognitive Learning</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Marketplaces</w:t>
            </w:r>
          </w:p>
        </w:tc>
        <w:tc>
          <w:tcPr>
            <w:tcW w:w="7640" w:type="dxa"/>
            <w:vAlign w:val="bottom"/>
          </w:tcPr>
          <w:p>
            <w:pPr>
              <w:ind w:left="20"/>
              <w:spacing w:after="0"/>
              <w:rPr>
                <w:sz w:val="20"/>
                <w:szCs w:val="20"/>
                <w:color w:val="auto"/>
              </w:rPr>
            </w:pPr>
            <w:r>
              <w:rPr>
                <w:rFonts w:ascii="Arial" w:cs="Arial" w:eastAsia="Arial" w:hAnsi="Arial"/>
                <w:sz w:val="18"/>
                <w:szCs w:val="18"/>
                <w:color w:val="auto"/>
              </w:rPr>
              <w:t>Financial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Global Innovation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Knowledge Networks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On-Demand Commerce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On-Demand Transportation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Online Marketplace Finance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Peer-to-Peer Pet Services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Social/Mobile</w:t>
            </w:r>
          </w:p>
        </w:tc>
        <w:tc>
          <w:tcPr>
            <w:tcW w:w="7640" w:type="dxa"/>
            <w:vAlign w:val="bottom"/>
          </w:tcPr>
          <w:p>
            <w:pPr>
              <w:ind w:left="20"/>
              <w:spacing w:after="0"/>
              <w:rPr>
                <w:sz w:val="20"/>
                <w:szCs w:val="20"/>
                <w:color w:val="auto"/>
              </w:rPr>
            </w:pPr>
            <w:r>
              <w:rPr>
                <w:rFonts w:ascii="Arial" w:cs="Arial" w:eastAsia="Arial" w:hAnsi="Arial"/>
                <w:sz w:val="18"/>
                <w:szCs w:val="18"/>
                <w:color w:val="auto"/>
              </w:rPr>
              <w:t>Digital Media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Light Field Imaging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On-Demand Music Streaming</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Social Data Platform</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Sustainability</w:t>
            </w:r>
          </w:p>
        </w:tc>
        <w:tc>
          <w:tcPr>
            <w:tcW w:w="7640" w:type="dxa"/>
            <w:vAlign w:val="bottom"/>
          </w:tcPr>
          <w:p>
            <w:pPr>
              <w:ind w:left="20"/>
              <w:spacing w:after="0"/>
              <w:rPr>
                <w:sz w:val="20"/>
                <w:szCs w:val="20"/>
                <w:color w:val="auto"/>
              </w:rPr>
            </w:pPr>
            <w:r>
              <w:rPr>
                <w:rFonts w:ascii="Arial" w:cs="Arial" w:eastAsia="Arial" w:hAnsi="Arial"/>
                <w:sz w:val="18"/>
                <w:szCs w:val="18"/>
                <w:color w:val="auto"/>
              </w:rPr>
              <w:t>Clean Technology</w:t>
            </w:r>
          </w:p>
        </w:tc>
      </w:tr>
      <w:tr>
        <w:trPr>
          <w:trHeight w:val="702"/>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tcPr>
          <w:p>
            <w:pPr>
              <w:ind w:left="184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29" w:lineRule="exact"/>
        <w:rPr>
          <w:sz w:val="20"/>
          <w:szCs w:val="20"/>
          <w:color w:val="auto"/>
        </w:rPr>
      </w:pPr>
    </w:p>
    <w:p>
      <w:pPr>
        <w:ind w:right="300" w:firstLine="351"/>
        <w:spacing w:after="0" w:line="277" w:lineRule="auto"/>
        <w:rPr>
          <w:sz w:val="20"/>
          <w:szCs w:val="20"/>
          <w:color w:val="auto"/>
        </w:rPr>
      </w:pPr>
      <w:r>
        <w:rPr>
          <w:rFonts w:ascii="Arial" w:cs="Arial" w:eastAsia="Arial" w:hAnsi="Arial"/>
          <w:sz w:val="18"/>
          <w:szCs w:val="18"/>
          <w:color w:val="auto"/>
        </w:rPr>
        <w:t>The fair values of the Company’s investments disaggregated into the three levels of the fair value hierarchy based upon the lowest level of significant input used in the valuation as of March 31, 2018 and December 31, 2017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5"/>
              </w:rPr>
              <w:t>As of March 31, 2018</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77,010,960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77,010,960</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104,011,334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104,011,334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5,725,659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5,725,659</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1,462,807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1,462,807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188,210,760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188,210,760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24,062,243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24,062,243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24,062,243</w:t>
            </w: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188,210,760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212,273,003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99,987,000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99,987,000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99,987,000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24,062,243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188,210,760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312,260,003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As of December 31, 2017</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86,824,096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86,824,096</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120,253,822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120,253,822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4,916,578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4,916,578</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433,997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433,997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212,428,493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212,428,493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8,160,000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8,160,000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8,160,000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212,428,493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220,588,493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99,994,000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99,994,000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108,154,000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212,428,493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320,582,493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-3712845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-3712845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-4064000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-4064000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-4775835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-4775835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for Level 3 Assets and Liabilities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In accordance with FASB ASC 820, the tables below provide quantitative information about the Company’s fair value measurements of its Level 3 assets as of March 31, 2018 and December 31, 2017.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March 31, 2018 and December 31, 2017. Significant changes in the inputs in isolation would result in a significant change in the fair value measurement, depending on the input and the materiality of the investment. Refer to “Note 2—Significant Accounting Policies— </w:t>
      </w:r>
      <w:r>
        <w:rPr>
          <w:rFonts w:ascii="Arial" w:cs="Arial" w:eastAsia="Arial" w:hAnsi="Arial"/>
          <w:sz w:val="18"/>
          <w:szCs w:val="18"/>
          <w:i w:val="1"/>
          <w:iCs w:val="1"/>
          <w:color w:val="auto"/>
        </w:rPr>
        <w:t>Investments at Fair Value</w:t>
      </w:r>
      <w:r>
        <w:rPr>
          <w:rFonts w:ascii="Arial" w:cs="Arial" w:eastAsia="Arial" w:hAnsi="Arial"/>
          <w:sz w:val="18"/>
          <w:szCs w:val="18"/>
          <w:color w:val="auto"/>
        </w:rPr>
        <w:t>” for more detail.</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March 31, 2018</w:t>
      </w:r>
    </w:p>
    <w:p>
      <w:pPr>
        <w:spacing w:after="0" w:line="61" w:lineRule="exact"/>
        <w:rPr>
          <w:sz w:val="20"/>
          <w:szCs w:val="20"/>
          <w:color w:val="auto"/>
        </w:rPr>
      </w:pPr>
    </w:p>
    <w:tbl>
      <w:tblPr>
        <w:tblLayout w:type="fixed"/>
        <w:tblInd w:w="390" w:type="dxa"/>
        <w:tblCellMar>
          <w:top w:w="0" w:type="dxa"/>
          <w:left w:w="0" w:type="dxa"/>
          <w:bottom w:w="0" w:type="dxa"/>
          <w:right w:w="0" w:type="dxa"/>
        </w:tblCellMar>
      </w:tblPr>
      <w:tr>
        <w:trPr>
          <w:trHeight w:val="166"/>
        </w:trPr>
        <w:tc>
          <w:tcPr>
            <w:tcW w:w="3020" w:type="dxa"/>
            <w:vAlign w:val="bottom"/>
            <w:tcBorders>
              <w:top w:val="single" w:sz="8" w:color="auto"/>
              <w:left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92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68"/>
        </w:trPr>
        <w:tc>
          <w:tcPr>
            <w:tcW w:w="302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Asset</w:t>
            </w:r>
          </w:p>
        </w:tc>
        <w:tc>
          <w:tcPr>
            <w:tcW w:w="1920" w:type="dxa"/>
            <w:vAlign w:val="bottom"/>
            <w:tcBorders>
              <w:right w:val="single" w:sz="8" w:color="auto"/>
            </w:tcBorders>
            <w:vMerge w:val="restart"/>
          </w:tcPr>
          <w:p>
            <w:pPr>
              <w:ind w:left="620"/>
              <w:spacing w:after="0" w:line="149" w:lineRule="exact"/>
              <w:rPr>
                <w:sz w:val="20"/>
                <w:szCs w:val="20"/>
                <w:color w:val="auto"/>
              </w:rPr>
            </w:pPr>
            <w:r>
              <w:rPr>
                <w:rFonts w:ascii="Arial" w:cs="Arial" w:eastAsia="Arial" w:hAnsi="Arial"/>
                <w:sz w:val="14"/>
                <w:szCs w:val="14"/>
                <w:b w:val="1"/>
                <w:bCs w:val="1"/>
                <w:color w:val="auto"/>
              </w:rPr>
              <w:t>Fair Value</w:t>
            </w:r>
          </w:p>
        </w:tc>
        <w:tc>
          <w:tcPr>
            <w:tcW w:w="19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Approach/</w:t>
            </w:r>
          </w:p>
        </w:tc>
        <w:tc>
          <w:tcPr>
            <w:tcW w:w="19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Unobservable Inputs</w:t>
            </w:r>
            <w:r>
              <w:rPr>
                <w:rFonts w:ascii="Arial" w:cs="Arial" w:eastAsia="Arial" w:hAnsi="Arial"/>
                <w:sz w:val="8"/>
                <w:szCs w:val="8"/>
                <w:b w:val="1"/>
                <w:bCs w:val="1"/>
                <w:color w:val="auto"/>
                <w:w w:val="94"/>
              </w:rPr>
              <w:t>(2)</w:t>
            </w:r>
          </w:p>
        </w:tc>
        <w:tc>
          <w:tcPr>
            <w:tcW w:w="1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20" w:type="dxa"/>
            <w:vAlign w:val="bottom"/>
            <w:tcBorders>
              <w:left w:val="single" w:sz="8" w:color="auto"/>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05"/>
        </w:trPr>
        <w:tc>
          <w:tcPr>
            <w:tcW w:w="302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Technique</w:t>
            </w:r>
            <w:r>
              <w:rPr>
                <w:rFonts w:ascii="Arial" w:cs="Arial" w:eastAsia="Arial" w:hAnsi="Arial"/>
                <w:sz w:val="8"/>
                <w:szCs w:val="8"/>
                <w:b w:val="1"/>
                <w:bCs w:val="1"/>
                <w:color w:val="auto"/>
                <w:w w:val="92"/>
              </w:rPr>
              <w:t>(1)</w:t>
            </w: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020" w:type="dxa"/>
            <w:vAlign w:val="bottom"/>
            <w:tcBorders>
              <w:left w:val="single" w:sz="8" w:color="auto"/>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vMerge w:val="continue"/>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02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2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9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 in</w:t>
            </w:r>
          </w:p>
        </w:tc>
        <w:tc>
          <w:tcPr>
            <w:tcW w:w="19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1.81x–4.17x (3.56x)</w:t>
            </w:r>
          </w:p>
        </w:tc>
        <w:tc>
          <w:tcPr>
            <w:tcW w:w="0" w:type="dxa"/>
            <w:vAlign w:val="bottom"/>
          </w:tcPr>
          <w:p>
            <w:pPr>
              <w:spacing w:after="0"/>
              <w:rPr>
                <w:sz w:val="1"/>
                <w:szCs w:val="1"/>
                <w:color w:val="auto"/>
              </w:rPr>
            </w:pPr>
          </w:p>
        </w:tc>
      </w:tr>
      <w:tr>
        <w:trPr>
          <w:trHeight w:val="108"/>
        </w:trPr>
        <w:tc>
          <w:tcPr>
            <w:tcW w:w="302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vMerge w:val="continue"/>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02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$77,010,960</w:t>
            </w: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Liquidation value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vMerge w:val="continue"/>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020" w:type="dxa"/>
            <w:vAlign w:val="bottom"/>
            <w:tcBorders>
              <w:left w:val="single" w:sz="8" w:color="auto"/>
              <w:right w:val="single" w:sz="8" w:color="auto"/>
            </w:tcBorders>
            <w:vMerge w:val="continue"/>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Discount rate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76"/>
        </w:trPr>
        <w:tc>
          <w:tcPr>
            <w:tcW w:w="30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vMerge w:val="continue"/>
          </w:tcPr>
          <w:p>
            <w:pPr>
              <w:spacing w:after="0"/>
              <w:rPr>
                <w:sz w:val="15"/>
                <w:szCs w:val="15"/>
                <w:color w:val="auto"/>
              </w:rPr>
            </w:pPr>
          </w:p>
        </w:tc>
        <w:tc>
          <w:tcPr>
            <w:tcW w:w="1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restart"/>
          </w:tcPr>
          <w:p>
            <w:pPr>
              <w:jc w:val="center"/>
              <w:spacing w:after="0" w:line="269" w:lineRule="exact"/>
              <w:rPr>
                <w:sz w:val="20"/>
                <w:szCs w:val="20"/>
                <w:color w:val="auto"/>
              </w:rPr>
            </w:pPr>
            <w:r>
              <w:rPr>
                <w:rFonts w:ascii="Arial" w:cs="Arial" w:eastAsia="Arial" w:hAnsi="Arial"/>
                <w:sz w:val="18"/>
                <w:szCs w:val="18"/>
                <w:color w:val="auto"/>
                <w:w w:val="89"/>
              </w:rPr>
              <w:t>Discounted cash flow</w:t>
            </w:r>
            <w:r>
              <w:rPr>
                <w:rFonts w:ascii="Arial" w:cs="Arial" w:eastAsia="Arial" w:hAnsi="Arial"/>
                <w:sz w:val="25"/>
                <w:szCs w:val="25"/>
                <w:color w:val="auto"/>
                <w:w w:val="89"/>
                <w:vertAlign w:val="superscript"/>
              </w:rPr>
              <w:t>(2)</w:t>
            </w: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2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vMerge w:val="continue"/>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Long-term revenue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0.0% (0.0%)</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growth</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2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2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1.67x–5.82x (3.33x)</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vMerge w:val="continue"/>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02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$104,011,334</w:t>
            </w: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Discount rate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vMerge w:val="continue"/>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restart"/>
          </w:tcPr>
          <w:p>
            <w:pPr>
              <w:jc w:val="center"/>
              <w:spacing w:after="0" w:line="269" w:lineRule="exact"/>
              <w:rPr>
                <w:sz w:val="20"/>
                <w:szCs w:val="20"/>
                <w:color w:val="auto"/>
              </w:rPr>
            </w:pPr>
            <w:r>
              <w:rPr>
                <w:rFonts w:ascii="Arial" w:cs="Arial" w:eastAsia="Arial" w:hAnsi="Arial"/>
                <w:sz w:val="18"/>
                <w:szCs w:val="18"/>
                <w:color w:val="auto"/>
                <w:w w:val="90"/>
              </w:rPr>
              <w:t>Discounted cash flow</w:t>
            </w:r>
            <w:r>
              <w:rPr>
                <w:rFonts w:ascii="Arial" w:cs="Arial" w:eastAsia="Arial" w:hAnsi="Arial"/>
                <w:sz w:val="25"/>
                <w:szCs w:val="25"/>
                <w:color w:val="auto"/>
                <w:w w:val="90"/>
                <w:vertAlign w:val="superscript"/>
              </w:rPr>
              <w:t>(2)</w:t>
            </w: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020" w:type="dxa"/>
            <w:vAlign w:val="bottom"/>
            <w:tcBorders>
              <w:left w:val="single" w:sz="8" w:color="auto"/>
              <w:right w:val="single" w:sz="8" w:color="auto"/>
            </w:tcBorders>
            <w:vMerge w:val="continue"/>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1920" w:type="dxa"/>
            <w:vAlign w:val="bottom"/>
            <w:tcBorders>
              <w:right w:val="single" w:sz="8" w:color="auto"/>
            </w:tcBorders>
            <w:vMerge w:val="continue"/>
          </w:tcPr>
          <w:p>
            <w:pPr>
              <w:spacing w:after="0"/>
              <w:rPr>
                <w:sz w:val="5"/>
                <w:szCs w:val="5"/>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Long-term revenue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0.0% (0.0%)</w:t>
            </w:r>
          </w:p>
        </w:tc>
        <w:tc>
          <w:tcPr>
            <w:tcW w:w="0" w:type="dxa"/>
            <w:vAlign w:val="bottom"/>
          </w:tcPr>
          <w:p>
            <w:pPr>
              <w:spacing w:after="0"/>
              <w:rPr>
                <w:sz w:val="1"/>
                <w:szCs w:val="1"/>
                <w:color w:val="auto"/>
              </w:rPr>
            </w:pPr>
          </w:p>
        </w:tc>
      </w:tr>
      <w:tr>
        <w:trPr>
          <w:trHeight w:val="161"/>
        </w:trPr>
        <w:tc>
          <w:tcPr>
            <w:tcW w:w="302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vMerge w:val="continue"/>
          </w:tcPr>
          <w:p>
            <w:pPr>
              <w:spacing w:after="0"/>
              <w:rPr>
                <w:sz w:val="14"/>
                <w:szCs w:val="14"/>
                <w:color w:val="auto"/>
              </w:rPr>
            </w:pPr>
          </w:p>
        </w:tc>
        <w:tc>
          <w:tcPr>
            <w:tcW w:w="1920" w:type="dxa"/>
            <w:vAlign w:val="bottom"/>
            <w:tcBorders>
              <w:right w:val="single" w:sz="8" w:color="auto"/>
            </w:tcBorders>
            <w:vMerge w:val="continue"/>
          </w:tcPr>
          <w:p>
            <w:pPr>
              <w:spacing w:after="0"/>
              <w:rPr>
                <w:sz w:val="14"/>
                <w:szCs w:val="14"/>
                <w:color w:val="auto"/>
              </w:rPr>
            </w:pPr>
          </w:p>
        </w:tc>
        <w:tc>
          <w:tcPr>
            <w:tcW w:w="19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growth</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2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PWERM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1.68x-5.52x (2.96x)</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$5,725,659</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3.05x-5.52x (3.43x)</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020" w:type="dxa"/>
            <w:vAlign w:val="bottom"/>
            <w:tcBorders>
              <w:left w:val="single" w:sz="8" w:color="auto"/>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Liquidation value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49"/>
        </w:trPr>
        <w:tc>
          <w:tcPr>
            <w:tcW w:w="3020" w:type="dxa"/>
            <w:vAlign w:val="bottom"/>
            <w:tcBorders>
              <w:left w:val="single" w:sz="8" w:color="auto"/>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2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Term to expiration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0.2-3.0 (2.1)</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Warrants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$1,462,807</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(Years)</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Borders>
              <w:left w:val="single" w:sz="8" w:color="auto"/>
              <w:right w:val="single" w:sz="8" w:color="auto"/>
            </w:tcBorders>
            <w:vMerge w:val="continue"/>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Volatility</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18.0%-51.6% (34.7%)</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16" w:lineRule="exact"/>
        <w:rPr>
          <w:sz w:val="20"/>
          <w:szCs w:val="20"/>
          <w:color w:val="auto"/>
        </w:rPr>
      </w:pPr>
    </w:p>
    <w:p>
      <w:pPr>
        <w:ind w:left="660" w:right="100" w:hanging="652"/>
        <w:spacing w:after="0" w:line="27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of March 31, 2018,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spacing w:after="0" w:line="64"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considers all relevant information that can reasonably be obtained when determining the fair value of Level 3 investments. Due to any given portfolio company’s information rights, changes in capital structure, recent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2018</w:t>
      </w:r>
    </w:p>
    <w:p>
      <w:pPr>
        <w:spacing w:after="0" w:line="373" w:lineRule="exact"/>
        <w:rPr>
          <w:sz w:val="20"/>
          <w:szCs w:val="20"/>
          <w:color w:val="auto"/>
        </w:rPr>
      </w:pPr>
    </w:p>
    <w:p>
      <w:pPr>
        <w:ind w:left="660" w:right="180"/>
        <w:spacing w:after="0" w:line="320" w:lineRule="auto"/>
        <w:rPr>
          <w:sz w:val="20"/>
          <w:szCs w:val="20"/>
          <w:color w:val="auto"/>
        </w:rPr>
      </w:pPr>
      <w:r>
        <w:rPr>
          <w:rFonts w:ascii="Arial" w:cs="Arial" w:eastAsia="Arial" w:hAnsi="Arial"/>
          <w:sz w:val="17"/>
          <w:szCs w:val="17"/>
          <w:color w:val="auto"/>
        </w:rPr>
        <w:t>events, transactions, or liquidity events, the type and availability of unobservable inputs may change.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7"/>
          <w:szCs w:val="17"/>
          <w:i w:val="1"/>
          <w:iCs w:val="1"/>
          <w:color w:val="auto"/>
        </w:rPr>
        <w:t>Investments at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w:t>
      </w:r>
      <w:r>
        <w:rPr>
          <w:rFonts w:ascii="Arial" w:cs="Arial" w:eastAsia="Arial" w:hAnsi="Arial"/>
          <w:sz w:val="17"/>
          <w:szCs w:val="17"/>
          <w:color w:val="auto"/>
        </w:rPr>
        <w:t>” for more detail.</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2017</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2900" w:type="dxa"/>
            <w:vAlign w:val="bottom"/>
            <w:tcBorders>
              <w:top w:val="single" w:sz="8" w:color="auto"/>
              <w:left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2500" w:type="dxa"/>
            <w:vAlign w:val="bottom"/>
            <w:tcBorders>
              <w:top w:val="single" w:sz="8" w:color="auto"/>
              <w:right w:val="single" w:sz="8" w:color="auto"/>
            </w:tcBorders>
          </w:tcPr>
          <w:p>
            <w:pPr>
              <w:spacing w:after="0"/>
              <w:rPr>
                <w:sz w:val="14"/>
                <w:szCs w:val="14"/>
                <w:color w:val="auto"/>
              </w:rPr>
            </w:pPr>
          </w:p>
        </w:tc>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68"/>
        </w:trPr>
        <w:tc>
          <w:tcPr>
            <w:tcW w:w="290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Asset</w:t>
            </w:r>
          </w:p>
        </w:tc>
        <w:tc>
          <w:tcPr>
            <w:tcW w:w="1820" w:type="dxa"/>
            <w:vAlign w:val="bottom"/>
            <w:tcBorders>
              <w:right w:val="single" w:sz="8" w:color="auto"/>
            </w:tcBorders>
            <w:vMerge w:val="restart"/>
          </w:tcPr>
          <w:p>
            <w:pPr>
              <w:ind w:left="580"/>
              <w:spacing w:after="0" w:line="149" w:lineRule="exact"/>
              <w:rPr>
                <w:sz w:val="20"/>
                <w:szCs w:val="20"/>
                <w:color w:val="auto"/>
              </w:rPr>
            </w:pPr>
            <w:r>
              <w:rPr>
                <w:rFonts w:ascii="Arial" w:cs="Arial" w:eastAsia="Arial" w:hAnsi="Arial"/>
                <w:sz w:val="14"/>
                <w:szCs w:val="14"/>
                <w:b w:val="1"/>
                <w:bCs w:val="1"/>
                <w:color w:val="auto"/>
              </w:rPr>
              <w:t>Fair Value</w:t>
            </w:r>
          </w:p>
        </w:tc>
        <w:tc>
          <w:tcPr>
            <w:tcW w:w="20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Approach/</w:t>
            </w:r>
          </w:p>
        </w:tc>
        <w:tc>
          <w:tcPr>
            <w:tcW w:w="25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Unobservable Inputs</w:t>
            </w:r>
            <w:r>
              <w:rPr>
                <w:rFonts w:ascii="Arial" w:cs="Arial" w:eastAsia="Arial" w:hAnsi="Arial"/>
                <w:sz w:val="8"/>
                <w:szCs w:val="8"/>
                <w:b w:val="1"/>
                <w:bCs w:val="1"/>
                <w:color w:val="auto"/>
                <w:w w:val="94"/>
              </w:rPr>
              <w:t>(2)</w:t>
            </w: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900" w:type="dxa"/>
            <w:vAlign w:val="bottom"/>
            <w:tcBorders>
              <w:left w:val="single" w:sz="8" w:color="auto"/>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05"/>
        </w:trPr>
        <w:tc>
          <w:tcPr>
            <w:tcW w:w="2900" w:type="dxa"/>
            <w:vAlign w:val="bottom"/>
            <w:tcBorders>
              <w:left w:val="single" w:sz="8" w:color="auto"/>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Technique</w:t>
            </w:r>
            <w:r>
              <w:rPr>
                <w:rFonts w:ascii="Arial" w:cs="Arial" w:eastAsia="Arial" w:hAnsi="Arial"/>
                <w:sz w:val="8"/>
                <w:szCs w:val="8"/>
                <w:b w:val="1"/>
                <w:bCs w:val="1"/>
                <w:color w:val="auto"/>
                <w:w w:val="92"/>
              </w:rPr>
              <w:t>(1)</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900" w:type="dxa"/>
            <w:vAlign w:val="bottom"/>
            <w:tcBorders>
              <w:left w:val="single" w:sz="8" w:color="auto"/>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vMerge w:val="continue"/>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900" w:type="dxa"/>
            <w:vAlign w:val="bottom"/>
            <w:tcBorders>
              <w:left w:val="single" w:sz="8" w:color="auto"/>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 transactions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2.03x–7.08x (5.70x)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in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$86,824,096</w:t>
            </w:r>
          </w:p>
        </w:tc>
        <w:tc>
          <w:tcPr>
            <w:tcW w:w="20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41"/>
        </w:trPr>
        <w:tc>
          <w:tcPr>
            <w:tcW w:w="2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820" w:type="dxa"/>
            <w:vAlign w:val="bottom"/>
            <w:tcBorders>
              <w:right w:val="single" w:sz="8" w:color="auto"/>
            </w:tcBorders>
            <w:vMerge w:val="continue"/>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900" w:type="dxa"/>
            <w:vAlign w:val="bottom"/>
            <w:tcBorders>
              <w:left w:val="single" w:sz="8" w:color="auto"/>
              <w:right w:val="single" w:sz="8" w:color="auto"/>
            </w:tcBorders>
            <w:vMerge w:val="continue"/>
          </w:tcPr>
          <w:p>
            <w:pPr>
              <w:spacing w:after="0"/>
              <w:rPr>
                <w:sz w:val="5"/>
                <w:szCs w:val="5"/>
                <w:color w:val="auto"/>
              </w:rPr>
            </w:pPr>
          </w:p>
        </w:tc>
        <w:tc>
          <w:tcPr>
            <w:tcW w:w="1820" w:type="dxa"/>
            <w:vAlign w:val="bottom"/>
            <w:tcBorders>
              <w:right w:val="single" w:sz="8" w:color="auto"/>
            </w:tcBorders>
            <w:vMerge w:val="continue"/>
          </w:tcPr>
          <w:p>
            <w:pPr>
              <w:spacing w:after="0"/>
              <w:rPr>
                <w:sz w:val="5"/>
                <w:szCs w:val="5"/>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vMerge w:val="continue"/>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900" w:type="dxa"/>
            <w:vAlign w:val="bottom"/>
            <w:tcBorders>
              <w:left w:val="single" w:sz="8" w:color="auto"/>
              <w:right w:val="single" w:sz="8" w:color="auto"/>
            </w:tcBorders>
          </w:tcPr>
          <w:p>
            <w:pPr>
              <w:spacing w:after="0"/>
              <w:rPr>
                <w:sz w:val="5"/>
                <w:szCs w:val="5"/>
                <w:color w:val="auto"/>
              </w:rPr>
            </w:pPr>
          </w:p>
        </w:tc>
        <w:tc>
          <w:tcPr>
            <w:tcW w:w="18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2500" w:type="dxa"/>
            <w:vAlign w:val="bottom"/>
            <w:tcBorders>
              <w:right w:val="single" w:sz="8" w:color="auto"/>
            </w:tcBorders>
            <w:vMerge w:val="continue"/>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900" w:type="dxa"/>
            <w:vAlign w:val="bottom"/>
            <w:tcBorders>
              <w:left w:val="single" w:sz="8" w:color="auto"/>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Long-term revenue</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18"/>
                <w:szCs w:val="18"/>
                <w:color w:val="auto"/>
                <w:w w:val="87"/>
              </w:rPr>
              <w:t>Cash Flow</w:t>
            </w:r>
            <w:r>
              <w:rPr>
                <w:rFonts w:ascii="Arial" w:cs="Arial" w:eastAsia="Arial" w:hAnsi="Arial"/>
                <w:sz w:val="25"/>
                <w:szCs w:val="25"/>
                <w:color w:val="auto"/>
                <w:w w:val="87"/>
                <w:vertAlign w:val="superscript"/>
              </w:rPr>
              <w:t>(2)</w:t>
            </w:r>
          </w:p>
        </w:tc>
        <w:tc>
          <w:tcPr>
            <w:tcW w:w="2500" w:type="dxa"/>
            <w:vAlign w:val="bottom"/>
            <w:tcBorders>
              <w:right w:val="single" w:sz="8" w:color="auto"/>
            </w:tcBorders>
            <w:vMerge w:val="continue"/>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 (0.0)%</w:t>
            </w: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6"/>
              </w:rPr>
              <w:t>growth</w:t>
            </w:r>
          </w:p>
        </w:tc>
        <w:tc>
          <w:tcPr>
            <w:tcW w:w="2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 transactions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1.91x–7.08x (3.80x)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EBIT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27.8x (27.8x)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Preferred stock in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$120,253,822</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41"/>
        </w:trPr>
        <w:tc>
          <w:tcPr>
            <w:tcW w:w="2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820" w:type="dxa"/>
            <w:vAlign w:val="bottom"/>
            <w:tcBorders>
              <w:right w:val="single" w:sz="8" w:color="auto"/>
            </w:tcBorders>
            <w:vMerge w:val="continue"/>
          </w:tcPr>
          <w:p>
            <w:pPr>
              <w:spacing w:after="0"/>
              <w:rPr>
                <w:sz w:val="3"/>
                <w:szCs w:val="3"/>
                <w:color w:val="auto"/>
              </w:rPr>
            </w:pPr>
          </w:p>
        </w:tc>
        <w:tc>
          <w:tcPr>
            <w:tcW w:w="2060" w:type="dxa"/>
            <w:vAlign w:val="bottom"/>
            <w:tcBorders>
              <w:right w:val="single" w:sz="8" w:color="auto"/>
            </w:tcBorders>
            <w:vMerge w:val="continue"/>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9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Long-term revenue</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900" w:type="dxa"/>
            <w:vAlign w:val="bottom"/>
            <w:tcBorders>
              <w:left w:val="single" w:sz="8" w:color="auto"/>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2060" w:type="dxa"/>
            <w:vAlign w:val="bottom"/>
            <w:tcBorders>
              <w:right w:val="single" w:sz="8" w:color="auto"/>
            </w:tcBorders>
            <w:vMerge w:val="restart"/>
          </w:tcPr>
          <w:p>
            <w:pPr>
              <w:jc w:val="center"/>
              <w:spacing w:after="0" w:line="217" w:lineRule="exact"/>
              <w:rPr>
                <w:sz w:val="20"/>
                <w:szCs w:val="20"/>
                <w:color w:val="auto"/>
              </w:rPr>
            </w:pPr>
            <w:r>
              <w:rPr>
                <w:rFonts w:ascii="Arial" w:cs="Arial" w:eastAsia="Arial" w:hAnsi="Arial"/>
                <w:sz w:val="18"/>
                <w:szCs w:val="18"/>
                <w:color w:val="auto"/>
                <w:w w:val="87"/>
              </w:rPr>
              <w:t>Cash Flow</w:t>
            </w:r>
            <w:r>
              <w:rPr>
                <w:rFonts w:ascii="Arial" w:cs="Arial" w:eastAsia="Arial" w:hAnsi="Arial"/>
                <w:sz w:val="25"/>
                <w:szCs w:val="25"/>
                <w:color w:val="auto"/>
                <w:w w:val="87"/>
                <w:vertAlign w:val="superscript"/>
              </w:rPr>
              <w:t>(2)</w:t>
            </w:r>
          </w:p>
        </w:tc>
        <w:tc>
          <w:tcPr>
            <w:tcW w:w="2500" w:type="dxa"/>
            <w:vAlign w:val="bottom"/>
            <w:tcBorders>
              <w:right w:val="single" w:sz="8" w:color="auto"/>
            </w:tcBorders>
            <w:vMerge w:val="continue"/>
          </w:tcPr>
          <w:p>
            <w:pPr>
              <w:spacing w:after="0"/>
              <w:rPr>
                <w:sz w:val="8"/>
                <w:szCs w:val="8"/>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0.0% (0.0)%</w:t>
            </w:r>
          </w:p>
        </w:tc>
        <w:tc>
          <w:tcPr>
            <w:tcW w:w="0" w:type="dxa"/>
            <w:vAlign w:val="bottom"/>
          </w:tcPr>
          <w:p>
            <w:pPr>
              <w:spacing w:after="0"/>
              <w:rPr>
                <w:sz w:val="1"/>
                <w:szCs w:val="1"/>
                <w:color w:val="auto"/>
              </w:rPr>
            </w:pPr>
          </w:p>
        </w:tc>
      </w:tr>
      <w:tr>
        <w:trPr>
          <w:trHeight w:val="122"/>
        </w:trPr>
        <w:tc>
          <w:tcPr>
            <w:tcW w:w="29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6"/>
              </w:rPr>
              <w:t>growth</w:t>
            </w:r>
          </w:p>
        </w:tc>
        <w:tc>
          <w:tcPr>
            <w:tcW w:w="2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2.28x–4.60x (3.23x)</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$4,916,578</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3.04x–4.60x (3.84x)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Warrants</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$433,997</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Term to expiration (Years)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0.2-3.0 (2.2)</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vMerge w:val="continue"/>
          </w:tcPr>
          <w:p>
            <w:pPr>
              <w:spacing w:after="0"/>
              <w:rPr>
                <w:sz w:val="2"/>
                <w:szCs w:val="2"/>
                <w:color w:val="auto"/>
              </w:rPr>
            </w:pPr>
          </w:p>
        </w:tc>
        <w:tc>
          <w:tcPr>
            <w:tcW w:w="1820" w:type="dxa"/>
            <w:vAlign w:val="bottom"/>
            <w:tcBorders>
              <w:right w:val="single" w:sz="8" w:color="auto"/>
            </w:tcBorders>
            <w:vMerge w:val="continue"/>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Borders>
              <w:left w:val="single" w:sz="8" w:color="auto"/>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Volatility</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18.8%–51.6% (36.5)%</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16" w:lineRule="exact"/>
        <w:rPr>
          <w:sz w:val="20"/>
          <w:szCs w:val="20"/>
          <w:color w:val="auto"/>
        </w:rPr>
      </w:pPr>
    </w:p>
    <w:p>
      <w:pPr>
        <w:ind w:left="660" w:right="10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2017, the Company used a hybrid market and income approach to value certain common and preferred stock investments as the Company felt this approach better reflected the fair value of these investments. By</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40"/>
          </w:cols>
          <w:pgMar w:left="240" w:top="121" w:right="2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373" w:lineRule="exact"/>
        <w:rPr>
          <w:sz w:val="20"/>
          <w:szCs w:val="20"/>
          <w:color w:val="auto"/>
        </w:rPr>
      </w:pPr>
    </w:p>
    <w:p>
      <w:pPr>
        <w:ind w:left="660" w:right="80"/>
        <w:spacing w:after="0" w:line="364" w:lineRule="auto"/>
        <w:rPr>
          <w:sz w:val="20"/>
          <w:szCs w:val="20"/>
          <w:color w:val="auto"/>
        </w:rPr>
      </w:pPr>
      <w:r>
        <w:rPr>
          <w:rFonts w:ascii="Arial" w:cs="Arial" w:eastAsia="Arial" w:hAnsi="Arial"/>
          <w:sz w:val="16"/>
          <w:szCs w:val="16"/>
          <w:color w:val="auto"/>
        </w:rPr>
        <w:t>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14" w:lineRule="exact"/>
        <w:rPr>
          <w:sz w:val="20"/>
          <w:szCs w:val="20"/>
          <w:color w:val="auto"/>
        </w:rPr>
      </w:pPr>
    </w:p>
    <w:p>
      <w:pPr>
        <w:ind w:left="660" w:right="40" w:hanging="652"/>
        <w:spacing w:after="0" w:line="288"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three months ended March 31, 2018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2018</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Debt</w:t>
            </w:r>
          </w:p>
        </w:tc>
        <w:tc>
          <w:tcPr>
            <w:tcW w:w="36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Fair Value as of December 31, 2017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86,824,096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120,253,822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4,916,578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433,997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212,428,493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Transfers out of Level 3</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(10,639,986)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(7,734,804)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(18,374,790)</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Purchases, capitalized fees and interest</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311,361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312,636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Sales/Maturity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(5,923,795)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(6,515,924)</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Realized losses</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(4,228,059)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(4,228,739)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(depreciation) included 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826,850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1,642,895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1,090,529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1,028,810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4,589,084</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Fair Value as of March 31, 2018</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77,010,960</w:t>
            </w:r>
          </w:p>
        </w:tc>
        <w:tc>
          <w:tcPr>
            <w:tcW w:w="120" w:type="dxa"/>
            <w:vAlign w:val="bottom"/>
            <w:tcBorders>
              <w:top w:val="single" w:sz="8" w:color="CCEEFF"/>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104,011,334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5,725,659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1,462,807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188,210,760</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89"/>
                <w:shd w:val="clear" w:color="auto" w:fill="CCEEFF"/>
              </w:rPr>
              <w:t>Net change in unrealized appreciation/</w:t>
            </w: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shd w:val="clear" w:color="auto" w:fill="CCEEFF"/>
              </w:rPr>
              <w:t>(depreciation) of Level 3 investments</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still held</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537,701</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(2,810,485)</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1,089,849</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1,028,810</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(154,125)</w:t>
            </w:r>
          </w:p>
        </w:tc>
        <w:tc>
          <w:tcPr>
            <w:tcW w:w="0" w:type="dxa"/>
            <w:vAlign w:val="bottom"/>
          </w:tcPr>
          <w:p>
            <w:pPr>
              <w:spacing w:after="0"/>
              <w:rPr>
                <w:sz w:val="1"/>
                <w:szCs w:val="1"/>
                <w:color w:val="auto"/>
              </w:rPr>
            </w:pPr>
          </w:p>
        </w:tc>
      </w:tr>
      <w:tr>
        <w:trPr>
          <w:trHeight w:val="243"/>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as of March 31, 2018</w:t>
            </w: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vMerge w:val="continue"/>
            <w:shd w:val="clear" w:color="auto" w:fill="CCEEFF"/>
          </w:tcPr>
          <w:p>
            <w:pPr>
              <w:spacing w:after="0"/>
              <w:rPr>
                <w:sz w:val="21"/>
                <w:szCs w:val="21"/>
                <w:color w:val="auto"/>
              </w:rPr>
            </w:pPr>
          </w:p>
        </w:tc>
        <w:tc>
          <w:tcPr>
            <w:tcW w:w="122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vMerge w:val="continue"/>
            <w:shd w:val="clear" w:color="auto" w:fill="CCEEFF"/>
          </w:tcPr>
          <w:p>
            <w:pPr>
              <w:spacing w:after="0"/>
              <w:rPr>
                <w:sz w:val="21"/>
                <w:szCs w:val="21"/>
                <w:color w:val="auto"/>
              </w:rPr>
            </w:pPr>
          </w:p>
        </w:tc>
        <w:tc>
          <w:tcPr>
            <w:tcW w:w="122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vMerge w:val="continue"/>
            <w:shd w:val="clear" w:color="auto" w:fill="CCEEFF"/>
          </w:tcPr>
          <w:p>
            <w:pPr>
              <w:spacing w:after="0"/>
              <w:rPr>
                <w:sz w:val="21"/>
                <w:szCs w:val="21"/>
                <w:color w:val="auto"/>
              </w:rPr>
            </w:pPr>
          </w:p>
        </w:tc>
        <w:tc>
          <w:tcPr>
            <w:tcW w:w="12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vMerge w:val="continue"/>
            <w:shd w:val="clear" w:color="auto" w:fill="CCEEFF"/>
          </w:tcPr>
          <w:p>
            <w:pPr>
              <w:spacing w:after="0"/>
              <w:rPr>
                <w:sz w:val="21"/>
                <w:szCs w:val="21"/>
                <w:color w:val="auto"/>
              </w:rPr>
            </w:pPr>
          </w:p>
        </w:tc>
        <w:tc>
          <w:tcPr>
            <w:tcW w:w="112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vMerge w:val="continue"/>
            <w:shd w:val="clear" w:color="auto" w:fill="CCEEFF"/>
          </w:tcPr>
          <w:p>
            <w:pPr>
              <w:spacing w:after="0"/>
              <w:rPr>
                <w:sz w:val="21"/>
                <w:szCs w:val="21"/>
                <w:color w:val="auto"/>
              </w:rPr>
            </w:pPr>
          </w:p>
        </w:tc>
        <w:tc>
          <w:tcPr>
            <w:tcW w:w="118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(1) During the three months ended March 31, 2018, the Company’s portfolio investments had the following corporate actions which are reflected above:</w:t>
      </w:r>
    </w:p>
    <w:p>
      <w:pPr>
        <w:spacing w:after="0" w:line="37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Conversion from</w:t>
            </w:r>
          </w:p>
        </w:tc>
        <w:tc>
          <w:tcPr>
            <w:tcW w:w="120" w:type="dxa"/>
            <w:vAlign w:val="bottom"/>
            <w:tcBorders>
              <w:bottom w:val="single" w:sz="8" w:color="CCEEFF"/>
            </w:tcBorders>
          </w:tcPr>
          <w:p>
            <w:pPr>
              <w:spacing w:after="0"/>
              <w:rPr>
                <w:sz w:val="16"/>
                <w:szCs w:val="16"/>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Conversion to</w:t>
            </w:r>
          </w:p>
        </w:tc>
      </w:tr>
      <w:tr>
        <w:trPr>
          <w:trHeight w:val="228"/>
        </w:trPr>
        <w:tc>
          <w:tcPr>
            <w:tcW w:w="4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Preferred shares, Series A-1 &amp;</w:t>
            </w:r>
          </w:p>
        </w:tc>
        <w:tc>
          <w:tcPr>
            <w:tcW w:w="3400" w:type="dxa"/>
            <w:vAlign w:val="bottom"/>
            <w:shd w:val="clear" w:color="auto" w:fill="CCEEFF"/>
          </w:tcPr>
          <w:p>
            <w:pPr>
              <w:spacing w:after="0"/>
              <w:rPr>
                <w:sz w:val="19"/>
                <w:szCs w:val="19"/>
                <w:color w:val="auto"/>
              </w:rPr>
            </w:pPr>
          </w:p>
        </w:tc>
      </w:tr>
      <w:tr>
        <w:trPr>
          <w:trHeight w:val="237"/>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Dropbox, Inc.</w:t>
            </w:r>
          </w:p>
        </w:tc>
        <w:tc>
          <w:tcPr>
            <w:tcW w:w="2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Common shares</w:t>
            </w:r>
          </w:p>
        </w:tc>
        <w:tc>
          <w:tcPr>
            <w:tcW w:w="3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Public Common Shares (Level 2)</w:t>
            </w:r>
          </w:p>
        </w:tc>
      </w:tr>
      <w:tr>
        <w:trPr>
          <w:trHeight w:val="783"/>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jc w:val="right"/>
              <w:ind w:right="16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-814070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-814070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year ended December 31, 2017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 2017</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Debt</w:t>
            </w:r>
          </w:p>
        </w:tc>
        <w:tc>
          <w:tcPr>
            <w:tcW w:w="40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4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Fair Value as of December 31, 2016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83,074,410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162,238,879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7,821,948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150,904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253,286,141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(2,184,565)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(4,369,130)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Purchases, capitalized fees and interest</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60,649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126,824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226,449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70,379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484,301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Sales of investments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(17,986,251)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(45,369,628)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(63,426,258)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Realized gains/(losses)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(10,440,384)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9,433,159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(335,688)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(1,374,843)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9"/>
              </w:rPr>
              <w:t xml:space="preserve">Exercises, conversions and assignments </w:t>
            </w:r>
            <w:r>
              <w:rPr>
                <w:rFonts w:ascii="Arial" w:cs="Arial" w:eastAsia="Arial" w:hAnsi="Arial"/>
                <w:sz w:val="25"/>
                <w:szCs w:val="25"/>
                <w:color w:val="auto"/>
                <w:w w:val="99"/>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2,506,119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(2,506,119)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Amortization of fixed income security</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premiums and discounts</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139,544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139,544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change in unrealized depreciation included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31,794,118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(1,484,728)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(2,865,296)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244,644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27,688,736</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as of December 31, 2017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86,824,096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120,253,822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4,916,578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433,997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212,428,493</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(depreciation) of Level 3 investments still held</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10,742,585</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(12,221,603)</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(3,170,869)</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212,714</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(4,437,173)</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(1) During year ended December 31, 2017, the Company’s portfolio investments had the following corporate actions which are reflected above:</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8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Portfolio Company</w:t>
            </w: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Transfer from</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229"/>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A Place for Rover Inc. (f/k/a DogVacay, Inc.)</w:t>
            </w:r>
          </w:p>
        </w:tc>
        <w:tc>
          <w:tcPr>
            <w:tcW w:w="16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shd w:val="clear" w:color="auto" w:fill="CCEEFF"/>
              </w:rPr>
              <w:t>Preferred shares, Series B-1</w:t>
            </w:r>
          </w:p>
        </w:tc>
        <w:tc>
          <w:tcPr>
            <w:tcW w:w="1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shd w:val="clear" w:color="auto" w:fill="CCEEFF"/>
              </w:rPr>
              <w:t>Common shares</w:t>
            </w:r>
          </w:p>
        </w:tc>
      </w:tr>
      <w:tr>
        <w:trPr>
          <w:trHeight w:val="41"/>
        </w:trPr>
        <w:tc>
          <w:tcPr>
            <w:tcW w:w="36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-179705</wp:posOffset>
            </wp:positionV>
            <wp:extent cx="946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-179705</wp:posOffset>
            </wp:positionV>
            <wp:extent cx="102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4" w:lineRule="exact"/>
        <w:rPr>
          <w:sz w:val="20"/>
          <w:szCs w:val="20"/>
          <w:color w:val="auto"/>
        </w:rPr>
      </w:pPr>
    </w:p>
    <w:p>
      <w:pPr>
        <w:ind w:left="340" w:right="10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investments includes escrow proceeds receivable of $603,456 from the sale of the Company’s investments in JAMF Holdings Inc. and Strategic Data Command, LLC.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9" w:lineRule="exact"/>
        <w:rPr>
          <w:sz w:val="20"/>
          <w:szCs w:val="20"/>
          <w:color w:val="auto"/>
        </w:rPr>
      </w:pPr>
    </w:p>
    <w:p>
      <w:pPr>
        <w:ind w:right="260" w:firstLine="351"/>
        <w:spacing w:after="0" w:line="277" w:lineRule="auto"/>
        <w:rPr>
          <w:sz w:val="20"/>
          <w:szCs w:val="20"/>
          <w:color w:val="auto"/>
        </w:rPr>
      </w:pPr>
      <w:r>
        <w:rPr>
          <w:rFonts w:ascii="Arial" w:cs="Arial" w:eastAsia="Arial" w:hAnsi="Arial"/>
          <w:sz w:val="18"/>
          <w:szCs w:val="18"/>
          <w:color w:val="auto"/>
        </w:rPr>
        <w:t>Transactions during the three months ended March 31, 2018 involving the Company’s controlled investments and non-controlled/affiliate investments were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Interest,</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Fees, or</w:t>
            </w:r>
          </w:p>
        </w:tc>
        <w:tc>
          <w:tcPr>
            <w:tcW w:w="1000" w:type="dxa"/>
            <w:vAlign w:val="bottom"/>
            <w:gridSpan w:val="3"/>
            <w:vMerge w:val="continue"/>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2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December</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at</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840" w:type="dxa"/>
            <w:vAlign w:val="bottom"/>
          </w:tcPr>
          <w:p>
            <w:pPr>
              <w:jc w:val="right"/>
              <w:ind w:right="166"/>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98"/>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2"/>
        </w:trPr>
        <w:tc>
          <w:tcPr>
            <w:tcW w:w="2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6"/>
                <w:szCs w:val="16"/>
                <w:b w:val="1"/>
                <w:bCs w:val="1"/>
                <w:color w:val="auto"/>
              </w:rPr>
              <w:t>CONTROLLED INVESTMENTS*</w:t>
            </w:r>
            <w:r>
              <w:rPr>
                <w:rFonts w:ascii="Arial" w:cs="Arial" w:eastAsia="Arial" w:hAnsi="Arial"/>
                <w:sz w:val="21"/>
                <w:szCs w:val="21"/>
                <w:b w:val="1"/>
                <w:bCs w:val="1"/>
                <w:color w:val="auto"/>
                <w:vertAlign w:val="superscript"/>
              </w:rPr>
              <w:t>(2)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Inc.)–Convertible Promissory</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Note 8% Due 7/31/2018***</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560,199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11,204</w:t>
            </w:r>
          </w:p>
        </w:tc>
        <w:tc>
          <w:tcPr>
            <w:tcW w:w="1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560,199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560,199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w w:val="97"/>
              </w:rPr>
              <w:t>Inc.)–Unsecured Promissory Note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2760" w:type="dxa"/>
            <w:vAlign w:val="bottom"/>
            <w:gridSpan w:val="3"/>
            <w:shd w:val="clear" w:color="auto" w:fill="CCEEFF"/>
          </w:tcPr>
          <w:p>
            <w:pPr>
              <w:ind w:left="400"/>
              <w:spacing w:after="0" w:line="239" w:lineRule="exact"/>
              <w:rPr>
                <w:sz w:val="20"/>
                <w:szCs w:val="20"/>
                <w:color w:val="auto"/>
              </w:rPr>
            </w:pPr>
            <w:r>
              <w:rPr>
                <w:rFonts w:ascii="Arial" w:cs="Arial" w:eastAsia="Arial" w:hAnsi="Arial"/>
                <w:sz w:val="16"/>
                <w:szCs w:val="16"/>
                <w:color w:val="auto"/>
              </w:rPr>
              <w:t>12% Due 1/15/2018***</w:t>
            </w:r>
            <w:r>
              <w:rPr>
                <w:rFonts w:ascii="Arial" w:cs="Arial" w:eastAsia="Arial" w:hAnsi="Arial"/>
                <w:sz w:val="21"/>
                <w:szCs w:val="21"/>
                <w:color w:val="auto"/>
                <w:vertAlign w:val="superscript"/>
              </w:rPr>
              <w:t>(8)</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2,369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592,129</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(592,129)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13,573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1,152,328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0"/>
              </w:rPr>
              <w:t>(592,129)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560,199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92"/>
              </w:rPr>
              <w:t>1,152,328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(592,129)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560,199</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Clean Technology</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SPBRX, INC. (f/k/a GSV</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Sustainability Partners, Inc.)–</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Preferred shares, Class A***</w:t>
            </w:r>
          </w:p>
        </w:tc>
        <w:tc>
          <w:tcPr>
            <w:tcW w:w="840" w:type="dxa"/>
            <w:vAlign w:val="bottom"/>
            <w:gridSpan w:val="2"/>
          </w:tcPr>
          <w:p>
            <w:pPr>
              <w:ind w:left="40"/>
              <w:spacing w:after="0"/>
              <w:rPr>
                <w:sz w:val="20"/>
                <w:szCs w:val="20"/>
                <w:color w:val="auto"/>
              </w:rPr>
            </w:pPr>
            <w:r>
              <w:rPr>
                <w:rFonts w:ascii="Arial" w:cs="Arial" w:eastAsia="Arial" w:hAnsi="Arial"/>
                <w:sz w:val="16"/>
                <w:szCs w:val="16"/>
                <w:color w:val="auto"/>
                <w:w w:val="97"/>
              </w:rPr>
              <w:t>14,300,000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1,069,862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120,566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w w:val="87"/>
              </w:rPr>
              <w:t>1,190,428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Inc.)–Preferred stock Series A-4</w:t>
            </w:r>
          </w:p>
        </w:tc>
        <w:tc>
          <w:tcPr>
            <w:tcW w:w="840" w:type="dxa"/>
            <w:vAlign w:val="bottom"/>
            <w:gridSpan w:val="2"/>
          </w:tcPr>
          <w:p>
            <w:pPr>
              <w:jc w:val="right"/>
              <w:ind w:right="23"/>
              <w:spacing w:after="0"/>
              <w:rPr>
                <w:sz w:val="20"/>
                <w:szCs w:val="20"/>
                <w:color w:val="auto"/>
              </w:rPr>
            </w:pPr>
            <w:r>
              <w:rPr>
                <w:rFonts w:ascii="Arial" w:cs="Arial" w:eastAsia="Arial" w:hAnsi="Arial"/>
                <w:sz w:val="16"/>
                <w:szCs w:val="16"/>
                <w:color w:val="auto"/>
              </w:rPr>
              <w:t>3,720,424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5,390,842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w w:val="92"/>
              </w:rPr>
              <w:t>3,104,463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w w:val="87"/>
              </w:rPr>
              <w:t>8,495,305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Inc.)–Preferred stock Series A-3</w:t>
            </w:r>
          </w:p>
        </w:tc>
        <w:tc>
          <w:tcPr>
            <w:tcW w:w="840" w:type="dxa"/>
            <w:vAlign w:val="bottom"/>
            <w:tcBorders>
              <w:bottom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1,561,625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92"/>
              </w:rPr>
              <w:t>1,885,644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2"/>
              </w:rPr>
              <w:t>1,085,899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7"/>
              </w:rPr>
              <w:t>2,971,543</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Inc.)–Preferred stock Series A-2</w:t>
            </w:r>
          </w:p>
        </w:tc>
        <w:tc>
          <w:tcPr>
            <w:tcW w:w="12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450,001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326,022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187,748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513,770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Inc.)–Preferred stock Series A-1</w:t>
            </w:r>
          </w:p>
        </w:tc>
        <w:tc>
          <w:tcPr>
            <w:tcW w:w="840" w:type="dxa"/>
            <w:vAlign w:val="bottom"/>
            <w:tcBorders>
              <w:bottom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543,370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312,914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856,284</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92"/>
              </w:rPr>
              <w:t>8,145,878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92"/>
              </w:rPr>
              <w:t>4,691,024</w:t>
            </w:r>
          </w:p>
        </w:tc>
        <w:tc>
          <w:tcPr>
            <w:tcW w:w="100" w:type="dxa"/>
            <w:vAlign w:val="bottom"/>
          </w:tcPr>
          <w:p>
            <w:pPr>
              <w:spacing w:after="0"/>
              <w:rPr>
                <w:sz w:val="20"/>
                <w:szCs w:val="20"/>
                <w:color w:val="auto"/>
              </w:rPr>
            </w:pPr>
          </w:p>
        </w:tc>
        <w:tc>
          <w:tcPr>
            <w:tcW w:w="86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6"/>
                <w:szCs w:val="16"/>
                <w:color w:val="auto"/>
                <w:w w:val="92"/>
              </w:rPr>
              <w:t>12,836,902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-3966210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Interest,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Fees, or</w:t>
            </w: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Fair Value at</w:t>
            </w:r>
          </w:p>
        </w:tc>
        <w:tc>
          <w:tcPr>
            <w:tcW w:w="84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40" w:type="dxa"/>
            <w:vAlign w:val="bottom"/>
            <w:gridSpan w:val="3"/>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Credited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6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March 31,</w:t>
            </w:r>
          </w:p>
        </w:tc>
        <w:tc>
          <w:tcPr>
            <w:tcW w:w="840" w:type="dxa"/>
            <w:vAlign w:val="bottom"/>
          </w:tcPr>
          <w:p>
            <w:pPr>
              <w:jc w:val="right"/>
              <w:ind w:right="16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Interactive Learning</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StormWind, LLC–Preferred shares,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00" w:type="dxa"/>
            <w:vAlign w:val="bottom"/>
            <w:gridSpan w:val="2"/>
          </w:tcPr>
          <w:p>
            <w:pPr>
              <w:ind w:left="280"/>
              <w:spacing w:after="0" w:line="239" w:lineRule="exact"/>
              <w:rPr>
                <w:sz w:val="20"/>
                <w:szCs w:val="20"/>
                <w:color w:val="auto"/>
              </w:rPr>
            </w:pPr>
            <w:r>
              <w:rPr>
                <w:rFonts w:ascii="Arial" w:cs="Arial" w:eastAsia="Arial" w:hAnsi="Arial"/>
                <w:sz w:val="16"/>
                <w:szCs w:val="16"/>
                <w:color w:val="auto"/>
              </w:rPr>
              <w:t>Series C</w:t>
            </w:r>
            <w:r>
              <w:rPr>
                <w:rFonts w:ascii="Arial" w:cs="Arial" w:eastAsia="Arial" w:hAnsi="Arial"/>
                <w:sz w:val="21"/>
                <w:szCs w:val="21"/>
                <w:color w:val="auto"/>
                <w:vertAlign w:val="superscript"/>
              </w:rPr>
              <w:t>(3)</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2,779,134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7,223,904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36,619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7,260,523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20"/>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StormWind, LLC–Preferred shares,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0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Series B</w:t>
            </w:r>
            <w:r>
              <w:rPr>
                <w:rFonts w:ascii="Arial" w:cs="Arial" w:eastAsia="Arial" w:hAnsi="Arial"/>
                <w:sz w:val="21"/>
                <w:szCs w:val="21"/>
                <w:color w:val="auto"/>
                <w:vertAlign w:val="superscript"/>
              </w:rPr>
              <w:t>(3)</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3,279,629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5,804,472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43,214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5,847,686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StormWind, LLC–Preferred shares,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00" w:type="dxa"/>
            <w:vAlign w:val="bottom"/>
            <w:tcBorders>
              <w:bottom w:val="single" w:sz="8" w:color="CCEEFF"/>
            </w:tcBorders>
            <w:gridSpan w:val="2"/>
          </w:tcPr>
          <w:p>
            <w:pPr>
              <w:ind w:left="280"/>
              <w:spacing w:after="0" w:line="239" w:lineRule="exact"/>
              <w:rPr>
                <w:sz w:val="20"/>
                <w:szCs w:val="20"/>
                <w:color w:val="auto"/>
              </w:rPr>
            </w:pPr>
            <w:r>
              <w:rPr>
                <w:rFonts w:ascii="Arial" w:cs="Arial" w:eastAsia="Arial" w:hAnsi="Arial"/>
                <w:sz w:val="16"/>
                <w:szCs w:val="16"/>
                <w:color w:val="auto"/>
              </w:rPr>
              <w:t>Series A</w:t>
            </w:r>
            <w:r>
              <w:rPr>
                <w:rFonts w:ascii="Arial" w:cs="Arial" w:eastAsia="Arial" w:hAnsi="Arial"/>
                <w:sz w:val="21"/>
                <w:szCs w:val="21"/>
                <w:color w:val="auto"/>
                <w:vertAlign w:val="superscript"/>
              </w:rPr>
              <w:t>(3)</w:t>
            </w:r>
          </w:p>
        </w:tc>
        <w:tc>
          <w:tcPr>
            <w:tcW w:w="7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366,666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425,342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4,832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430,174</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Interactive Learning</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7"/>
              </w:rPr>
              <w:t>13,453,718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84,665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7"/>
              </w:rPr>
              <w:t>13,538,383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37"/>
        </w:trPr>
        <w:tc>
          <w:tcPr>
            <w:tcW w:w="28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87"/>
              </w:rPr>
              <w:t>22,669,458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w w:val="92"/>
              </w:rPr>
              <w:t>4,896,255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87"/>
              </w:rPr>
              <w:t>27,565,713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Inc.)–Preferred Warrant Series A-3,</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Strike Price $1.33, Expiration Date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4/4/2019</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187,500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193,125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195,000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NestGSV, Inc. (d/b/a GSV Labs,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Arial" w:cs="Arial" w:eastAsia="Arial" w:hAnsi="Arial"/>
                <w:sz w:val="16"/>
                <w:szCs w:val="16"/>
                <w:color w:val="auto"/>
                <w:w w:val="99"/>
              </w:rPr>
              <w:t>Inc.)–Preferred Warrant Series A-4,</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Strike Price $1.33, Expiration Date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80" w:type="dxa"/>
            <w:vAlign w:val="bottom"/>
          </w:tcPr>
          <w:p>
            <w:pPr>
              <w:ind w:left="280"/>
              <w:spacing w:after="0"/>
              <w:rPr>
                <w:sz w:val="20"/>
                <w:szCs w:val="20"/>
                <w:color w:val="auto"/>
              </w:rPr>
            </w:pPr>
            <w:r>
              <w:rPr>
                <w:rFonts w:ascii="Arial" w:cs="Arial" w:eastAsia="Arial" w:hAnsi="Arial"/>
                <w:sz w:val="16"/>
                <w:szCs w:val="16"/>
                <w:color w:val="auto"/>
              </w:rPr>
              <w:t>10/6/2019</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565,000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725,000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Inc.)–Preferred Warrant Series A-4,</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Strike Price $1.33, Expiration Date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7/18/2021</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102,500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272,500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375,000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NestGSV, Inc. (d/b/a GSV Labs,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Inc.)–Preferred Warrant Series B,</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Strike Price $2.31, Expiration Date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80" w:type="dxa"/>
            <w:vAlign w:val="bottom"/>
          </w:tcPr>
          <w:p>
            <w:pPr>
              <w:ind w:left="280"/>
              <w:spacing w:after="0"/>
              <w:rPr>
                <w:sz w:val="20"/>
                <w:szCs w:val="20"/>
                <w:color w:val="auto"/>
              </w:rPr>
            </w:pPr>
            <w:r>
              <w:rPr>
                <w:rFonts w:ascii="Arial" w:cs="Arial" w:eastAsia="Arial" w:hAnsi="Arial"/>
                <w:sz w:val="16"/>
                <w:szCs w:val="16"/>
                <w:color w:val="auto"/>
              </w:rPr>
              <w:t>11/29/2021</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66,000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Inc.)–Preferred Warrant Series B,</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Strike Price $2.31, Expiration Date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5/29/2022</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82,500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1"/>
        </w:trPr>
        <w:tc>
          <w:tcPr>
            <w:tcW w:w="2680" w:type="dxa"/>
            <w:vAlign w:val="bottom"/>
            <w:tcBorders>
              <w:top w:val="single" w:sz="8" w:color="CCEEFF"/>
            </w:tcBorders>
          </w:tcPr>
          <w:p>
            <w:pPr>
              <w:ind w:left="18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Pr>
          <w:p>
            <w:pPr>
              <w:spacing w:after="0"/>
              <w:rPr>
                <w:sz w:val="20"/>
                <w:szCs w:val="20"/>
                <w:color w:val="auto"/>
              </w:rPr>
            </w:pPr>
          </w:p>
        </w:tc>
        <w:tc>
          <w:tcPr>
            <w:tcW w:w="76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385,375</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92"/>
              </w:rPr>
              <w:t>1,058,125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8"/>
              </w:rPr>
              <w:t>1,443,500</w:t>
            </w:r>
          </w:p>
        </w:tc>
        <w:tc>
          <w:tcPr>
            <w:tcW w:w="100" w:type="dxa"/>
            <w:vAlign w:val="bottom"/>
          </w:tcPr>
          <w:p>
            <w:pPr>
              <w:spacing w:after="0"/>
              <w:rPr>
                <w:sz w:val="20"/>
                <w:szCs w:val="2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Warrants</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385,375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2"/>
              </w:rPr>
              <w:t>1,058,125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1,443,500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237"/>
        </w:trPr>
        <w:tc>
          <w:tcPr>
            <w:tcW w:w="28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Clean Technology</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SPBRX, INC. (f/k/a GSV</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Sustainability Partners, Inc.)–</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Common shares</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-5586730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2"/>
                <w:szCs w:val="12"/>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Dividends</w:t>
            </w: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860" w:type="dxa"/>
            <w:vAlign w:val="bottom"/>
          </w:tcPr>
          <w:p>
            <w:pPr>
              <w:jc w:val="right"/>
              <w:ind w:right="163"/>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6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Quantity</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Gains/(Losses)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Gains/(Losses)</w:t>
            </w:r>
          </w:p>
        </w:tc>
        <w:tc>
          <w:tcPr>
            <w:tcW w:w="100" w:type="dxa"/>
            <w:vAlign w:val="bottom"/>
          </w:tcPr>
          <w:p>
            <w:pPr>
              <w:spacing w:after="0"/>
              <w:rPr>
                <w:sz w:val="16"/>
                <w:szCs w:val="16"/>
                <w:color w:val="auto"/>
              </w:rPr>
            </w:pPr>
          </w:p>
        </w:tc>
        <w:tc>
          <w:tcPr>
            <w:tcW w:w="8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860" w:type="dxa"/>
            <w:vAlign w:val="bottom"/>
          </w:tcPr>
          <w:p>
            <w:pPr>
              <w:jc w:val="right"/>
              <w:ind w:right="163"/>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620" w:type="dxa"/>
            <w:vAlign w:val="bottom"/>
            <w:tcBorders>
              <w:top w:val="single" w:sz="8" w:color="auto"/>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NestGSV, Inc. (d/b/a GSV Labs,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Inc.)–Common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left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Common Stock</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620" w:type="dxa"/>
            <w:vAlign w:val="bottom"/>
            <w:tcBorders>
              <w:top w:val="single" w:sz="8" w:color="CCEEFF"/>
            </w:tcBorders>
            <w:gridSpan w:val="3"/>
          </w:tcPr>
          <w:p>
            <w:pPr>
              <w:ind w:left="40"/>
              <w:spacing w:after="0"/>
              <w:rPr>
                <w:sz w:val="20"/>
                <w:szCs w:val="20"/>
                <w:color w:val="auto"/>
              </w:rPr>
            </w:pPr>
            <w:r>
              <w:rPr>
                <w:rFonts w:ascii="Arial" w:cs="Arial" w:eastAsia="Arial" w:hAnsi="Arial"/>
                <w:sz w:val="16"/>
                <w:szCs w:val="16"/>
                <w:b w:val="1"/>
                <w:bCs w:val="1"/>
                <w:color w:val="auto"/>
              </w:rPr>
              <w:t>TOTAL CONTROLLED</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b w:val="1"/>
                <w:bCs w:val="1"/>
                <w:color w:val="auto"/>
              </w:rPr>
              <w:t>13,573</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7"/>
              </w:rPr>
              <w:t>24,207,161</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vMerge w:val="restart"/>
          </w:tcPr>
          <w:p>
            <w:pPr>
              <w:ind w:left="4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vMerge w:val="restart"/>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7"/>
              </w:rPr>
              <w:t>(592,129)</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(680)</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95"/>
              </w:rPr>
              <w:t>5,955,060</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29,569,412</w:t>
            </w:r>
          </w:p>
        </w:tc>
        <w:tc>
          <w:tcPr>
            <w:tcW w:w="100" w:type="dxa"/>
            <w:vAlign w:val="bottom"/>
            <w:vMerge w:val="restart"/>
          </w:tcPr>
          <w:p>
            <w:pPr>
              <w:spacing w:after="0"/>
              <w:rPr>
                <w:sz w:val="18"/>
                <w:szCs w:val="18"/>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14.05%</w:t>
            </w: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gridSpan w:val="3"/>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7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6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8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620" w:type="dxa"/>
            <w:vAlign w:val="bottom"/>
            <w:tcBorders>
              <w:left w:val="single" w:sz="8" w:color="CCEEFF"/>
            </w:tcBorders>
            <w:gridSpan w:val="3"/>
            <w:shd w:val="clear" w:color="auto" w:fill="CCEEFF"/>
          </w:tcPr>
          <w:p>
            <w:pPr>
              <w:ind w:left="40"/>
              <w:spacing w:after="0" w:line="142" w:lineRule="exact"/>
              <w:rPr>
                <w:sz w:val="20"/>
                <w:szCs w:val="20"/>
                <w:color w:val="auto"/>
              </w:rPr>
            </w:pPr>
            <w:r>
              <w:rPr>
                <w:rFonts w:ascii="Arial" w:cs="Arial" w:eastAsia="Arial" w:hAnsi="Arial"/>
                <w:sz w:val="16"/>
                <w:szCs w:val="16"/>
                <w:b w:val="1"/>
                <w:bCs w:val="1"/>
                <w:color w:val="auto"/>
              </w:rPr>
              <w:t>NON-CONTROLLED/AFFILIATE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CCEEFF"/>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20" w:type="dxa"/>
            <w:vAlign w:val="bottom"/>
            <w:tcBorders>
              <w:left w:val="single" w:sz="8" w:color="CCEEFF"/>
            </w:tcBorders>
            <w:gridSpan w:val="3"/>
            <w:shd w:val="clear" w:color="auto" w:fill="CCEEFF"/>
          </w:tcPr>
          <w:p>
            <w:pPr>
              <w:ind w:left="40"/>
              <w:spacing w:after="0" w:line="183"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220" w:type="dxa"/>
            <w:vAlign w:val="bottom"/>
            <w:tcBorders>
              <w:top w:val="single" w:sz="8" w:color="auto"/>
              <w:left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620" w:type="dxa"/>
            <w:vAlign w:val="bottom"/>
            <w:gridSpan w:val="3"/>
          </w:tcPr>
          <w:p>
            <w:pPr>
              <w:ind w:left="40"/>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CUX, Inc. (d/b/a CorpU)–Senior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Subordinated Convertible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Promissory Note 8% Due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2"/>
          </w:tcPr>
          <w:p>
            <w:pPr>
              <w:ind w:left="280"/>
              <w:spacing w:after="0" w:line="239" w:lineRule="exact"/>
              <w:rPr>
                <w:sz w:val="20"/>
                <w:szCs w:val="20"/>
                <w:color w:val="auto"/>
              </w:rPr>
            </w:pPr>
            <w:r>
              <w:rPr>
                <w:rFonts w:ascii="Arial" w:cs="Arial" w:eastAsia="Arial" w:hAnsi="Arial"/>
                <w:sz w:val="16"/>
                <w:szCs w:val="16"/>
                <w:color w:val="auto"/>
              </w:rPr>
              <w:t>11/26/2018***</w:t>
            </w:r>
            <w:r>
              <w:rPr>
                <w:rFonts w:ascii="Arial" w:cs="Arial" w:eastAsia="Arial" w:hAnsi="Arial"/>
                <w:sz w:val="21"/>
                <w:szCs w:val="21"/>
                <w:color w:val="auto"/>
                <w:vertAlign w:val="superscript"/>
              </w:rPr>
              <w:t>(4)</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87"/>
              </w:rPr>
              <w:t>1,259,712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24,849</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1,259,712</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1,259,712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Ozy Media, Inc.–Convertible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Promissory Note 5% Due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Pr>
          <w:p>
            <w:pPr>
              <w:ind w:left="280"/>
              <w:spacing w:after="0" w:line="239" w:lineRule="exact"/>
              <w:rPr>
                <w:sz w:val="20"/>
                <w:szCs w:val="20"/>
                <w:color w:val="auto"/>
              </w:rPr>
            </w:pPr>
            <w:r>
              <w:rPr>
                <w:rFonts w:ascii="Arial" w:cs="Arial" w:eastAsia="Arial" w:hAnsi="Arial"/>
                <w:sz w:val="16"/>
                <w:szCs w:val="16"/>
                <w:color w:val="auto"/>
                <w:w w:val="87"/>
              </w:rPr>
              <w:t>2/28/2018</w:t>
            </w:r>
            <w:r>
              <w:rPr>
                <w:rFonts w:ascii="Arial" w:cs="Arial" w:eastAsia="Arial" w:hAnsi="Arial"/>
                <w:sz w:val="21"/>
                <w:szCs w:val="21"/>
                <w:color w:val="auto"/>
                <w:w w:val="87"/>
                <w:vertAlign w:val="superscript"/>
              </w:rPr>
              <w:t>(7)(9)</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87"/>
              </w:rPr>
              <w:t>2,000,000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1,067,639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5"/>
              </w:rPr>
              <w:t>2,034,525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3,102,164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20"/>
        </w:trPr>
        <w:tc>
          <w:tcPr>
            <w:tcW w:w="262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97"/>
              </w:rPr>
              <w:t>Ozy Media, Inc.–Promissory Note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tcBorders>
              <w:left w:val="single" w:sz="8" w:color="CCEEFF"/>
            </w:tcBorders>
            <w:gridSpan w:val="3"/>
            <w:shd w:val="clear" w:color="auto" w:fill="CCEEFF"/>
          </w:tcPr>
          <w:p>
            <w:pPr>
              <w:ind w:left="280"/>
              <w:spacing w:after="0" w:line="239" w:lineRule="exact"/>
              <w:rPr>
                <w:sz w:val="20"/>
                <w:szCs w:val="20"/>
                <w:color w:val="auto"/>
              </w:rPr>
            </w:pPr>
            <w:r>
              <w:rPr>
                <w:rFonts w:ascii="Arial" w:cs="Arial" w:eastAsia="Arial" w:hAnsi="Arial"/>
                <w:sz w:val="16"/>
                <w:szCs w:val="16"/>
                <w:color w:val="auto"/>
              </w:rPr>
              <w:t>10% Due 2/12/2018***</w:t>
            </w:r>
            <w:r>
              <w:rPr>
                <w:rFonts w:ascii="Arial" w:cs="Arial" w:eastAsia="Arial" w:hAnsi="Arial"/>
                <w:sz w:val="21"/>
                <w:szCs w:val="21"/>
                <w:color w:val="auto"/>
                <w:vertAlign w:val="superscript"/>
              </w:rPr>
              <w:t>(7)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2,164</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7"/>
        </w:trPr>
        <w:tc>
          <w:tcPr>
            <w:tcW w:w="2620" w:type="dxa"/>
            <w:vAlign w:val="bottom"/>
            <w:gridSpan w:val="3"/>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1,067,639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5"/>
              </w:rPr>
              <w:t>2,034,525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3,202,164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Declara, Inc.–Convertible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Promissory Note 12% Due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Pr>
          <w:p>
            <w:pPr>
              <w:ind w:left="280"/>
              <w:spacing w:after="0" w:line="239" w:lineRule="exact"/>
              <w:rPr>
                <w:sz w:val="20"/>
                <w:szCs w:val="20"/>
                <w:color w:val="auto"/>
              </w:rPr>
            </w:pPr>
            <w:r>
              <w:rPr>
                <w:rFonts w:ascii="Arial" w:cs="Arial" w:eastAsia="Arial" w:hAnsi="Arial"/>
                <w:sz w:val="16"/>
                <w:szCs w:val="16"/>
                <w:color w:val="auto"/>
                <w:w w:val="87"/>
              </w:rPr>
              <w:t>4/30/2018</w:t>
            </w:r>
            <w:r>
              <w:rPr>
                <w:rFonts w:ascii="Arial" w:cs="Arial" w:eastAsia="Arial" w:hAnsi="Arial"/>
                <w:sz w:val="21"/>
                <w:szCs w:val="21"/>
                <w:color w:val="auto"/>
                <w:w w:val="87"/>
                <w:vertAlign w:val="superscript"/>
              </w:rPr>
              <w:t>(6)(9)</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87"/>
              </w:rPr>
              <w:t>2,327,727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207,069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1,120,329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211,361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(814,623)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517,067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3"/>
              </w:rPr>
              <w:t>234,082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3,447,680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311,361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5"/>
              </w:rPr>
              <w:t>1,219,902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4,978,943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37"/>
        </w:trPr>
        <w:tc>
          <w:tcPr>
            <w:tcW w:w="2620" w:type="dxa"/>
            <w:vAlign w:val="bottom"/>
            <w:gridSpan w:val="3"/>
          </w:tcPr>
          <w:p>
            <w:pPr>
              <w:ind w:left="4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CUX, Inc. (d/b/a CorpU)–</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Convertible preferred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Series 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169,033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989,489</w:t>
            </w:r>
          </w:p>
        </w:tc>
        <w:tc>
          <w:tcPr>
            <w:tcW w:w="1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11,479</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1,000,968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2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CUX, Inc. (d/b/a CorpU)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Convertible preferred shares,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20" w:type="dxa"/>
            <w:vAlign w:val="bottom"/>
            <w:tcBorders>
              <w:left w:val="single" w:sz="8" w:color="CCEEFF"/>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Series C</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615,763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480,184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(347,952)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132,232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1"/>
        </w:trPr>
        <w:tc>
          <w:tcPr>
            <w:tcW w:w="2620" w:type="dxa"/>
            <w:vAlign w:val="bottom"/>
            <w:tcBorders>
              <w:top w:val="single" w:sz="8" w:color="CCEEFF"/>
            </w:tcBorders>
            <w:gridSpan w:val="3"/>
          </w:tcPr>
          <w:p>
            <w:pPr>
              <w:ind w:left="180"/>
              <w:spacing w:after="0"/>
              <w:rPr>
                <w:sz w:val="20"/>
                <w:szCs w:val="20"/>
                <w:color w:val="auto"/>
              </w:rPr>
            </w:pPr>
            <w:r>
              <w:rPr>
                <w:rFonts w:ascii="Arial" w:cs="Arial" w:eastAsia="Arial" w:hAnsi="Arial"/>
                <w:sz w:val="16"/>
                <w:szCs w:val="16"/>
                <w:i w:val="1"/>
                <w:iCs w:val="1"/>
                <w:color w:val="auto"/>
              </w:rPr>
              <w:t>Total Corporate Education</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00" w:type="dxa"/>
            <w:vAlign w:val="bottom"/>
            <w:tcBorders>
              <w:top w:val="single" w:sz="8" w:color="CCEEFF"/>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1,469,673</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(336,473)</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1,133,200</w:t>
            </w:r>
          </w:p>
        </w:tc>
        <w:tc>
          <w:tcPr>
            <w:tcW w:w="96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Online Education</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Curious.com, Inc.–Preferred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shares, Series B</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87"/>
              </w:rPr>
              <w:t>3,407,834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5,514,077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7"/>
              </w:rPr>
              <w:t>(5,514,077)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-5749925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Principal/</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Dividends</w:t>
            </w: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at</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6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March 31,</w:t>
            </w:r>
          </w:p>
        </w:tc>
        <w:tc>
          <w:tcPr>
            <w:tcW w:w="8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Quantity</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20" w:type="dxa"/>
            <w:vAlign w:val="bottom"/>
            <w:gridSpan w:val="2"/>
          </w:tcPr>
          <w:p>
            <w:pPr>
              <w:ind w:left="280"/>
              <w:spacing w:after="0"/>
              <w:rPr>
                <w:sz w:val="20"/>
                <w:szCs w:val="20"/>
                <w:color w:val="auto"/>
              </w:rPr>
            </w:pPr>
            <w:r>
              <w:rPr>
                <w:rFonts w:ascii="Arial" w:cs="Arial" w:eastAsia="Arial" w:hAnsi="Arial"/>
                <w:sz w:val="16"/>
                <w:szCs w:val="16"/>
                <w:color w:val="auto"/>
              </w:rPr>
              <w:t>Declara, Inc.–Preferred shares,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gridSpan w:val="2"/>
          </w:tcPr>
          <w:p>
            <w:pPr>
              <w:ind w:left="280"/>
              <w:spacing w:after="0"/>
              <w:rPr>
                <w:sz w:val="20"/>
                <w:szCs w:val="20"/>
                <w:color w:val="auto"/>
              </w:rPr>
            </w:pPr>
            <w:r>
              <w:rPr>
                <w:rFonts w:ascii="Arial" w:cs="Arial" w:eastAsia="Arial" w:hAnsi="Arial"/>
                <w:sz w:val="16"/>
                <w:szCs w:val="16"/>
                <w:color w:val="auto"/>
              </w:rPr>
              <w:t>Series A</w:t>
            </w: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10,716,390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382,678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(213,207)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169,471</w:t>
            </w:r>
          </w:p>
        </w:tc>
        <w:tc>
          <w:tcPr>
            <w:tcW w:w="12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Education Media Platform</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20" w:type="dxa"/>
            <w:vAlign w:val="bottom"/>
            <w:gridSpan w:val="2"/>
          </w:tcPr>
          <w:p>
            <w:pPr>
              <w:ind w:left="280"/>
              <w:spacing w:after="0"/>
              <w:rPr>
                <w:sz w:val="20"/>
                <w:szCs w:val="20"/>
                <w:color w:val="auto"/>
              </w:rPr>
            </w:pPr>
            <w:r>
              <w:rPr>
                <w:rFonts w:ascii="Arial" w:cs="Arial" w:eastAsia="Arial" w:hAnsi="Arial"/>
                <w:sz w:val="16"/>
                <w:szCs w:val="16"/>
                <w:color w:val="auto"/>
              </w:rPr>
              <w:t>EdSurge, Inc.–Preferred shares,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gridSpan w:val="2"/>
          </w:tcPr>
          <w:p>
            <w:pPr>
              <w:ind w:left="280"/>
              <w:spacing w:after="0"/>
              <w:rPr>
                <w:sz w:val="20"/>
                <w:szCs w:val="20"/>
                <w:color w:val="auto"/>
              </w:rPr>
            </w:pPr>
            <w:r>
              <w:rPr>
                <w:rFonts w:ascii="Arial" w:cs="Arial" w:eastAsia="Arial" w:hAnsi="Arial"/>
                <w:sz w:val="16"/>
                <w:szCs w:val="16"/>
                <w:color w:val="auto"/>
              </w:rPr>
              <w:t>Series A-1</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378,788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EdSurge, Inc.–Preferred shares,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Series A</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494,365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581,917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(331,917)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1"/>
        </w:trPr>
        <w:tc>
          <w:tcPr>
            <w:tcW w:w="2700" w:type="dxa"/>
            <w:vAlign w:val="bottom"/>
            <w:tcBorders>
              <w:top w:val="single" w:sz="8" w:color="CCEEFF"/>
            </w:tcBorders>
          </w:tcPr>
          <w:p>
            <w:pPr>
              <w:ind w:left="180"/>
              <w:spacing w:after="0"/>
              <w:rPr>
                <w:sz w:val="20"/>
                <w:szCs w:val="20"/>
                <w:color w:val="auto"/>
              </w:rPr>
            </w:pPr>
            <w:r>
              <w:rPr>
                <w:rFonts w:ascii="Arial" w:cs="Arial" w:eastAsia="Arial" w:hAnsi="Arial"/>
                <w:sz w:val="16"/>
                <w:szCs w:val="16"/>
                <w:i w:val="1"/>
                <w:iCs w:val="1"/>
                <w:color w:val="auto"/>
              </w:rPr>
              <w:t>Total Education Media Platform</w:t>
            </w:r>
          </w:p>
        </w:tc>
        <w:tc>
          <w:tcPr>
            <w:tcW w:w="120" w:type="dxa"/>
            <w:vAlign w:val="bottom"/>
          </w:tcPr>
          <w:p>
            <w:pPr>
              <w:spacing w:after="0"/>
              <w:rPr>
                <w:sz w:val="20"/>
                <w:szCs w:val="20"/>
                <w:color w:val="auto"/>
              </w:rPr>
            </w:pPr>
          </w:p>
        </w:tc>
        <w:tc>
          <w:tcPr>
            <w:tcW w:w="8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1,081,917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(581,917)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ind w:left="3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Knowledge Networks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20" w:type="dxa"/>
            <w:vAlign w:val="bottom"/>
            <w:gridSpan w:val="2"/>
          </w:tcPr>
          <w:p>
            <w:pPr>
              <w:ind w:left="280"/>
              <w:spacing w:after="0"/>
              <w:rPr>
                <w:sz w:val="20"/>
                <w:szCs w:val="20"/>
                <w:color w:val="auto"/>
              </w:rPr>
            </w:pPr>
            <w:r>
              <w:rPr>
                <w:rFonts w:ascii="Arial" w:cs="Arial" w:eastAsia="Arial" w:hAnsi="Arial"/>
                <w:sz w:val="16"/>
                <w:szCs w:val="16"/>
                <w:color w:val="auto"/>
              </w:rPr>
              <w:t>Maven Research, Inc.–Preferred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gridSpan w:val="2"/>
          </w:tcPr>
          <w:p>
            <w:pPr>
              <w:ind w:left="280"/>
              <w:spacing w:after="0"/>
              <w:rPr>
                <w:sz w:val="20"/>
                <w:szCs w:val="20"/>
                <w:color w:val="auto"/>
              </w:rPr>
            </w:pPr>
            <w:r>
              <w:rPr>
                <w:rFonts w:ascii="Arial" w:cs="Arial" w:eastAsia="Arial" w:hAnsi="Arial"/>
                <w:sz w:val="16"/>
                <w:szCs w:val="16"/>
                <w:color w:val="auto"/>
              </w:rPr>
              <w:t>shares, Series C</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318,979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501,240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(303,516)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197,724</w:t>
            </w:r>
          </w:p>
        </w:tc>
        <w:tc>
          <w:tcPr>
            <w:tcW w:w="12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Maven Research,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shares, Series B</w:t>
            </w: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49,505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(30,277)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19,723</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1"/>
        </w:trPr>
        <w:tc>
          <w:tcPr>
            <w:tcW w:w="282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Knowledge Networks</w:t>
            </w:r>
          </w:p>
        </w:tc>
        <w:tc>
          <w:tcPr>
            <w:tcW w:w="8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551,240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(333,793)</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217,447</w:t>
            </w:r>
          </w:p>
        </w:tc>
        <w:tc>
          <w:tcPr>
            <w:tcW w:w="12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ind w:left="38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20" w:type="dxa"/>
            <w:vAlign w:val="bottom"/>
            <w:gridSpan w:val="2"/>
          </w:tcPr>
          <w:p>
            <w:pPr>
              <w:ind w:left="280"/>
              <w:spacing w:after="0"/>
              <w:rPr>
                <w:sz w:val="20"/>
                <w:szCs w:val="20"/>
                <w:color w:val="auto"/>
              </w:rPr>
            </w:pPr>
            <w:r>
              <w:rPr>
                <w:rFonts w:ascii="Arial" w:cs="Arial" w:eastAsia="Arial" w:hAnsi="Arial"/>
                <w:sz w:val="16"/>
                <w:szCs w:val="16"/>
                <w:color w:val="auto"/>
              </w:rPr>
              <w:t>OzyMedia, Inc.–Preferred shares,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gridSpan w:val="2"/>
          </w:tcPr>
          <w:p>
            <w:pPr>
              <w:ind w:left="280"/>
              <w:spacing w:after="0"/>
              <w:rPr>
                <w:sz w:val="20"/>
                <w:szCs w:val="20"/>
                <w:color w:val="auto"/>
              </w:rPr>
            </w:pPr>
            <w:r>
              <w:rPr>
                <w:rFonts w:ascii="Arial" w:cs="Arial" w:eastAsia="Arial" w:hAnsi="Arial"/>
                <w:sz w:val="16"/>
                <w:szCs w:val="16"/>
                <w:color w:val="auto"/>
              </w:rPr>
              <w:t>Series B</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922,509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2,367,022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0"/>
              </w:rPr>
              <w:t>(1,128,536)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1,238,486</w:t>
            </w:r>
          </w:p>
        </w:tc>
        <w:tc>
          <w:tcPr>
            <w:tcW w:w="12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 shares,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Series A</w:t>
            </w: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1,090,909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1,419,810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(676,929)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742,881</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20"/>
        </w:trPr>
        <w:tc>
          <w:tcPr>
            <w:tcW w:w="2820" w:type="dxa"/>
            <w:vAlign w:val="bottom"/>
            <w:gridSpan w:val="2"/>
          </w:tcPr>
          <w:p>
            <w:pPr>
              <w:ind w:left="280"/>
              <w:spacing w:after="0"/>
              <w:rPr>
                <w:sz w:val="20"/>
                <w:szCs w:val="20"/>
                <w:color w:val="auto"/>
              </w:rPr>
            </w:pPr>
            <w:r>
              <w:rPr>
                <w:rFonts w:ascii="Arial" w:cs="Arial" w:eastAsia="Arial" w:hAnsi="Arial"/>
                <w:sz w:val="16"/>
                <w:szCs w:val="16"/>
                <w:color w:val="auto"/>
              </w:rPr>
              <w:t>OzyMedia, Inc.–Preferred shares,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gridSpan w:val="2"/>
          </w:tcPr>
          <w:p>
            <w:pPr>
              <w:ind w:left="280"/>
              <w:spacing w:after="0"/>
              <w:rPr>
                <w:sz w:val="20"/>
                <w:szCs w:val="20"/>
                <w:color w:val="auto"/>
              </w:rPr>
            </w:pPr>
            <w:r>
              <w:rPr>
                <w:rFonts w:ascii="Arial" w:cs="Arial" w:eastAsia="Arial" w:hAnsi="Arial"/>
                <w:sz w:val="16"/>
                <w:szCs w:val="16"/>
                <w:color w:val="auto"/>
              </w:rPr>
              <w:t>Series Seed</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236,635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(112,822)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123,813</w:t>
            </w:r>
          </w:p>
        </w:tc>
        <w:tc>
          <w:tcPr>
            <w:tcW w:w="12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4,023,467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(1,918,287)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2,105,180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28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13,023,052</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0"/>
              </w:rPr>
              <w:t>(8,897,754)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7"/>
              </w:rPr>
              <w:t>4,125,298</w:t>
            </w:r>
          </w:p>
        </w:tc>
        <w:tc>
          <w:tcPr>
            <w:tcW w:w="12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20" w:type="dxa"/>
            <w:vAlign w:val="bottom"/>
            <w:gridSpan w:val="2"/>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CUX, Inc. (d/b/a CorpU) -Preferred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warrants, Series D, Strike Price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82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$4.59, Expiration Date 8/1/2018</w:t>
            </w:r>
            <w:r>
              <w:rPr>
                <w:rFonts w:ascii="Arial" w:cs="Arial" w:eastAsia="Arial" w:hAnsi="Arial"/>
                <w:sz w:val="21"/>
                <w:szCs w:val="21"/>
                <w:color w:val="auto"/>
                <w:vertAlign w:val="superscript"/>
              </w:rPr>
              <w:t>(5)</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1,522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37"/>
        </w:trPr>
        <w:tc>
          <w:tcPr>
            <w:tcW w:w="28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Warrants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1,522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3,888</w:t>
            </w:r>
          </w:p>
        </w:tc>
        <w:tc>
          <w:tcPr>
            <w:tcW w:w="12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NON-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CONTROLLED/AFFILIATE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3"/>
              </w:rPr>
              <w:t>234,082</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16,473,098</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311,361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vMerge w:val="restart"/>
            <w:shd w:val="clear" w:color="auto" w:fill="CCEEFF"/>
          </w:tcPr>
          <w:p>
            <w:pPr>
              <w:ind w:left="30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(7,676,330)</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9,108,129</w:t>
            </w: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ind w:left="380"/>
              <w:spacing w:after="0"/>
              <w:rPr>
                <w:sz w:val="20"/>
                <w:szCs w:val="20"/>
                <w:color w:val="auto"/>
              </w:rPr>
            </w:pPr>
            <w:r>
              <w:rPr>
                <w:rFonts w:ascii="Arial" w:cs="Arial" w:eastAsia="Arial" w:hAnsi="Arial"/>
                <w:sz w:val="16"/>
                <w:szCs w:val="16"/>
                <w:b w:val="1"/>
                <w:bCs w:val="1"/>
                <w:color w:val="auto"/>
              </w:rPr>
              <w:t>4.33%</w:t>
            </w:r>
          </w:p>
        </w:tc>
        <w:tc>
          <w:tcPr>
            <w:tcW w:w="0" w:type="dxa"/>
            <w:vAlign w:val="bottom"/>
          </w:tcPr>
          <w:p>
            <w:pPr>
              <w:spacing w:after="0"/>
              <w:rPr>
                <w:sz w:val="1"/>
                <w:szCs w:val="1"/>
                <w:color w:val="auto"/>
              </w:rPr>
            </w:pPr>
          </w:p>
        </w:tc>
      </w:tr>
      <w:tr>
        <w:trPr>
          <w:trHeight w:val="270"/>
        </w:trPr>
        <w:tc>
          <w:tcPr>
            <w:tcW w:w="2700" w:type="dxa"/>
            <w:vAlign w:val="bottom"/>
            <w:tcBorders>
              <w:bottom w:val="single" w:sz="8" w:color="CCEEFF"/>
            </w:tcBorders>
            <w:shd w:val="clear" w:color="auto" w:fill="CCEEFF"/>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6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82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7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54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vMerge w:val="continue"/>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7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vMerge w:val="continue"/>
            <w:shd w:val="clear" w:color="auto" w:fill="CCEEFF"/>
          </w:tcPr>
          <w:p>
            <w:pPr>
              <w:spacing w:after="0"/>
              <w:rPr>
                <w:sz w:val="23"/>
                <w:szCs w:val="23"/>
                <w:color w:val="auto"/>
              </w:rPr>
            </w:pPr>
          </w:p>
        </w:tc>
        <w:tc>
          <w:tcPr>
            <w:tcW w:w="140" w:type="dxa"/>
            <w:vAlign w:val="bottom"/>
            <w:tcBorders>
              <w:bottom w:val="single" w:sz="8" w:color="auto"/>
            </w:tcBorders>
            <w:vMerge w:val="continue"/>
            <w:shd w:val="clear" w:color="auto" w:fill="CCEEFF"/>
          </w:tcPr>
          <w:p>
            <w:pPr>
              <w:spacing w:after="0"/>
              <w:rPr>
                <w:sz w:val="23"/>
                <w:szCs w:val="23"/>
                <w:color w:val="auto"/>
              </w:rPr>
            </w:pPr>
          </w:p>
        </w:tc>
        <w:tc>
          <w:tcPr>
            <w:tcW w:w="84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72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6634480</wp:posOffset>
            </wp:positionH>
            <wp:positionV relativeFrom="paragraph">
              <wp:posOffset>-1740535</wp:posOffset>
            </wp:positionV>
            <wp:extent cx="6172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-1740535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-1740535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-1740535</wp:posOffset>
            </wp:positionV>
            <wp:extent cx="591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-5127625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27" w:lineRule="exact"/>
        <w:rPr>
          <w:sz w:val="20"/>
          <w:szCs w:val="20"/>
          <w:color w:val="auto"/>
        </w:rPr>
      </w:pPr>
    </w:p>
    <w:p>
      <w:pPr>
        <w:ind w:left="340" w:hanging="332"/>
        <w:spacing w:after="0" w:line="25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portfolio investments are non-income-producing, unless otherwise identified. Equity investments are subject to lock-up restrictions upon their IPO. Unless otherwise noted, all investments were pledged as collateral under the Credit Facility. The Company’s and GSV Asset Management’s officers and staff, as applicable, may serve on the board of directors of the Company’s portfolio investments. All portfolio investments are considered Level 3 and valued using unobservable inputs, unless otherwise noted. All investments are restricted as to resale, unless otherwise noted, and were valued at fair value as determined in good faith by the Company’s board of directors.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1940 Act.</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66" w:lineRule="exact"/>
        <w:rPr>
          <w:sz w:val="20"/>
          <w:szCs w:val="20"/>
          <w:color w:val="auto"/>
        </w:rPr>
      </w:pPr>
    </w:p>
    <w:p>
      <w:pPr>
        <w:ind w:left="340" w:right="2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w:t>
      </w:r>
    </w:p>
    <w:p>
      <w:pPr>
        <w:spacing w:after="0" w:line="221" w:lineRule="exact"/>
        <w:rPr>
          <w:rFonts w:ascii="Arial" w:cs="Arial" w:eastAsia="Arial" w:hAnsi="Arial"/>
          <w:sz w:val="18"/>
          <w:szCs w:val="18"/>
          <w:color w:val="auto"/>
        </w:rPr>
      </w:pPr>
    </w:p>
    <w:p>
      <w:pPr>
        <w:ind w:left="340" w:hanging="332"/>
        <w:spacing w:after="0" w:line="31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46"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GSV Capital Corp.’s investments in StormWind, LLC are held through GSV Capital Corp.'s wholly owned subsidiary, GSVC SW Holdings, Inc.</w:t>
      </w:r>
    </w:p>
    <w:p>
      <w:pPr>
        <w:spacing w:after="0" w:line="277" w:lineRule="exact"/>
        <w:rPr>
          <w:rFonts w:ascii="Arial" w:cs="Arial" w:eastAsia="Arial" w:hAnsi="Arial"/>
          <w:sz w:val="17"/>
          <w:szCs w:val="17"/>
          <w:color w:val="auto"/>
        </w:rPr>
      </w:pPr>
    </w:p>
    <w:p>
      <w:pPr>
        <w:ind w:left="340" w:right="12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February 23, 2018, CUX, Inc. (d/b/a CorpU) agreed to extend the maturity of the GSV Capital Corp.'s Series D warrants until August 1, 2018.</w:t>
      </w:r>
    </w:p>
    <w:p>
      <w:pPr>
        <w:spacing w:after="0" w:line="277" w:lineRule="exact"/>
        <w:rPr>
          <w:rFonts w:ascii="Arial" w:cs="Arial" w:eastAsia="Arial" w:hAnsi="Arial"/>
          <w:sz w:val="17"/>
          <w:szCs w:val="17"/>
          <w:color w:val="auto"/>
        </w:rPr>
      </w:pPr>
    </w:p>
    <w:p>
      <w:pPr>
        <w:ind w:left="340" w:right="2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maturity date of the convertible promissory note to Declara, Inc. was extended an additional three months to April 30, 2018. On January 31, 2018 the interest rate on the convertible promissory note increased to 12% per annum (including 365 days for the purposes of accrual). GSV Capital Corp. and Declara, Inc. are in the process of renegotiating the terms of GSV Capital Corp.'s investment.</w:t>
      </w:r>
    </w:p>
    <w:p>
      <w:pPr>
        <w:spacing w:after="0" w:line="221" w:lineRule="exact"/>
        <w:rPr>
          <w:rFonts w:ascii="Arial" w:cs="Arial" w:eastAsia="Arial" w:hAnsi="Arial"/>
          <w:sz w:val="18"/>
          <w:szCs w:val="18"/>
          <w:color w:val="auto"/>
        </w:rPr>
      </w:pPr>
    </w:p>
    <w:p>
      <w:pPr>
        <w:ind w:left="340" w:right="120" w:hanging="332"/>
        <w:spacing w:after="0" w:line="279"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During the period, Ozy Media, Inc.’s obligations under its financing arrangements with the Company became past due. Effective April 9, 2018, the term of Ozy Media Inc.'s notes were extended through the issuance of a new convertible promissory note, which extended the maturity date of the existing notes to October 31, 2018, or December 31, 2018 if certain conditions are satisfied. In consideration for amending and restating the existing notes, the Company was issued warrants exercisable for a certain number of shares of Ozy Media Inc.'s common stock.</w:t>
      </w:r>
    </w:p>
    <w:p>
      <w:pPr>
        <w:spacing w:after="0" w:line="171" w:lineRule="exact"/>
        <w:rPr>
          <w:rFonts w:ascii="Arial" w:cs="Arial" w:eastAsia="Arial" w:hAnsi="Arial"/>
          <w:sz w:val="17"/>
          <w:szCs w:val="17"/>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January 12, 2018, the unsecured promissory note to NestGSV, Inc. (d/b/a GSV Labs, Inc.) was repaid, with interest.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March 31, 2018, the investments noted had been placed on non-accrual status.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54"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Transactions during the year ended December 31, 2017 involving the Company’s controlled investments and non-controlled/affiliate investments were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Purchases,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00" w:type="dxa"/>
            <w:vAlign w:val="bottom"/>
            <w:gridSpan w:val="3"/>
            <w:vMerge w:val="continue"/>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December</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760" w:type="dxa"/>
            <w:vAlign w:val="bottom"/>
          </w:tcPr>
          <w:p>
            <w:pPr>
              <w:jc w:val="right"/>
              <w:ind w:right="126"/>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8"/>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2"/>
        </w:trPr>
        <w:tc>
          <w:tcPr>
            <w:tcW w:w="2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6"/>
                <w:szCs w:val="16"/>
                <w:b w:val="1"/>
                <w:bCs w:val="1"/>
                <w:color w:val="auto"/>
              </w:rPr>
              <w:t>CONTROLLED INVESTMENTS*</w:t>
            </w:r>
            <w:r>
              <w:rPr>
                <w:rFonts w:ascii="Arial" w:cs="Arial" w:eastAsia="Arial" w:hAnsi="Arial"/>
                <w:sz w:val="21"/>
                <w:szCs w:val="21"/>
                <w:b w:val="1"/>
                <w:bCs w:val="1"/>
                <w:color w:val="auto"/>
                <w:vertAlign w:val="superscript"/>
              </w:rPr>
              <w:t>(2)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Inc.)–Convertible Promissory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Note 8% Due 7/31/2018***</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560,199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88,604</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427,900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106,490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25,809</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560,199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w w:val="97"/>
              </w:rPr>
              <w:t>Inc.)–Unsecured Promissory Note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2760" w:type="dxa"/>
            <w:vAlign w:val="bottom"/>
            <w:gridSpan w:val="3"/>
            <w:shd w:val="clear" w:color="auto" w:fill="CCEEFF"/>
          </w:tcPr>
          <w:p>
            <w:pPr>
              <w:ind w:left="400"/>
              <w:spacing w:after="0" w:line="239" w:lineRule="exact"/>
              <w:rPr>
                <w:sz w:val="20"/>
                <w:szCs w:val="20"/>
                <w:color w:val="auto"/>
              </w:rPr>
            </w:pPr>
            <w:r>
              <w:rPr>
                <w:rFonts w:ascii="Arial" w:cs="Arial" w:eastAsia="Arial" w:hAnsi="Arial"/>
                <w:sz w:val="16"/>
                <w:szCs w:val="16"/>
                <w:color w:val="auto"/>
              </w:rPr>
              <w:t>12% Due 5/29/2017***</w:t>
            </w:r>
            <w:r>
              <w:rPr>
                <w:rFonts w:ascii="Arial" w:cs="Arial" w:eastAsia="Arial" w:hAnsi="Arial"/>
                <w:sz w:val="21"/>
                <w:szCs w:val="21"/>
                <w:color w:val="auto"/>
                <w:vertAlign w:val="superscript"/>
              </w:rPr>
              <w:t>(4)</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50,146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496,725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24,195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(526,000)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w w:val="97"/>
              </w:rPr>
              <w:t>Inc.)–Unsecured Promissory Note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gridSpan w:val="3"/>
          </w:tcPr>
          <w:p>
            <w:pPr>
              <w:ind w:left="400"/>
              <w:spacing w:after="0" w:line="239" w:lineRule="exact"/>
              <w:rPr>
                <w:sz w:val="20"/>
                <w:szCs w:val="20"/>
                <w:color w:val="auto"/>
              </w:rPr>
            </w:pPr>
            <w:r>
              <w:rPr>
                <w:rFonts w:ascii="Arial" w:cs="Arial" w:eastAsia="Arial" w:hAnsi="Arial"/>
                <w:sz w:val="16"/>
                <w:szCs w:val="16"/>
                <w:color w:val="auto"/>
              </w:rPr>
              <w:t>12% Due 1/15/2018***</w:t>
            </w:r>
            <w:r>
              <w:rPr>
                <w:rFonts w:ascii="Arial" w:cs="Arial" w:eastAsia="Arial" w:hAnsi="Arial"/>
                <w:sz w:val="21"/>
                <w:szCs w:val="21"/>
                <w:color w:val="auto"/>
                <w:vertAlign w:val="superscript"/>
              </w:rPr>
              <w:t>(4)</w:t>
            </w:r>
          </w:p>
        </w:tc>
        <w:tc>
          <w:tcPr>
            <w:tcW w:w="1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592,129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3"/>
              </w:rPr>
              <w:t>111,089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592,809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592,129</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3"/>
              </w:rPr>
              <w:t>249,839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924,625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723,494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(526,000)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1,152,328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249,839</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924,625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723,494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0"/>
              </w:rPr>
              <w:t>(526,000)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30,209</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1,152,328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Arial" w:cs="Arial" w:eastAsia="Arial" w:hAnsi="Arial"/>
                <w:sz w:val="16"/>
                <w:szCs w:val="16"/>
                <w:i w:val="1"/>
                <w:iCs w:val="1"/>
                <w:color w:val="auto"/>
              </w:rPr>
              <w:t>Clean Technology</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SPBRX, INC. (f/k/a GSV</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Sustainability Partners, Inc.)–</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Preferred shares, Class A***</w:t>
            </w:r>
          </w:p>
        </w:tc>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9"/>
              </w:rPr>
              <w:t>14,300,000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3"/>
              </w:rPr>
              <w:t>475,000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4,309,778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(3,239,916)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1,069,862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Inc.)–Preferred stock Series A-4</w:t>
            </w: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3,720,424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2,715,910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2,674,932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5,390,842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Inc.)–Preferred stock Series A-3</w:t>
            </w:r>
          </w:p>
        </w:tc>
        <w:tc>
          <w:tcPr>
            <w:tcW w:w="860" w:type="dxa"/>
            <w:vAlign w:val="bottom"/>
            <w:gridSpan w:val="2"/>
          </w:tcPr>
          <w:p>
            <w:pPr>
              <w:jc w:val="right"/>
              <w:ind w:right="42"/>
              <w:spacing w:after="0"/>
              <w:rPr>
                <w:sz w:val="20"/>
                <w:szCs w:val="20"/>
                <w:color w:val="auto"/>
              </w:rPr>
            </w:pPr>
            <w:r>
              <w:rPr>
                <w:rFonts w:ascii="Arial" w:cs="Arial" w:eastAsia="Arial" w:hAnsi="Arial"/>
                <w:sz w:val="16"/>
                <w:szCs w:val="16"/>
                <w:color w:val="auto"/>
              </w:rPr>
              <w:t>1,561,625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952,591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933,053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1,885,644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Inc.)–Preferred stock Series A-2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450,001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159,522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326,022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Inc.)–Preferred stock Series A-1</w:t>
            </w:r>
          </w:p>
        </w:tc>
        <w:tc>
          <w:tcPr>
            <w:tcW w:w="860" w:type="dxa"/>
            <w:vAlign w:val="bottom"/>
            <w:gridSpan w:val="2"/>
          </w:tcPr>
          <w:p>
            <w:pPr>
              <w:jc w:val="right"/>
              <w:ind w:right="42"/>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270,000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273,370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543,370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4,105,001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4,040,877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8,145,878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Arial" w:cs="Arial" w:eastAsia="Arial" w:hAnsi="Arial"/>
                <w:sz w:val="16"/>
                <w:szCs w:val="16"/>
                <w:i w:val="1"/>
                <w:iCs w:val="1"/>
                <w:color w:val="auto"/>
              </w:rPr>
              <w:t>Interactive Learning</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StormWind, LLC–Preferred shares,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2760" w:type="dxa"/>
            <w:vAlign w:val="bottom"/>
            <w:gridSpan w:val="3"/>
            <w:shd w:val="clear" w:color="auto" w:fill="CCEEFF"/>
          </w:tcPr>
          <w:p>
            <w:pPr>
              <w:ind w:left="400"/>
              <w:spacing w:after="0" w:line="239" w:lineRule="exact"/>
              <w:rPr>
                <w:sz w:val="20"/>
                <w:szCs w:val="20"/>
                <w:color w:val="auto"/>
              </w:rPr>
            </w:pPr>
            <w:r>
              <w:rPr>
                <w:rFonts w:ascii="Arial" w:cs="Arial" w:eastAsia="Arial" w:hAnsi="Arial"/>
                <w:sz w:val="16"/>
                <w:szCs w:val="16"/>
                <w:color w:val="auto"/>
              </w:rPr>
              <w:t>Series C</w:t>
            </w:r>
            <w:r>
              <w:rPr>
                <w:rFonts w:ascii="Arial" w:cs="Arial" w:eastAsia="Arial" w:hAnsi="Arial"/>
                <w:sz w:val="21"/>
                <w:szCs w:val="21"/>
                <w:color w:val="auto"/>
                <w:vertAlign w:val="superscript"/>
              </w:rPr>
              <w:t>(3)</w:t>
            </w: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2,779,134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4,650,838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2,573,066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7,223,904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StormWind, LLC–Preferred shares,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Series B</w:t>
            </w:r>
            <w:r>
              <w:rPr>
                <w:rFonts w:ascii="Arial" w:cs="Arial" w:eastAsia="Arial" w:hAnsi="Arial"/>
                <w:sz w:val="21"/>
                <w:szCs w:val="21"/>
                <w:color w:val="auto"/>
                <w:vertAlign w:val="superscript"/>
              </w:rPr>
              <w:t>(3)</w:t>
            </w:r>
          </w:p>
        </w:tc>
        <w:tc>
          <w:tcPr>
            <w:tcW w:w="860" w:type="dxa"/>
            <w:vAlign w:val="bottom"/>
            <w:gridSpan w:val="2"/>
          </w:tcPr>
          <w:p>
            <w:pPr>
              <w:jc w:val="right"/>
              <w:ind w:right="42"/>
              <w:spacing w:after="0"/>
              <w:rPr>
                <w:sz w:val="20"/>
                <w:szCs w:val="20"/>
                <w:color w:val="auto"/>
              </w:rPr>
            </w:pPr>
            <w:r>
              <w:rPr>
                <w:rFonts w:ascii="Arial" w:cs="Arial" w:eastAsia="Arial" w:hAnsi="Arial"/>
                <w:sz w:val="16"/>
                <w:szCs w:val="16"/>
                <w:color w:val="auto"/>
              </w:rPr>
              <w:t>3,279,629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4,470,403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1,334,069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5,804,472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-960120</wp:posOffset>
            </wp:positionV>
            <wp:extent cx="5575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-3413125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-5196840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04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660" w:type="dxa"/>
            <w:vAlign w:val="bottom"/>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Quantity</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Gains/(Losses)</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Gains/(Losses)</w:t>
            </w:r>
          </w:p>
        </w:tc>
        <w:tc>
          <w:tcPr>
            <w:tcW w:w="12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9"/>
        </w:trPr>
        <w:tc>
          <w:tcPr>
            <w:tcW w:w="26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94"/>
              </w:rPr>
              <w:t>StormWind, LLC–Preferred shares,</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CEEFF"/>
          </w:tcPr>
          <w:p>
            <w:pPr>
              <w:ind w:left="440"/>
              <w:spacing w:after="0" w:line="239" w:lineRule="exact"/>
              <w:rPr>
                <w:sz w:val="20"/>
                <w:szCs w:val="20"/>
                <w:color w:val="auto"/>
              </w:rPr>
            </w:pPr>
            <w:r>
              <w:rPr>
                <w:rFonts w:ascii="Arial" w:cs="Arial" w:eastAsia="Arial" w:hAnsi="Arial"/>
                <w:sz w:val="16"/>
                <w:szCs w:val="16"/>
                <w:color w:val="auto"/>
              </w:rPr>
              <w:t>Series A</w:t>
            </w:r>
            <w:r>
              <w:rPr>
                <w:rFonts w:ascii="Arial" w:cs="Arial" w:eastAsia="Arial" w:hAnsi="Arial"/>
                <w:sz w:val="21"/>
                <w:szCs w:val="21"/>
                <w:color w:val="auto"/>
                <w:vertAlign w:val="superscript"/>
              </w:rPr>
              <w:t>(3)</w:t>
            </w:r>
          </w:p>
        </w:tc>
        <w:tc>
          <w:tcPr>
            <w:tcW w:w="8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366,666</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499,796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425,342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31"/>
        </w:trPr>
        <w:tc>
          <w:tcPr>
            <w:tcW w:w="2660" w:type="dxa"/>
            <w:vAlign w:val="bottom"/>
          </w:tcPr>
          <w:p>
            <w:pPr>
              <w:ind w:left="180"/>
              <w:spacing w:after="0"/>
              <w:rPr>
                <w:sz w:val="20"/>
                <w:szCs w:val="20"/>
                <w:color w:val="auto"/>
              </w:rPr>
            </w:pPr>
            <w:r>
              <w:rPr>
                <w:rFonts w:ascii="Arial" w:cs="Arial" w:eastAsia="Arial" w:hAnsi="Arial"/>
                <w:sz w:val="16"/>
                <w:szCs w:val="16"/>
                <w:i w:val="1"/>
                <w:iCs w:val="1"/>
                <w:color w:val="auto"/>
              </w:rPr>
              <w:t>Total Interactive Learning</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9,621,037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5"/>
              </w:rPr>
              <w:t>3,832,681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87"/>
              </w:rPr>
              <w:t>13,453,718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3"/>
              </w:rPr>
              <w:t>475,000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7"/>
              </w:rPr>
              <w:t>18,035,816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5"/>
              </w:rPr>
              <w:t>4,633,642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7"/>
              </w:rPr>
              <w:t>22,669,458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Warrants</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60" w:type="dxa"/>
            <w:vAlign w:val="bottom"/>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w w:val="92"/>
              </w:rPr>
              <w:t>Inc.)–Preferred Warrant Series A-</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w w:val="98"/>
              </w:rPr>
              <w:t>3–Strike Price $1.33, Expiration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440"/>
              <w:spacing w:after="0"/>
              <w:rPr>
                <w:sz w:val="20"/>
                <w:szCs w:val="20"/>
                <w:color w:val="auto"/>
              </w:rPr>
            </w:pPr>
            <w:r>
              <w:rPr>
                <w:rFonts w:ascii="Arial" w:cs="Arial" w:eastAsia="Arial" w:hAnsi="Arial"/>
                <w:sz w:val="16"/>
                <w:szCs w:val="16"/>
                <w:color w:val="auto"/>
              </w:rPr>
              <w:t>Date 4/4/2019</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187,500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1,875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2"/>
              </w:rPr>
              <w:t>Inc.)–Preferred Warrant Series A-</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8"/>
              </w:rPr>
              <w:t>4–Strike Price $1.33, Expiration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Date 10/6/2019</w:t>
            </w:r>
          </w:p>
        </w:tc>
        <w:tc>
          <w:tcPr>
            <w:tcW w:w="880" w:type="dxa"/>
            <w:vAlign w:val="bottom"/>
            <w:tcBorders>
              <w:bottom w:val="single" w:sz="8" w:color="CCEEFF"/>
            </w:tcBorders>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500,000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160,000</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20"/>
        </w:trPr>
        <w:tc>
          <w:tcPr>
            <w:tcW w:w="2660" w:type="dxa"/>
            <w:vAlign w:val="bottom"/>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w w:val="92"/>
              </w:rPr>
              <w:t>Inc.)–Preferred Warrant Series A-</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w w:val="98"/>
              </w:rPr>
              <w:t>4–Strike Price $1.33, Expiration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440"/>
              <w:spacing w:after="0"/>
              <w:rPr>
                <w:sz w:val="20"/>
                <w:szCs w:val="20"/>
                <w:color w:val="auto"/>
              </w:rPr>
            </w:pPr>
            <w:r>
              <w:rPr>
                <w:rFonts w:ascii="Arial" w:cs="Arial" w:eastAsia="Arial" w:hAnsi="Arial"/>
                <w:sz w:val="16"/>
                <w:szCs w:val="16"/>
                <w:color w:val="auto"/>
              </w:rPr>
              <w:t>Date 7/18/2021</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22,500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102,500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Inc.)–Preferred Warrant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Series B–Strike Price $2.31,</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CEEFF"/>
          </w:tcPr>
          <w:p>
            <w:pPr>
              <w:ind w:left="440"/>
              <w:spacing w:after="0" w:line="239" w:lineRule="exact"/>
              <w:rPr>
                <w:sz w:val="20"/>
                <w:szCs w:val="20"/>
                <w:color w:val="auto"/>
              </w:rPr>
            </w:pPr>
            <w:r>
              <w:rPr>
                <w:rFonts w:ascii="Arial" w:cs="Arial" w:eastAsia="Arial" w:hAnsi="Arial"/>
                <w:sz w:val="16"/>
                <w:szCs w:val="16"/>
                <w:color w:val="auto"/>
              </w:rPr>
              <w:t>Expiration Date 11/29/2021</w:t>
            </w:r>
            <w:r>
              <w:rPr>
                <w:rFonts w:ascii="Arial" w:cs="Arial" w:eastAsia="Arial" w:hAnsi="Arial"/>
                <w:sz w:val="21"/>
                <w:szCs w:val="21"/>
                <w:color w:val="auto"/>
                <w:vertAlign w:val="superscript"/>
              </w:rPr>
              <w:t>(11)</w:t>
            </w:r>
          </w:p>
        </w:tc>
        <w:tc>
          <w:tcPr>
            <w:tcW w:w="8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100,000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41,000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20"/>
        </w:trPr>
        <w:tc>
          <w:tcPr>
            <w:tcW w:w="2660" w:type="dxa"/>
            <w:vAlign w:val="bottom"/>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rPr>
              <w:t>Inc.)–Preferred Warrant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rPr>
              <w:t>Series B–Strike Price $2.31,</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60" w:type="dxa"/>
            <w:vAlign w:val="bottom"/>
            <w:tcBorders>
              <w:bottom w:val="single" w:sz="8" w:color="CCEEFF"/>
            </w:tcBorders>
          </w:tcPr>
          <w:p>
            <w:pPr>
              <w:ind w:left="440"/>
              <w:spacing w:after="0" w:line="239" w:lineRule="exact"/>
              <w:rPr>
                <w:sz w:val="20"/>
                <w:szCs w:val="20"/>
                <w:color w:val="auto"/>
              </w:rPr>
            </w:pPr>
            <w:r>
              <w:rPr>
                <w:rFonts w:ascii="Arial" w:cs="Arial" w:eastAsia="Arial" w:hAnsi="Arial"/>
                <w:sz w:val="16"/>
                <w:szCs w:val="16"/>
                <w:color w:val="auto"/>
              </w:rPr>
              <w:t>Expiration Date 5/29/2022</w:t>
            </w:r>
            <w:r>
              <w:rPr>
                <w:rFonts w:ascii="Arial" w:cs="Arial" w:eastAsia="Arial" w:hAnsi="Arial"/>
                <w:sz w:val="21"/>
                <w:szCs w:val="21"/>
                <w:color w:val="auto"/>
                <w:vertAlign w:val="superscript"/>
              </w:rPr>
              <w:t>(4)</w:t>
            </w:r>
          </w:p>
        </w:tc>
        <w:tc>
          <w:tcPr>
            <w:tcW w:w="880" w:type="dxa"/>
            <w:vAlign w:val="bottom"/>
            <w:tcBorders>
              <w:bottom w:val="single" w:sz="8" w:color="CCEEFF"/>
            </w:tcBorders>
            <w:gridSpan w:val="2"/>
          </w:tcPr>
          <w:p>
            <w:pPr>
              <w:jc w:val="center"/>
              <w:ind w:left="79"/>
              <w:spacing w:after="0"/>
              <w:rPr>
                <w:sz w:val="20"/>
                <w:szCs w:val="20"/>
                <w:color w:val="auto"/>
              </w:rPr>
            </w:pPr>
            <w:r>
              <w:rPr>
                <w:rFonts w:ascii="Arial" w:cs="Arial" w:eastAsia="Arial" w:hAnsi="Arial"/>
                <w:sz w:val="16"/>
                <w:szCs w:val="16"/>
                <w:color w:val="auto"/>
                <w:w w:val="89"/>
              </w:rPr>
              <w:t>125,000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70,379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80,000</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70,379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237,871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385,375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Total Warrants</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77,125</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70,379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237,871</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385,375</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6"/>
                <w:szCs w:val="16"/>
                <w:i w:val="1"/>
                <w:iCs w:val="1"/>
                <w:color w:val="auto"/>
              </w:rPr>
              <w:t>Clean Technology</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SPBRX, INC. (f/k/a GSV</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Sustainability Partners, Inc.)–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Common shares</w:t>
            </w:r>
          </w:p>
        </w:tc>
        <w:tc>
          <w:tcPr>
            <w:tcW w:w="880" w:type="dxa"/>
            <w:vAlign w:val="bottom"/>
            <w:tcBorders>
              <w:bottom w:val="single" w:sz="8" w:color="CCEEFF"/>
            </w:tcBorders>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Inc.)–Common shares</w:t>
            </w:r>
          </w:p>
        </w:tc>
        <w:tc>
          <w:tcPr>
            <w:tcW w:w="880" w:type="dxa"/>
            <w:vAlign w:val="bottom"/>
            <w:tcBorders>
              <w:bottom w:val="single" w:sz="8" w:color="CCEEFF"/>
            </w:tcBorders>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200,000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Total Common Stock</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CONTROLLED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93"/>
              </w:rPr>
              <w:t>724,839</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7"/>
              </w:rPr>
              <w:t>19,037,566</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793,873</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(526,000)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5"/>
              </w:rPr>
              <w:t>4,901,722</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7"/>
              </w:rPr>
              <w:t>24,207,161</w:t>
            </w: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11.82%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-5805170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Interest,</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Fees, or</w:t>
            </w:r>
          </w:p>
        </w:tc>
        <w:tc>
          <w:tcPr>
            <w:tcW w:w="98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7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December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20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760" w:type="dxa"/>
            <w:vAlign w:val="bottom"/>
          </w:tcPr>
          <w:p>
            <w:pPr>
              <w:jc w:val="right"/>
              <w:ind w:right="123"/>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Quantity</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Gains/(Losses)</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Gains/(Losses)</w:t>
            </w:r>
          </w:p>
        </w:tc>
        <w:tc>
          <w:tcPr>
            <w:tcW w:w="12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760" w:type="dxa"/>
            <w:vAlign w:val="bottom"/>
          </w:tcPr>
          <w:p>
            <w:pPr>
              <w:jc w:val="right"/>
              <w:ind w:right="123"/>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9"/>
        </w:trPr>
        <w:tc>
          <w:tcPr>
            <w:tcW w:w="2700" w:type="dxa"/>
            <w:vAlign w:val="bottom"/>
            <w:tcBorders>
              <w:top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NON-CONTROLLED/AFFILIATE</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CUX, Inc. (d/b/a CorpU)–Senior</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Subordinated Convertible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Promissory Note 8%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4"/>
            <w:shd w:val="clear" w:color="auto" w:fill="CCEEFF"/>
          </w:tcPr>
          <w:p>
            <w:pPr>
              <w:ind w:left="440"/>
              <w:spacing w:after="0" w:line="239" w:lineRule="exact"/>
              <w:rPr>
                <w:sz w:val="20"/>
                <w:szCs w:val="20"/>
                <w:color w:val="auto"/>
              </w:rPr>
            </w:pPr>
            <w:r>
              <w:rPr>
                <w:rFonts w:ascii="Arial" w:cs="Arial" w:eastAsia="Arial" w:hAnsi="Arial"/>
                <w:sz w:val="16"/>
                <w:szCs w:val="16"/>
                <w:color w:val="auto"/>
              </w:rPr>
              <w:t>11/26/2018***</w:t>
            </w:r>
            <w:r>
              <w:rPr>
                <w:rFonts w:ascii="Arial" w:cs="Arial" w:eastAsia="Arial" w:hAnsi="Arial"/>
                <w:sz w:val="21"/>
                <w:szCs w:val="21"/>
                <w:color w:val="auto"/>
                <w:vertAlign w:val="superscript"/>
              </w:rPr>
              <w:t>(6)</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1,259,712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93,772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1,166,400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93,312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1,259,712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Ozy Media, Inc.–Convertible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Promissory Note 5%,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4"/>
            <w:shd w:val="clear" w:color="auto" w:fill="CCEEFF"/>
          </w:tcPr>
          <w:p>
            <w:pPr>
              <w:ind w:left="440"/>
              <w:spacing w:after="0" w:line="239" w:lineRule="exact"/>
              <w:rPr>
                <w:sz w:val="20"/>
                <w:szCs w:val="20"/>
                <w:color w:val="auto"/>
              </w:rPr>
            </w:pPr>
            <w:r>
              <w:rPr>
                <w:rFonts w:ascii="Arial" w:cs="Arial" w:eastAsia="Arial" w:hAnsi="Arial"/>
                <w:sz w:val="16"/>
                <w:szCs w:val="16"/>
                <w:color w:val="auto"/>
              </w:rPr>
              <w:t>2/28/2018***</w:t>
            </w:r>
            <w:r>
              <w:rPr>
                <w:rFonts w:ascii="Arial" w:cs="Arial" w:eastAsia="Arial" w:hAnsi="Arial"/>
                <w:sz w:val="21"/>
                <w:szCs w:val="21"/>
                <w:color w:val="auto"/>
                <w:vertAlign w:val="superscript"/>
              </w:rPr>
              <w:t>(12)</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2,000,000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(33,699)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2,000,000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(932,361)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1,067,639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Social Cognitive Learning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Declara, Inc.–Convertible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Promissory Note 9%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80" w:type="dxa"/>
            <w:vAlign w:val="bottom"/>
            <w:gridSpan w:val="3"/>
            <w:shd w:val="clear" w:color="auto" w:fill="CCEEFF"/>
          </w:tcPr>
          <w:p>
            <w:pPr>
              <w:ind w:left="440"/>
              <w:spacing w:after="0" w:line="239" w:lineRule="exact"/>
              <w:rPr>
                <w:sz w:val="20"/>
                <w:szCs w:val="20"/>
                <w:color w:val="auto"/>
              </w:rPr>
            </w:pPr>
            <w:r>
              <w:rPr>
                <w:rFonts w:ascii="Arial" w:cs="Arial" w:eastAsia="Arial" w:hAnsi="Arial"/>
                <w:sz w:val="16"/>
                <w:szCs w:val="16"/>
                <w:color w:val="auto"/>
                <w:w w:val="94"/>
              </w:rPr>
              <w:t>12/31/2017</w:t>
            </w:r>
            <w:r>
              <w:rPr>
                <w:rFonts w:ascii="Arial" w:cs="Arial" w:eastAsia="Arial" w:hAnsi="Arial"/>
                <w:sz w:val="21"/>
                <w:szCs w:val="21"/>
                <w:color w:val="auto"/>
                <w:w w:val="94"/>
                <w:vertAlign w:val="superscript"/>
              </w:rPr>
              <w:t>(8)</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2,120,658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2,827,020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(1,707,931)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1,120,329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Sports Analytics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7"/>
              </w:rPr>
              <w:t>Circle Media (f/k/a S3 Digital Corp.</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(d/b/a S3i))–Promissory Note,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4"/>
            <w:shd w:val="clear" w:color="auto" w:fill="CCEEFF"/>
          </w:tcPr>
          <w:p>
            <w:pPr>
              <w:ind w:left="440"/>
              <w:spacing w:after="0" w:line="239" w:lineRule="exact"/>
              <w:rPr>
                <w:sz w:val="20"/>
                <w:szCs w:val="20"/>
                <w:color w:val="auto"/>
              </w:rPr>
            </w:pPr>
            <w:r>
              <w:rPr>
                <w:rFonts w:ascii="Arial" w:cs="Arial" w:eastAsia="Arial" w:hAnsi="Arial"/>
                <w:sz w:val="16"/>
                <w:szCs w:val="16"/>
                <w:color w:val="auto"/>
              </w:rPr>
              <w:t>12%, 11/17/2017***</w:t>
            </w:r>
            <w:r>
              <w:rPr>
                <w:rFonts w:ascii="Arial" w:cs="Arial" w:eastAsia="Arial" w:hAnsi="Arial"/>
                <w:sz w:val="21"/>
                <w:szCs w:val="21"/>
                <w:color w:val="auto"/>
                <w:vertAlign w:val="superscript"/>
              </w:rPr>
              <w:t>(13)</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26,544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gridSpan w:val="5"/>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59,460</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6,019,964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98,121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(30,408)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0"/>
              </w:rPr>
              <w:t>(2,639,997)</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3,447,680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CUX, Inc. (d/b/a CorpU)–</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Convertible preferred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Series D</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169,033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775,861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213,628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989,489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3"/>
          </w:tcPr>
          <w:p>
            <w:pPr>
              <w:ind w:left="80"/>
              <w:spacing w:after="0"/>
              <w:rPr>
                <w:sz w:val="20"/>
                <w:szCs w:val="20"/>
                <w:color w:val="auto"/>
              </w:rPr>
            </w:pPr>
            <w:r>
              <w:rPr>
                <w:rFonts w:ascii="Arial" w:cs="Arial" w:eastAsia="Arial" w:hAnsi="Arial"/>
                <w:sz w:val="16"/>
                <w:szCs w:val="16"/>
                <w:color w:val="auto"/>
              </w:rPr>
              <w:t>CUX, Inc. (d/b/a CorpU)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3"/>
          </w:tcPr>
          <w:p>
            <w:pPr>
              <w:ind w:left="240"/>
              <w:spacing w:after="0"/>
              <w:rPr>
                <w:sz w:val="20"/>
                <w:szCs w:val="20"/>
                <w:color w:val="auto"/>
              </w:rPr>
            </w:pPr>
            <w:r>
              <w:rPr>
                <w:rFonts w:ascii="Arial" w:cs="Arial" w:eastAsia="Arial" w:hAnsi="Arial"/>
                <w:sz w:val="16"/>
                <w:szCs w:val="16"/>
                <w:color w:val="auto"/>
              </w:rPr>
              <w:t>Convertible preferred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3"/>
          </w:tcPr>
          <w:p>
            <w:pPr>
              <w:ind w:left="240"/>
              <w:spacing w:after="0"/>
              <w:rPr>
                <w:sz w:val="20"/>
                <w:szCs w:val="20"/>
                <w:color w:val="auto"/>
              </w:rPr>
            </w:pPr>
            <w:r>
              <w:rPr>
                <w:rFonts w:ascii="Arial" w:cs="Arial" w:eastAsia="Arial" w:hAnsi="Arial"/>
                <w:sz w:val="16"/>
                <w:szCs w:val="16"/>
                <w:color w:val="auto"/>
              </w:rPr>
              <w:t>Series 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615,763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1,913,484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(1,433,300)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480,184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6"/>
                <w:szCs w:val="16"/>
                <w:i w:val="1"/>
                <w:iCs w:val="1"/>
                <w:color w:val="auto"/>
              </w:rPr>
              <w:t>Total Corporate Education</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2,689,345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(1,219,672)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1,469,673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Globally-Focused Private School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Whittle Schools, LLC–Preferred</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gridSpan w:val="3"/>
            <w:shd w:val="clear" w:color="auto" w:fill="CCEEFF"/>
          </w:tcPr>
          <w:p>
            <w:pPr>
              <w:ind w:left="240"/>
              <w:spacing w:after="0" w:line="239" w:lineRule="exact"/>
              <w:rPr>
                <w:sz w:val="20"/>
                <w:szCs w:val="20"/>
                <w:color w:val="auto"/>
              </w:rPr>
            </w:pPr>
            <w:r>
              <w:rPr>
                <w:rFonts w:ascii="Arial" w:cs="Arial" w:eastAsia="Arial" w:hAnsi="Arial"/>
                <w:sz w:val="16"/>
                <w:szCs w:val="16"/>
                <w:color w:val="auto"/>
              </w:rPr>
              <w:t>shares, Series B</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3,000,000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119,299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(3,000,000)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Online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3"/>
              </w:rPr>
              <w:t>Curious.com, Inc.–Preferred shares,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Series B</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3,407,834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9,984,954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(4,470,877)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5,514,077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Sports Analytics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7"/>
              </w:rPr>
              <w:t>Circle Media (f/k/a S3 Digital Corp.</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(d/b/a S3i))–Preferred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gridSpan w:val="3"/>
            <w:shd w:val="clear" w:color="auto" w:fill="CCEEFF"/>
          </w:tcPr>
          <w:p>
            <w:pPr>
              <w:ind w:left="240"/>
              <w:spacing w:after="0" w:line="239" w:lineRule="exact"/>
              <w:rPr>
                <w:sz w:val="20"/>
                <w:szCs w:val="20"/>
                <w:color w:val="auto"/>
              </w:rPr>
            </w:pPr>
            <w:r>
              <w:rPr>
                <w:rFonts w:ascii="Arial" w:cs="Arial" w:eastAsia="Arial" w:hAnsi="Arial"/>
                <w:sz w:val="16"/>
                <w:szCs w:val="16"/>
                <w:color w:val="auto"/>
              </w:rPr>
              <w:t>Series A</w:t>
            </w:r>
            <w:r>
              <w:rPr>
                <w:rFonts w:ascii="Arial" w:cs="Arial" w:eastAsia="Arial" w:hAnsi="Arial"/>
                <w:sz w:val="21"/>
                <w:szCs w:val="21"/>
                <w:color w:val="auto"/>
                <w:vertAlign w:val="superscript"/>
              </w:rPr>
              <w:t>(13)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484,769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(1,777,576)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5"/>
              </w:rPr>
              <w:t>1,292,807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Interest,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Fees, or</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Credited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9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2"/>
                <w:szCs w:val="12"/>
                <w:color w:val="auto"/>
              </w:rPr>
            </w:pPr>
          </w:p>
        </w:tc>
        <w:tc>
          <w:tcPr>
            <w:tcW w:w="76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Declara, Inc.–Preferred shares,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ind w:left="440"/>
              <w:spacing w:after="0"/>
              <w:rPr>
                <w:sz w:val="20"/>
                <w:szCs w:val="20"/>
                <w:color w:val="auto"/>
              </w:rPr>
            </w:pPr>
            <w:r>
              <w:rPr>
                <w:rFonts w:ascii="Arial" w:cs="Arial" w:eastAsia="Arial" w:hAnsi="Arial"/>
                <w:sz w:val="16"/>
                <w:szCs w:val="16"/>
                <w:color w:val="auto"/>
              </w:rPr>
              <w:t>Series A</w:t>
            </w: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10,716,390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4,786,654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(4,403,976)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382,678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70"/>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Education Media Platform</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EdSurge, Inc.–Preferred shares,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Series A-1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378,788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w w:val="99"/>
              </w:rPr>
              <w:t>EdSurge, Inc.–Preferred shares,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ind w:left="440"/>
              <w:spacing w:after="0"/>
              <w:rPr>
                <w:sz w:val="20"/>
                <w:szCs w:val="20"/>
                <w:color w:val="auto"/>
              </w:rPr>
            </w:pPr>
            <w:r>
              <w:rPr>
                <w:rFonts w:ascii="Arial" w:cs="Arial" w:eastAsia="Arial" w:hAnsi="Arial"/>
                <w:sz w:val="16"/>
                <w:szCs w:val="16"/>
                <w:color w:val="auto"/>
              </w:rPr>
              <w:t>Series A</w:t>
            </w:r>
          </w:p>
        </w:tc>
        <w:tc>
          <w:tcPr>
            <w:tcW w:w="820" w:type="dxa"/>
            <w:vAlign w:val="bottom"/>
          </w:tcPr>
          <w:p>
            <w:pPr>
              <w:jc w:val="right"/>
              <w:spacing w:after="0"/>
              <w:rPr>
                <w:sz w:val="20"/>
                <w:szCs w:val="20"/>
                <w:color w:val="auto"/>
              </w:rPr>
            </w:pPr>
            <w:r>
              <w:rPr>
                <w:rFonts w:ascii="Arial" w:cs="Arial" w:eastAsia="Arial" w:hAnsi="Arial"/>
                <w:sz w:val="16"/>
                <w:szCs w:val="16"/>
                <w:color w:val="auto"/>
              </w:rPr>
              <w:t>494,365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588,294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581,917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Education Media Platform</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1,088,294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1,081,917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Education Technology</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Global Education Learning</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(Holdings) Ltd.–Preferred</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80" w:type="dxa"/>
            <w:vAlign w:val="bottom"/>
            <w:gridSpan w:val="2"/>
            <w:shd w:val="clear" w:color="auto" w:fill="CCEEFF"/>
          </w:tcPr>
          <w:p>
            <w:pPr>
              <w:ind w:left="440"/>
              <w:spacing w:after="0" w:line="239" w:lineRule="exact"/>
              <w:rPr>
                <w:sz w:val="20"/>
                <w:szCs w:val="20"/>
                <w:color w:val="auto"/>
              </w:rPr>
            </w:pPr>
            <w:r>
              <w:rPr>
                <w:rFonts w:ascii="Arial" w:cs="Arial" w:eastAsia="Arial" w:hAnsi="Arial"/>
                <w:sz w:val="16"/>
                <w:szCs w:val="16"/>
                <w:color w:val="auto"/>
              </w:rPr>
              <w:t>shares, Series A**</w:t>
            </w:r>
            <w:r>
              <w:rPr>
                <w:rFonts w:ascii="Arial" w:cs="Arial" w:eastAsia="Arial" w:hAnsi="Arial"/>
                <w:sz w:val="21"/>
                <w:szCs w:val="21"/>
                <w:color w:val="auto"/>
                <w:vertAlign w:val="superscript"/>
              </w:rPr>
              <w:t>(9)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(675,495)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675,495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Knowledge Networks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8"/>
              </w:rPr>
              <w:t>Maven Research,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shares, Series C</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318,979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1,999,998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(1,498,758)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501,240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w w:val="98"/>
              </w:rPr>
              <w:t>Maven Research, Inc.–Preferred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ind w:left="440"/>
              <w:spacing w:after="0"/>
              <w:rPr>
                <w:sz w:val="20"/>
                <w:szCs w:val="20"/>
                <w:color w:val="auto"/>
              </w:rPr>
            </w:pPr>
            <w:r>
              <w:rPr>
                <w:rFonts w:ascii="Arial" w:cs="Arial" w:eastAsia="Arial" w:hAnsi="Arial"/>
                <w:sz w:val="16"/>
                <w:szCs w:val="16"/>
                <w:color w:val="auto"/>
              </w:rPr>
              <w:t>shares, Series B</w:t>
            </w:r>
          </w:p>
        </w:tc>
        <w:tc>
          <w:tcPr>
            <w:tcW w:w="820" w:type="dxa"/>
            <w:vAlign w:val="bottom"/>
          </w:tcPr>
          <w:p>
            <w:pPr>
              <w:jc w:val="right"/>
              <w:spacing w:after="0"/>
              <w:rPr>
                <w:sz w:val="20"/>
                <w:szCs w:val="20"/>
                <w:color w:val="auto"/>
              </w:rPr>
            </w:pPr>
            <w:r>
              <w:rPr>
                <w:rFonts w:ascii="Arial" w:cs="Arial" w:eastAsia="Arial" w:hAnsi="Arial"/>
                <w:sz w:val="16"/>
                <w:szCs w:val="16"/>
                <w:color w:val="auto"/>
              </w:rPr>
              <w:t>49,505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223,763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(173,763)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Knowledge Networks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2,223,761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(1,672,521)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551,240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shares, Series B</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922,509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4,999,999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(2,632,977)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2,367,022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OzyMedia, Inc.–Preferred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ind w:left="440"/>
              <w:spacing w:after="0"/>
              <w:rPr>
                <w:sz w:val="20"/>
                <w:szCs w:val="20"/>
                <w:color w:val="auto"/>
              </w:rPr>
            </w:pPr>
            <w:r>
              <w:rPr>
                <w:rFonts w:ascii="Arial" w:cs="Arial" w:eastAsia="Arial" w:hAnsi="Arial"/>
                <w:sz w:val="16"/>
                <w:szCs w:val="16"/>
                <w:color w:val="auto"/>
              </w:rPr>
              <w:t>shares, Series A</w:t>
            </w:r>
          </w:p>
        </w:tc>
        <w:tc>
          <w:tcPr>
            <w:tcW w:w="820" w:type="dxa"/>
            <w:vAlign w:val="bottom"/>
          </w:tcPr>
          <w:p>
            <w:pPr>
              <w:jc w:val="right"/>
              <w:spacing w:after="0"/>
              <w:rPr>
                <w:sz w:val="20"/>
                <w:szCs w:val="20"/>
                <w:color w:val="auto"/>
              </w:rPr>
            </w:pPr>
            <w:r>
              <w:rPr>
                <w:rFonts w:ascii="Arial" w:cs="Arial" w:eastAsia="Arial" w:hAnsi="Arial"/>
                <w:sz w:val="16"/>
                <w:szCs w:val="16"/>
                <w:color w:val="auto"/>
              </w:rPr>
              <w:t>1,090,909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3,000,000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(1,580,190)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1,419,810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shares, Series Seed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(373,365)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236,635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1"/>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8,609,999</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(4,586,532)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4,023,467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Social Media</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AlwaysOn, Inc.–Preferred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shares, Series A-1</w:t>
            </w:r>
            <w:r>
              <w:rPr>
                <w:rFonts w:ascii="Arial" w:cs="Arial" w:eastAsia="Arial" w:hAnsi="Arial"/>
                <w:sz w:val="21"/>
                <w:szCs w:val="21"/>
                <w:color w:val="auto"/>
                <w:vertAlign w:val="superscript"/>
              </w:rPr>
              <w:t>(10)</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(876,023)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876,023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AlwaysOn,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gridSpan w:val="2"/>
            <w:shd w:val="clear" w:color="auto" w:fill="CCEEFF"/>
          </w:tcPr>
          <w:p>
            <w:pPr>
              <w:ind w:left="440"/>
              <w:spacing w:after="0" w:line="239" w:lineRule="exact"/>
              <w:rPr>
                <w:sz w:val="20"/>
                <w:szCs w:val="20"/>
                <w:color w:val="auto"/>
              </w:rPr>
            </w:pPr>
            <w:r>
              <w:rPr>
                <w:rFonts w:ascii="Arial" w:cs="Arial" w:eastAsia="Arial" w:hAnsi="Arial"/>
                <w:sz w:val="16"/>
                <w:szCs w:val="16"/>
                <w:color w:val="auto"/>
              </w:rPr>
              <w:t>shares, Series A</w:t>
            </w:r>
            <w:r>
              <w:rPr>
                <w:rFonts w:ascii="Arial" w:cs="Arial" w:eastAsia="Arial" w:hAnsi="Arial"/>
                <w:sz w:val="21"/>
                <w:szCs w:val="21"/>
                <w:color w:val="auto"/>
                <w:vertAlign w:val="superscript"/>
              </w:rPr>
              <w:t>(10)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(1,027,391)</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1,027,391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Social Media</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0"/>
              </w:rPr>
              <w:t>(1,903,414)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1,903,414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32,867,776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119,299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$(3,000,000)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(4,475,784)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(12,488,239)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13,023,052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37"/>
        </w:trPr>
        <w:tc>
          <w:tcPr>
            <w:tcW w:w="2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Big Data Consulting</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Strategic Data Command, LLC–</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Common shares</w:t>
            </w:r>
            <w:r>
              <w:rPr>
                <w:rFonts w:ascii="Arial" w:cs="Arial" w:eastAsia="Arial" w:hAnsi="Arial"/>
                <w:sz w:val="21"/>
                <w:szCs w:val="21"/>
                <w:color w:val="auto"/>
                <w:vertAlign w:val="superscript"/>
              </w:rPr>
              <w:t>(7)</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2,052,555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4"/>
              </w:rPr>
              <w:t>$(2,514,651)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1,524,374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(1,063,278)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Globally-Focused Private School</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Whittle Schools, LLC–Common</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(5)</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1,500,000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59,649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77,097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Common Stock</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3,552,555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60,649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$(4,089,651)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1,462,628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(986,181)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-6534150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0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8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Sales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Gains/(Losses)</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80" w:type="dxa"/>
            <w:vAlign w:val="bottom"/>
            <w:gridSpan w:val="2"/>
          </w:tcPr>
          <w:p>
            <w:pPr>
              <w:ind w:left="180"/>
              <w:spacing w:after="0"/>
              <w:rPr>
                <w:sz w:val="20"/>
                <w:szCs w:val="20"/>
                <w:color w:val="auto"/>
              </w:rPr>
            </w:pPr>
            <w:r>
              <w:rPr>
                <w:rFonts w:ascii="Arial" w:cs="Arial" w:eastAsia="Arial" w:hAnsi="Arial"/>
                <w:sz w:val="16"/>
                <w:szCs w:val="16"/>
                <w:i w:val="1"/>
                <w:iCs w:val="1"/>
                <w:color w:val="auto"/>
              </w:rPr>
              <w:t>Sports Analytics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6"/>
              </w:rPr>
              <w:t>Circle Media (f/k/a S3 Digital</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Corp. (d/b/a S3i))–Preferred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warrants, $1.17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shd w:val="clear" w:color="auto" w:fill="CCEEFF"/>
          </w:tcPr>
          <w:p>
            <w:pPr>
              <w:ind w:left="440"/>
              <w:spacing w:after="0" w:line="239" w:lineRule="exact"/>
              <w:rPr>
                <w:sz w:val="20"/>
                <w:szCs w:val="20"/>
                <w:color w:val="auto"/>
              </w:rPr>
            </w:pPr>
            <w:r>
              <w:rPr>
                <w:rFonts w:ascii="Arial" w:cs="Arial" w:eastAsia="Arial" w:hAnsi="Arial"/>
                <w:sz w:val="16"/>
                <w:szCs w:val="16"/>
                <w:color w:val="auto"/>
              </w:rPr>
              <w:t>Expiration Date 11/18/2022</w:t>
            </w:r>
            <w:r>
              <w:rPr>
                <w:rFonts w:ascii="Arial" w:cs="Arial" w:eastAsia="Arial" w:hAnsi="Arial"/>
                <w:sz w:val="21"/>
                <w:szCs w:val="21"/>
                <w:color w:val="auto"/>
                <w:vertAlign w:val="superscript"/>
              </w:rPr>
              <w:t>(13)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8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Circle Media (f/k/a S3 Digital</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Corp. (d/b/a S3i))–Preferred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warrants, $1.17 Strike Price,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Expiration Date 8/29/2021</w:t>
            </w:r>
            <w:r>
              <w:rPr>
                <w:rFonts w:ascii="Arial" w:cs="Arial" w:eastAsia="Arial" w:hAnsi="Arial"/>
                <w:sz w:val="21"/>
                <w:szCs w:val="21"/>
                <w:color w:val="auto"/>
                <w:vertAlign w:val="superscript"/>
              </w:rPr>
              <w:t>(13)</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6"/>
              </w:rPr>
              <w:t>Circle Media (f/k/a S3 Digital</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Corp. (d/b/a S3i))–Preferred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warrants, $1.17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shd w:val="clear" w:color="auto" w:fill="CCEEFF"/>
          </w:tcPr>
          <w:p>
            <w:pPr>
              <w:ind w:left="440"/>
              <w:spacing w:after="0" w:line="239" w:lineRule="exact"/>
              <w:rPr>
                <w:sz w:val="20"/>
                <w:szCs w:val="20"/>
                <w:color w:val="auto"/>
              </w:rPr>
            </w:pPr>
            <w:r>
              <w:rPr>
                <w:rFonts w:ascii="Arial" w:cs="Arial" w:eastAsia="Arial" w:hAnsi="Arial"/>
                <w:sz w:val="16"/>
                <w:szCs w:val="16"/>
                <w:color w:val="auto"/>
              </w:rPr>
              <w:t>Expiration Date 6/26/2021</w:t>
            </w:r>
            <w:r>
              <w:rPr>
                <w:rFonts w:ascii="Arial" w:cs="Arial" w:eastAsia="Arial" w:hAnsi="Arial"/>
                <w:sz w:val="21"/>
                <w:szCs w:val="21"/>
                <w:color w:val="auto"/>
                <w:vertAlign w:val="superscript"/>
              </w:rPr>
              <w:t>(13)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8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Circle Media (f/k/a S3 Digital</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Corp. (d/b/a S3i))–Preferred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warrants, $1.17 Strike Price,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Expiration Date 9/30/2020</w:t>
            </w:r>
            <w:r>
              <w:rPr>
                <w:rFonts w:ascii="Arial" w:cs="Arial" w:eastAsia="Arial" w:hAnsi="Arial"/>
                <w:sz w:val="21"/>
                <w:szCs w:val="21"/>
                <w:color w:val="auto"/>
                <w:vertAlign w:val="superscript"/>
              </w:rPr>
              <w:t>(13)</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Circle Media (f/k/a S3 Digital</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Corp. (d/b/a S3i))–Preferred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warrants, $1.00 Strike Price,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80" w:type="dxa"/>
            <w:vAlign w:val="bottom"/>
            <w:tcBorders>
              <w:bottom w:val="single" w:sz="8" w:color="CCEEFF"/>
            </w:tcBorders>
            <w:shd w:val="clear" w:color="auto" w:fill="CCEEFF"/>
          </w:tcPr>
          <w:p>
            <w:pPr>
              <w:ind w:left="440"/>
              <w:spacing w:after="0" w:line="239" w:lineRule="exact"/>
              <w:rPr>
                <w:sz w:val="20"/>
                <w:szCs w:val="20"/>
                <w:color w:val="auto"/>
              </w:rPr>
            </w:pPr>
            <w:r>
              <w:rPr>
                <w:rFonts w:ascii="Arial" w:cs="Arial" w:eastAsia="Arial" w:hAnsi="Arial"/>
                <w:sz w:val="16"/>
                <w:szCs w:val="16"/>
                <w:color w:val="auto"/>
                <w:w w:val="96"/>
              </w:rPr>
              <w:t>Expiration Date 11/21/2017</w:t>
            </w:r>
            <w:r>
              <w:rPr>
                <w:rFonts w:ascii="Arial" w:cs="Arial" w:eastAsia="Arial" w:hAnsi="Arial"/>
                <w:sz w:val="21"/>
                <w:szCs w:val="21"/>
                <w:color w:val="auto"/>
                <w:w w:val="96"/>
                <w:vertAlign w:val="superscript"/>
              </w:rPr>
              <w:t>(13)</w:t>
            </w:r>
          </w:p>
        </w:tc>
        <w:tc>
          <w:tcPr>
            <w:tcW w:w="100" w:type="dxa"/>
            <w:vAlign w:val="bottom"/>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(31,354)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31,354</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68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Sports Analytics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31,930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8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CUX, Inc. (d/b/a CorpU) -</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540"/>
              <w:spacing w:after="0"/>
              <w:rPr>
                <w:sz w:val="20"/>
                <w:szCs w:val="20"/>
                <w:color w:val="auto"/>
              </w:rPr>
            </w:pPr>
            <w:r>
              <w:rPr>
                <w:rFonts w:ascii="Arial" w:cs="Arial" w:eastAsia="Arial" w:hAnsi="Arial"/>
                <w:sz w:val="16"/>
                <w:szCs w:val="16"/>
                <w:color w:val="auto"/>
              </w:rPr>
              <w:t>Preferred warrants, Series 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540"/>
              <w:spacing w:after="0"/>
              <w:rPr>
                <w:sz w:val="20"/>
                <w:szCs w:val="20"/>
                <w:color w:val="auto"/>
              </w:rPr>
            </w:pPr>
            <w:r>
              <w:rPr>
                <w:rFonts w:ascii="Arial" w:cs="Arial" w:eastAsia="Arial" w:hAnsi="Arial"/>
                <w:sz w:val="16"/>
                <w:szCs w:val="16"/>
                <w:color w:val="auto"/>
              </w:rPr>
              <w:t>Strike Price $4.59, Expiration</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80" w:type="dxa"/>
            <w:vAlign w:val="bottom"/>
            <w:gridSpan w:val="2"/>
          </w:tcPr>
          <w:p>
            <w:pPr>
              <w:ind w:left="540"/>
              <w:spacing w:after="0"/>
              <w:rPr>
                <w:sz w:val="20"/>
                <w:szCs w:val="20"/>
                <w:color w:val="auto"/>
              </w:rPr>
            </w:pPr>
            <w:r>
              <w:rPr>
                <w:rFonts w:ascii="Arial" w:cs="Arial" w:eastAsia="Arial" w:hAnsi="Arial"/>
                <w:sz w:val="16"/>
                <w:szCs w:val="16"/>
                <w:color w:val="auto"/>
              </w:rPr>
              <w:t>Date 2/25/2018</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16,903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Social Media</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80" w:type="dxa"/>
            <w:vAlign w:val="bottom"/>
            <w:gridSpan w:val="2"/>
          </w:tcPr>
          <w:p>
            <w:pPr>
              <w:ind w:left="280"/>
              <w:spacing w:after="0"/>
              <w:rPr>
                <w:sz w:val="20"/>
                <w:szCs w:val="20"/>
                <w:color w:val="auto"/>
              </w:rPr>
            </w:pPr>
            <w:r>
              <w:rPr>
                <w:rFonts w:ascii="Arial" w:cs="Arial" w:eastAsia="Arial" w:hAnsi="Arial"/>
                <w:sz w:val="16"/>
                <w:szCs w:val="16"/>
                <w:color w:val="auto"/>
              </w:rPr>
              <w:t>AlwaysOn, Inc.–Preferred</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Warrants Series A, $1.00 strike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 xml:space="preserve">price, expire 1/9/2017 </w:t>
            </w:r>
            <w:r>
              <w:rPr>
                <w:rFonts w:ascii="Arial" w:cs="Arial" w:eastAsia="Arial" w:hAnsi="Arial"/>
                <w:sz w:val="21"/>
                <w:szCs w:val="21"/>
                <w:color w:val="auto"/>
                <w:vertAlign w:val="superscript"/>
              </w:rPr>
              <w:t>(10)</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Warrants</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TOTAL NON-</w:t>
            </w:r>
          </w:p>
        </w:tc>
        <w:tc>
          <w:tcPr>
            <w:tcW w:w="10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CONTROLLED/AFFILIATE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59,460</w:t>
            </w:r>
          </w:p>
        </w:tc>
        <w:tc>
          <w:tcPr>
            <w:tcW w:w="1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42,444,690</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278,069</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0"/>
              </w:rPr>
              <w:t>(7,089,651)</w:t>
            </w:r>
          </w:p>
        </w:tc>
        <w:tc>
          <w:tcPr>
            <w:tcW w:w="10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(3,075,494)</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8"/>
              </w:rPr>
              <w:t>(16,084,516)</w:t>
            </w:r>
          </w:p>
        </w:tc>
        <w:tc>
          <w:tcPr>
            <w:tcW w:w="12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16,473,098</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8.04%</w:t>
            </w:r>
          </w:p>
        </w:tc>
        <w:tc>
          <w:tcPr>
            <w:tcW w:w="0" w:type="dxa"/>
            <w:vAlign w:val="bottom"/>
          </w:tcPr>
          <w:p>
            <w:pPr>
              <w:spacing w:after="0"/>
              <w:rPr>
                <w:sz w:val="1"/>
                <w:szCs w:val="1"/>
                <w:color w:val="auto"/>
              </w:rPr>
            </w:pPr>
          </w:p>
        </w:tc>
      </w:tr>
      <w:tr>
        <w:trPr>
          <w:trHeight w:val="272"/>
        </w:trPr>
        <w:tc>
          <w:tcPr>
            <w:tcW w:w="26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-26035</wp:posOffset>
            </wp:positionV>
            <wp:extent cx="500824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08245" cy="2603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-5205730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____________________</w:t>
      </w:r>
    </w:p>
    <w:p>
      <w:pPr>
        <w:spacing w:after="0" w:line="7" w:lineRule="exact"/>
        <w:rPr>
          <w:sz w:val="20"/>
          <w:szCs w:val="20"/>
          <w:color w:val="auto"/>
        </w:rPr>
      </w:pPr>
    </w:p>
    <w:p>
      <w:pPr>
        <w:ind w:left="340" w:hanging="332"/>
        <w:spacing w:after="0" w:line="25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portfolio investments are non-income-producing, unless otherwise identified. Equity investments are subject to lock-up restrictions upon their IPO. Unless otherwise noted, all investments were pledged as collateral under the Credit Facility. The Company’s and GSV Asset Management’s officers and staff, as applicable, may serve on the board of directors of the Company’s portfolio investments. All portfolio investments are considered Level 3 and valued using unobservable inputs, unless otherwise noted. All investments are restricted as to resale, unless otherwise noted, and were valued at fair value as determined in good faith by the Company’s board of directors.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1940 Act.</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66" w:lineRule="exact"/>
        <w:rPr>
          <w:sz w:val="20"/>
          <w:szCs w:val="20"/>
          <w:color w:val="auto"/>
        </w:rPr>
      </w:pPr>
    </w:p>
    <w:p>
      <w:pPr>
        <w:ind w:left="340" w:right="2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w:t>
      </w:r>
    </w:p>
    <w:p>
      <w:pPr>
        <w:spacing w:after="0" w:line="221"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GSV Capital Corp.’s investment in StormWind, LLC is held through its wholly owned subsidiary, GSVC SW Holdings, Inc.</w:t>
      </w:r>
    </w:p>
    <w:p>
      <w:pPr>
        <w:spacing w:after="0" w:line="265" w:lineRule="exact"/>
        <w:rPr>
          <w:rFonts w:ascii="Arial" w:cs="Arial" w:eastAsia="Arial" w:hAnsi="Arial"/>
          <w:sz w:val="18"/>
          <w:szCs w:val="18"/>
          <w:color w:val="auto"/>
        </w:rPr>
      </w:pPr>
    </w:p>
    <w:p>
      <w:pPr>
        <w:ind w:left="340" w:hanging="332"/>
        <w:spacing w:after="0" w:line="30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On November 29, 2017, the maturity date of the unsecured promissory note to NestGSV, Inc. (d/b/a GSV Labs, Inc.) was extended to January 15, 2018. On January 12, 2018, the unsecured promissory note to NestGSV, Inc. (d/b/a GSV Labs, Inc.) was repaid, with interest.</w:t>
      </w:r>
    </w:p>
    <w:p>
      <w:pPr>
        <w:spacing w:after="0" w:line="194" w:lineRule="exact"/>
        <w:rPr>
          <w:rFonts w:ascii="Arial" w:cs="Arial" w:eastAsia="Arial" w:hAnsi="Arial"/>
          <w:sz w:val="16"/>
          <w:szCs w:val="16"/>
          <w:color w:val="auto"/>
        </w:rPr>
      </w:pPr>
    </w:p>
    <w:p>
      <w:pPr>
        <w:ind w:left="340" w:right="1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 Whittle Schools, LLC is an investment that is collateralized by Avenues Global Holdings, LLC, as well as the personal collateral of Chris Whittle, the former chairman of Avenues Global Holdings, LLC. In November 2017, the Company sold its entire position in Whittle Schools, LLC.</w:t>
      </w:r>
    </w:p>
    <w:p>
      <w:pPr>
        <w:spacing w:after="0" w:line="221" w:lineRule="exact"/>
        <w:rPr>
          <w:rFonts w:ascii="Arial" w:cs="Arial" w:eastAsia="Arial" w:hAnsi="Arial"/>
          <w:sz w:val="18"/>
          <w:szCs w:val="18"/>
          <w:color w:val="auto"/>
        </w:rPr>
      </w:pPr>
    </w:p>
    <w:p>
      <w:pPr>
        <w:ind w:left="340" w:right="12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221" w:lineRule="exact"/>
        <w:rPr>
          <w:rFonts w:ascii="Arial" w:cs="Arial" w:eastAsia="Arial" w:hAnsi="Arial"/>
          <w:sz w:val="18"/>
          <w:szCs w:val="18"/>
          <w:color w:val="auto"/>
        </w:rPr>
      </w:pPr>
    </w:p>
    <w:p>
      <w:pPr>
        <w:ind w:left="340" w:right="76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 In November 2017, the Company sold its entire position in Strategic Data Command, LLC.</w:t>
      </w:r>
    </w:p>
    <w:p>
      <w:pPr>
        <w:spacing w:after="0" w:line="210"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July 1, 2017, the maturity date of the convertible promissory note to Declara, Inc. was extended to December 31, 2017. The convertible promissory note to Declara, Inc. was further extended until January 31, 2018. The maturity date of the convertible promissory note to Declara, Inc. was then subsequently extended an additional three months to April 30, 2018. On January 31, 2018 the interest rate on the convertible promissory note increased to 12% per annum (including 365 days for the purposes of accrual).</w:t>
      </w:r>
    </w:p>
    <w:p>
      <w:pPr>
        <w:spacing w:after="0" w:line="227"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wrote-off its investment in Global Education Learning (Holdings) Ltd. during the three months ended June 30, 2017.</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wrote-off its investment in AlwaysOn, Inc. during the three months ended March 31,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94" w:lineRule="exact"/>
        <w:rPr>
          <w:sz w:val="20"/>
          <w:szCs w:val="20"/>
          <w:color w:val="auto"/>
        </w:rPr>
      </w:pPr>
    </w:p>
    <w:p>
      <w:pPr>
        <w:jc w:val="both"/>
        <w:ind w:left="340" w:right="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fourth quarter of 2017, NestGSV, Inc. (d/b/a GSV Labs, Inc.) met certain financing qualifications under the Company’s warrant agreement with NestGSV, Inc. (d/b/a GSV Labs, Inc.) and the Company’s Series A-4 warrants with a strike price of $1.33 converted to Series B warrants with a $2.31 strike price.</w:t>
      </w:r>
    </w:p>
    <w:p>
      <w:pPr>
        <w:spacing w:after="0" w:line="22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Subsequent to period-end, Ozy Media, Inc.’s obligations under its financing arrangements with the Company became past due. The Company and Ozy Media are in the process of renegotiating the terms of the Company’s investment.</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wrote-off its investment in Circle Media (f/k/a S3 Digital Corp. (d/b/a S3i)) during the three months ended December 31, 2017.</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121" w:right="47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 REPURCHASE PROGRAM, EQUITY OFFERINGS AND RELATED EXPENSES</w:t>
      </w:r>
    </w:p>
    <w:p>
      <w:pPr>
        <w:spacing w:after="0" w:line="22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w:t>
      </w:r>
    </w:p>
    <w:p>
      <w:pPr>
        <w:spacing w:after="0" w:line="192" w:lineRule="exact"/>
        <w:rPr>
          <w:sz w:val="20"/>
          <w:szCs w:val="20"/>
          <w:color w:val="auto"/>
        </w:rPr>
      </w:pPr>
    </w:p>
    <w:p>
      <w:pPr>
        <w:ind w:right="300" w:firstLine="351"/>
        <w:spacing w:after="0" w:line="286" w:lineRule="auto"/>
        <w:rPr>
          <w:sz w:val="20"/>
          <w:szCs w:val="20"/>
          <w:color w:val="auto"/>
        </w:rPr>
      </w:pPr>
      <w:r>
        <w:rPr>
          <w:rFonts w:ascii="Arial" w:cs="Arial" w:eastAsia="Arial" w:hAnsi="Arial"/>
          <w:sz w:val="17"/>
          <w:szCs w:val="17"/>
          <w:color w:val="auto"/>
        </w:rPr>
        <w:t>During the three months ended March 31, 2018, the Company repurchased 179,807 shares of the Company’s common stock pursuant to the Share Repurchase Program for an average share price of $6.90, or approximately $1.2 million in aggregate. As of March 31, 2018, the dollar value of shares that remained available to be purchased by the Company under the Share Repurchase Program was approximately $3.8 million.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new shares of the Company’s common stock were issued during the three months ended March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INCREASE IN NET ASSETS RESULTING FROM OPERATIONS PER COMMON SHARE—BASIC AND DILUTED</w:t>
      </w:r>
    </w:p>
    <w:p>
      <w:pPr>
        <w:spacing w:after="0" w:line="229" w:lineRule="exact"/>
        <w:rPr>
          <w:sz w:val="20"/>
          <w:szCs w:val="20"/>
          <w:color w:val="auto"/>
        </w:rPr>
      </w:pPr>
    </w:p>
    <w:p>
      <w:pPr>
        <w:ind w:right="660" w:firstLine="351"/>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 per common share, pursuant to ASC 260, for the three months ended March 31, 2018 and 2017.</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2"/>
                <w:szCs w:val="22"/>
                <w:color w:val="auto"/>
              </w:rPr>
            </w:pPr>
          </w:p>
        </w:tc>
        <w:tc>
          <w:tcPr>
            <w:tcW w:w="1240" w:type="dxa"/>
            <w:vAlign w:val="bottom"/>
          </w:tcPr>
          <w:p>
            <w:pPr>
              <w:jc w:val="right"/>
              <w:ind w:right="273"/>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9"/>
        </w:trPr>
        <w:tc>
          <w:tcPr>
            <w:tcW w:w="83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share–basic:</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Net increase in net assets resulting from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6,966,296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3,782,886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Weighted-average common shares–basic</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21,150,662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22,181,003</w:t>
            </w:r>
          </w:p>
        </w:tc>
        <w:tc>
          <w:tcPr>
            <w:tcW w:w="0" w:type="dxa"/>
            <w:vAlign w:val="bottom"/>
          </w:tcPr>
          <w:p>
            <w:pPr>
              <w:spacing w:after="0"/>
              <w:rPr>
                <w:sz w:val="1"/>
                <w:szCs w:val="1"/>
                <w:color w:val="auto"/>
              </w:rPr>
            </w:pPr>
          </w:p>
        </w:tc>
      </w:tr>
      <w:tr>
        <w:trPr>
          <w:trHeight w:val="297"/>
        </w:trPr>
        <w:tc>
          <w:tcPr>
            <w:tcW w:w="8340" w:type="dxa"/>
            <w:vAlign w:val="bottom"/>
            <w:tcBorders>
              <w:top w:val="single" w:sz="8" w:color="CCEEFF"/>
              <w:bottom w:val="single" w:sz="8" w:color="CCEEFF"/>
            </w:tcBorders>
            <w:gridSpan w:val="4"/>
          </w:tcPr>
          <w:p>
            <w:pPr>
              <w:ind w:left="40"/>
              <w:spacing w:after="0"/>
              <w:rPr>
                <w:sz w:val="20"/>
                <w:szCs w:val="20"/>
                <w:color w:val="auto"/>
              </w:rPr>
            </w:pPr>
            <w:r>
              <w:rPr>
                <w:rFonts w:ascii="Arial" w:cs="Arial" w:eastAsia="Arial" w:hAnsi="Arial"/>
                <w:sz w:val="18"/>
                <w:szCs w:val="18"/>
                <w:b w:val="1"/>
                <w:bCs w:val="1"/>
                <w:color w:val="auto"/>
              </w:rPr>
              <w:t>Earnings per common share–basic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90"/>
        </w:trPr>
        <w:tc>
          <w:tcPr>
            <w:tcW w:w="834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Earnings per common share–diluted:</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5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Net increase in net assets resulting from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6,966,296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3,782,886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Adjustment for interest and amortization on 5.25% Convertible Senior Notes due 2018</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1,050,668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Arial" w:cs="Arial" w:eastAsia="Arial" w:hAnsi="Arial"/>
                <w:sz w:val="18"/>
                <w:szCs w:val="18"/>
                <w:color w:val="auto"/>
              </w:rPr>
              <w:t>Adjustment for interest and amortization on 4.75% Convertible Senior Notes due 2023</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increase in net assets resulting from operations, as adjusted</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8,035,702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3,782,886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00" w:type="dxa"/>
            <w:vAlign w:val="bottom"/>
            <w:gridSpan w:val="3"/>
          </w:tcPr>
          <w:p>
            <w:pPr>
              <w:ind w:left="140"/>
              <w:spacing w:after="0" w:line="270" w:lineRule="exact"/>
              <w:rPr>
                <w:sz w:val="20"/>
                <w:szCs w:val="20"/>
                <w:color w:val="auto"/>
              </w:rPr>
            </w:pPr>
            <w:r>
              <w:rPr>
                <w:rFonts w:ascii="Arial" w:cs="Arial" w:eastAsia="Arial" w:hAnsi="Arial"/>
                <w:sz w:val="18"/>
                <w:szCs w:val="18"/>
                <w:color w:val="auto"/>
              </w:rPr>
              <w:t>Adjustment for dilutive effect of 5.25% Convertible Senior Notes due 2018</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5,355,697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83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Adjustment for dilutive effect of 4.75% Convertible Senior Notes due 2023</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207,297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340" w:type="dxa"/>
            <w:vAlign w:val="bottom"/>
            <w:tcBorders>
              <w:top w:val="single" w:sz="8" w:color="CCEEFF"/>
              <w:bottom w:val="single" w:sz="8" w:color="CCEEFF"/>
            </w:tcBorders>
            <w:gridSpan w:val="4"/>
          </w:tcPr>
          <w:p>
            <w:pPr>
              <w:ind w:left="40"/>
              <w:spacing w:after="0" w:line="264" w:lineRule="exact"/>
              <w:rPr>
                <w:sz w:val="20"/>
                <w:szCs w:val="20"/>
                <w:color w:val="auto"/>
              </w:rPr>
            </w:pPr>
            <w:r>
              <w:rPr>
                <w:rFonts w:ascii="Arial" w:cs="Arial" w:eastAsia="Arial" w:hAnsi="Arial"/>
                <w:sz w:val="18"/>
                <w:szCs w:val="18"/>
                <w:color w:val="auto"/>
              </w:rPr>
              <w:t>Weighted-average common shares outstanding–diluted</w:t>
            </w:r>
            <w:r>
              <w:rPr>
                <w:rFonts w:ascii="Arial" w:cs="Arial" w:eastAsia="Arial" w:hAnsi="Arial"/>
                <w:sz w:val="25"/>
                <w:szCs w:val="25"/>
                <w:color w:val="auto"/>
                <w:vertAlign w:val="superscript"/>
              </w:rPr>
              <w:t>(1)</w:t>
            </w: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26,713,656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22,181,003</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__________________</w:t>
            </w:r>
          </w:p>
        </w:tc>
        <w:tc>
          <w:tcPr>
            <w:tcW w:w="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right="260" w:hanging="332"/>
        <w:spacing w:after="0" w:line="318"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three months ended March 31, 2017, 5,751,815 potentially dilutive common shares, were excluded from the weighted-average common shares outstanding for diluted net increase in net assets resulting from operations per common share because the effect of these shares would have been anti-dilutive.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229" w:lineRule="exact"/>
        <w:rPr>
          <w:sz w:val="20"/>
          <w:szCs w:val="20"/>
          <w:color w:val="auto"/>
        </w:rPr>
      </w:pPr>
    </w:p>
    <w:p>
      <w:pPr>
        <w:ind w:right="480" w:firstLine="351"/>
        <w:spacing w:after="0" w:line="264"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March 31, 2018 and December 31, 2017, the Company had not entered into any investment agreements that required it to make a future investment in a portfolio company.</w:t>
      </w:r>
    </w:p>
    <w:p>
      <w:pPr>
        <w:spacing w:after="0" w:line="181" w:lineRule="exact"/>
        <w:rPr>
          <w:sz w:val="20"/>
          <w:szCs w:val="20"/>
          <w:color w:val="auto"/>
        </w:rPr>
      </w:pPr>
    </w:p>
    <w:p>
      <w:pPr>
        <w:ind w:right="260" w:firstLine="351"/>
        <w:spacing w:after="0" w:line="302" w:lineRule="auto"/>
        <w:rPr>
          <w:sz w:val="20"/>
          <w:szCs w:val="20"/>
          <w:color w:val="auto"/>
        </w:rPr>
      </w:pPr>
      <w:r>
        <w:rPr>
          <w:rFonts w:ascii="Arial" w:cs="Arial" w:eastAsia="Arial" w:hAnsi="Arial"/>
          <w:sz w:val="16"/>
          <w:szCs w:val="16"/>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8—FINANCIAL HIGHLIGHTS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2017</w:t>
            </w:r>
          </w:p>
        </w:tc>
      </w:tr>
      <w:tr>
        <w:trPr>
          <w:trHeight w:val="250"/>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 Basic Share Data</w:t>
            </w: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(Unaudited)</w:t>
            </w: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(Unaudited)</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 value at beginning of year</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8.66</w:t>
            </w: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Net investment income/(loss)</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(0.22)</w:t>
            </w:r>
          </w:p>
        </w:tc>
      </w:tr>
      <w:tr>
        <w:trPr>
          <w:trHeight w:val="270"/>
        </w:trPr>
        <w:tc>
          <w:tcPr>
            <w:tcW w:w="7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realized loss on investments</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(1.11)</w:t>
            </w: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Realized loss on partial repurchase of 5.25% Convertible Senior Notes due 2018</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70"/>
        </w:trPr>
        <w:tc>
          <w:tcPr>
            <w:tcW w:w="7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change in unrealized appreciation/(depreciation) of investments</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0.38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1.50</w:t>
            </w:r>
          </w:p>
        </w:tc>
      </w:tr>
      <w:tr>
        <w:trPr>
          <w:trHeight w:val="270"/>
        </w:trPr>
        <w:tc>
          <w:tcPr>
            <w:tcW w:w="7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Repurchase of common stock</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r>
      <w:tr>
        <w:trPr>
          <w:trHeight w:val="244"/>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 value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8.83</w:t>
            </w:r>
          </w:p>
        </w:tc>
      </w:tr>
      <w:tr>
        <w:trPr>
          <w:trHeight w:val="20"/>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1"/>
        </w:trPr>
        <w:tc>
          <w:tcPr>
            <w:tcW w:w="7620" w:type="dxa"/>
            <w:vAlign w:val="bottom"/>
          </w:tcPr>
          <w:p>
            <w:pPr>
              <w:ind w:left="40"/>
              <w:spacing w:after="0"/>
              <w:rPr>
                <w:sz w:val="20"/>
                <w:szCs w:val="20"/>
                <w:color w:val="auto"/>
              </w:rPr>
            </w:pPr>
            <w:r>
              <w:rPr>
                <w:rFonts w:ascii="Arial" w:cs="Arial" w:eastAsia="Arial" w:hAnsi="Arial"/>
                <w:sz w:val="16"/>
                <w:szCs w:val="16"/>
                <w:color w:val="auto"/>
              </w:rPr>
              <w:t>Per share market value at end of period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4.48</w:t>
            </w:r>
          </w:p>
        </w:tc>
      </w:tr>
      <w:tr>
        <w:trPr>
          <w:trHeight w:val="3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return based on market value</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38.35 %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r>
      <w:tr>
        <w:trPr>
          <w:trHeight w:val="270"/>
        </w:trPr>
        <w:tc>
          <w:tcPr>
            <w:tcW w:w="7620" w:type="dxa"/>
            <w:vAlign w:val="bottom"/>
          </w:tcPr>
          <w:p>
            <w:pPr>
              <w:ind w:left="40"/>
              <w:spacing w:after="0"/>
              <w:rPr>
                <w:sz w:val="20"/>
                <w:szCs w:val="20"/>
                <w:color w:val="auto"/>
              </w:rPr>
            </w:pPr>
            <w:r>
              <w:rPr>
                <w:rFonts w:ascii="Arial" w:cs="Arial" w:eastAsia="Arial" w:hAnsi="Arial"/>
                <w:sz w:val="16"/>
                <w:szCs w:val="16"/>
                <w:color w:val="auto"/>
              </w:rPr>
              <w:t>Total return based on net asset value</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3.62 %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1.96 %</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outstanding at end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21,066,538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22,181,003</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b w:val="1"/>
                <w:bCs w:val="1"/>
                <w:color w:val="auto"/>
              </w:rPr>
              <w:t>Ratios/Supplemental Data:</w:t>
            </w: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at end of period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210,487,734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195,911,696</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Average net assets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204,070,345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191,439,679</w:t>
            </w:r>
          </w:p>
        </w:tc>
      </w:tr>
      <w:tr>
        <w:trPr>
          <w:trHeight w:val="3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gross operating expenses to average net assets</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10.90 %</w:t>
            </w:r>
          </w:p>
        </w:tc>
      </w:tr>
      <w:tr>
        <w:trPr>
          <w:trHeight w:val="270"/>
        </w:trPr>
        <w:tc>
          <w:tcPr>
            <w:tcW w:w="7620" w:type="dxa"/>
            <w:vAlign w:val="bottom"/>
          </w:tcPr>
          <w:p>
            <w:pPr>
              <w:ind w:left="40"/>
              <w:spacing w:after="0"/>
              <w:rPr>
                <w:sz w:val="20"/>
                <w:szCs w:val="20"/>
                <w:color w:val="auto"/>
              </w:rPr>
            </w:pPr>
            <w:r>
              <w:rPr>
                <w:rFonts w:ascii="Arial" w:cs="Arial" w:eastAsia="Arial" w:hAnsi="Arial"/>
                <w:sz w:val="16"/>
                <w:szCs w:val="16"/>
                <w:color w:val="auto"/>
              </w:rPr>
              <w:t>Ratio of incentive fee waiver to average net assets</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management fee waiver to average net assets</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r>
      <w:tr>
        <w:trPr>
          <w:trHeight w:val="290"/>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Ratio of net operating expenses to average net assets</w:t>
            </w:r>
            <w:r>
              <w:rPr>
                <w:rFonts w:ascii="Arial" w:cs="Arial" w:eastAsia="Arial" w:hAnsi="Arial"/>
                <w:sz w:val="21"/>
                <w:szCs w:val="21"/>
                <w:color w:val="auto"/>
                <w:vertAlign w:val="superscript"/>
              </w:rPr>
              <w:t>(3)</w:t>
            </w: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7.38 %</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10.52 %</w:t>
            </w:r>
          </w:p>
        </w:tc>
      </w:tr>
      <w:tr>
        <w:trPr>
          <w:trHeight w:val="237"/>
        </w:trPr>
        <w:tc>
          <w:tcPr>
            <w:tcW w:w="762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Ratio of net investment income/(loss) to average net assets</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Portfolio Turnover Ratio</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0.11 %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63"/>
        </w:trPr>
        <w:tc>
          <w:tcPr>
            <w:tcW w:w="7620" w:type="dxa"/>
            <w:vAlign w:val="bottom"/>
          </w:tcPr>
          <w:p>
            <w:pPr>
              <w:spacing w:after="0"/>
              <w:rPr>
                <w:sz w:val="20"/>
                <w:szCs w:val="20"/>
                <w:color w:val="auto"/>
              </w:rPr>
            </w:pPr>
            <w:r>
              <w:rPr>
                <w:rFonts w:ascii="Arial" w:cs="Arial" w:eastAsia="Arial" w:hAnsi="Arial"/>
                <w:sz w:val="18"/>
                <w:szCs w:val="18"/>
                <w:b w:val="1"/>
                <w:bCs w:val="1"/>
                <w:color w:val="auto"/>
              </w:rPr>
              <w:t>__________________</w:t>
            </w:r>
          </w:p>
        </w:tc>
        <w:tc>
          <w:tcPr>
            <w:tcW w:w="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spacing w:after="0"/>
              <w:rPr>
                <w:sz w:val="22"/>
                <w:szCs w:val="22"/>
                <w:color w:val="auto"/>
              </w:rPr>
            </w:pPr>
          </w:p>
        </w:tc>
      </w:tr>
    </w:tbl>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weighted-average number of shares outstanding for the relevant period.</w:t>
      </w:r>
    </w:p>
    <w:p>
      <w:pPr>
        <w:spacing w:after="0" w:line="9" w:lineRule="exact"/>
        <w:rPr>
          <w:rFonts w:ascii="Arial" w:cs="Arial" w:eastAsia="Arial" w:hAnsi="Arial"/>
          <w:sz w:val="18"/>
          <w:szCs w:val="18"/>
          <w:color w:val="auto"/>
        </w:rPr>
      </w:pPr>
    </w:p>
    <w:p>
      <w:pPr>
        <w:ind w:left="500" w:right="280" w:hanging="492"/>
        <w:spacing w:after="0" w:line="250"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year. Total return based on net asset value is based upon the change in net asset value per share between the opening and ending net asset values per share.</w:t>
      </w:r>
    </w:p>
    <w:p>
      <w:pPr>
        <w:spacing w:after="0" w:line="1" w:lineRule="exact"/>
        <w:rPr>
          <w:rFonts w:ascii="Arial" w:cs="Arial" w:eastAsia="Arial" w:hAnsi="Arial"/>
          <w:sz w:val="18"/>
          <w:szCs w:val="18"/>
          <w:color w:val="auto"/>
        </w:rPr>
      </w:pPr>
    </w:p>
    <w:p>
      <w:pPr>
        <w:ind w:left="500" w:right="120" w:hanging="492"/>
        <w:spacing w:after="0" w:line="29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Financial Highlights for periods of less than one year are annualized and the ratios of operating expenses to average net assets and net investment loss to average net assets are adjusted accordingly. Non-recurring expenses, including the $5.0 million accrued incentive fee forfeiture pursuant to the Waiver Agreement, are not annualized. For the three months ended March 31, 2018 the Company excluded $352,667 of non-recurring expenses and did not annualize the incentive fee waiver. For the three months ended March 31, 2017, the Company did not incur any non-recurring expenses. Because the ratios are calculated for the Company’s common stock taken as a whole, an individual investor’s ratios may vary from these ratios.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9" w:lineRule="exact"/>
        <w:rPr>
          <w:sz w:val="20"/>
          <w:szCs w:val="20"/>
          <w:color w:val="auto"/>
        </w:rPr>
      </w:pPr>
    </w:p>
    <w:p>
      <w:pPr>
        <w:ind w:right="60" w:firstLine="351"/>
        <w:spacing w:after="0" w:line="342"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w:t>
      </w:r>
    </w:p>
    <w:p>
      <w:pPr>
        <w:spacing w:after="0" w:line="12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Due to the Company’s election to be treated as RIC, the associated previously accrued benefits from, and provisions for, taxes from prior periods were reversed for the year ended December 31, 2015. Typically for a taxable entity, a net investment loss would generate a benefit from taxes; however, as a result of our election to be treated as a RIC, we reversed the previously accrued benefits from taxes on net investment loss from prior periods. Typically for a taxable entity, net realized capital gains would generate a provision for taxes; however, as a result of our election to be treated as a RIC, we reversed the previously accrued provisions for taxes on net realized capital gains from prior periods.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192" w:lineRule="exact"/>
        <w:rPr>
          <w:sz w:val="20"/>
          <w:szCs w:val="20"/>
          <w:color w:val="auto"/>
        </w:rPr>
      </w:pPr>
    </w:p>
    <w:p>
      <w:pPr>
        <w:jc w:val="both"/>
        <w:ind w:right="140" w:firstLine="351"/>
        <w:spacing w:after="0" w:line="276" w:lineRule="auto"/>
        <w:rPr>
          <w:sz w:val="20"/>
          <w:szCs w:val="20"/>
          <w:color w:val="auto"/>
        </w:rPr>
      </w:pPr>
      <w:r>
        <w:rPr>
          <w:rFonts w:ascii="Arial" w:cs="Arial" w:eastAsia="Arial" w:hAnsi="Arial"/>
          <w:sz w:val="17"/>
          <w:szCs w:val="17"/>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Arial" w:cs="Arial" w:eastAsia="Arial" w:hAnsi="Arial"/>
          <w:sz w:val="17"/>
          <w:szCs w:val="17"/>
          <w:i w:val="1"/>
          <w:iCs w:val="1"/>
          <w:color w:val="auto"/>
        </w:rPr>
        <w:t>i.e.</w:t>
      </w:r>
      <w:r>
        <w:rPr>
          <w:rFonts w:ascii="Arial" w:cs="Arial" w:eastAsia="Arial" w:hAnsi="Arial"/>
          <w:sz w:val="17"/>
          <w:szCs w:val="17"/>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173" w:lineRule="exact"/>
        <w:rPr>
          <w:sz w:val="20"/>
          <w:szCs w:val="20"/>
          <w:color w:val="auto"/>
        </w:rPr>
      </w:pPr>
    </w:p>
    <w:p>
      <w:pPr>
        <w:ind w:firstLine="351"/>
        <w:spacing w:after="0" w:line="271" w:lineRule="auto"/>
        <w:rPr>
          <w:sz w:val="20"/>
          <w:szCs w:val="20"/>
          <w:color w:val="auto"/>
        </w:rPr>
      </w:pPr>
      <w:r>
        <w:rPr>
          <w:rFonts w:ascii="Arial" w:cs="Arial" w:eastAsia="Arial" w:hAnsi="Arial"/>
          <w:sz w:val="17"/>
          <w:szCs w:val="17"/>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 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w:t>
      </w:r>
    </w:p>
    <w:p>
      <w:pPr>
        <w:spacing w:after="0" w:line="179" w:lineRule="exact"/>
        <w:rPr>
          <w:sz w:val="20"/>
          <w:szCs w:val="20"/>
          <w:color w:val="auto"/>
        </w:rPr>
      </w:pPr>
    </w:p>
    <w:p>
      <w:pPr>
        <w:ind w:right="120" w:firstLine="351"/>
        <w:spacing w:after="0" w:line="297" w:lineRule="auto"/>
        <w:rPr>
          <w:sz w:val="20"/>
          <w:szCs w:val="20"/>
          <w:color w:val="auto"/>
        </w:rPr>
      </w:pPr>
      <w:r>
        <w:rPr>
          <w:rFonts w:ascii="Arial" w:cs="Arial" w:eastAsia="Arial" w:hAnsi="Arial"/>
          <w:sz w:val="16"/>
          <w:szCs w:val="16"/>
          <w:color w:val="auto"/>
        </w:rPr>
        <w:t>The GSVC Holdings are C 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 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w:t>
      </w:r>
    </w:p>
    <w:p>
      <w:pPr>
        <w:spacing w:after="0" w:line="15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As of March 31, 2018 and December 31, 2017, the Company recorded a deferred tax liability of approximately $7.3 million and $7.6 million, respectively, of which approximately $6.1 million and $6.1 million have been recorded in the event that such gains are recognized by December 31, 2018, and approximately $1.2 million and $1.5 million relate to the difference in the book and tax basis of certain equity investments and net tax operating losses held by the GSVC Holdings.</w:t>
      </w:r>
    </w:p>
    <w:p>
      <w:pPr>
        <w:spacing w:after="0" w:line="18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jc w:val="both"/>
        <w:ind w:right="40" w:firstLine="351"/>
        <w:spacing w:after="0" w:line="312" w:lineRule="auto"/>
        <w:rPr>
          <w:sz w:val="20"/>
          <w:szCs w:val="20"/>
          <w:color w:val="auto"/>
        </w:rPr>
      </w:pPr>
      <w:r>
        <w:rPr>
          <w:rFonts w:ascii="Arial" w:cs="Arial" w:eastAsia="Arial" w:hAnsi="Arial"/>
          <w:sz w:val="16"/>
          <w:szCs w:val="16"/>
          <w:color w:val="auto"/>
        </w:rPr>
        <w:t>The Company and the GSVC Holdings identified their major tax jurisdictions as U.S. federal and California and may be subject to the taxing authorities’ examination for the tax years 2014–2017 and 2013–2017, respectively. Further, the Company and the GSVC Holdings accrue all interest and penalties related to uncertain tax positions as incurred. As of March 31, 2018, there were no interest or penalties incurred related to uncertain tax positions.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 Convertible Senior Notes due 2018</w:t>
      </w:r>
    </w:p>
    <w:p>
      <w:pPr>
        <w:spacing w:after="0" w:line="229" w:lineRule="exact"/>
        <w:rPr>
          <w:sz w:val="20"/>
          <w:szCs w:val="20"/>
          <w:color w:val="auto"/>
        </w:rPr>
      </w:pPr>
    </w:p>
    <w:p>
      <w:pPr>
        <w:ind w:right="60" w:firstLine="351"/>
        <w:spacing w:after="0" w:line="270" w:lineRule="auto"/>
        <w:rPr>
          <w:sz w:val="20"/>
          <w:szCs w:val="20"/>
          <w:color w:val="auto"/>
        </w:rPr>
      </w:pPr>
      <w:r>
        <w:rPr>
          <w:rFonts w:ascii="Arial" w:cs="Arial" w:eastAsia="Arial" w:hAnsi="Arial"/>
          <w:sz w:val="17"/>
          <w:szCs w:val="17"/>
          <w:color w:val="auto"/>
        </w:rPr>
        <w:t>On September 17, 2013, the Company issued $69.0 million aggregate principal amount of convertible senior notes, which bear interest at a fixed rate of 5.25% per year, payable semi-annually in arrears on March 15 and September 15 of each year. The 5.25% Convertible Senior Notes mature on September 15, 2018 (the "5.25% Convertible Senior Notes due 2018"), unless previously repurchased or converted in accordance with their terms. The Company does not have the right to redeem the 5.25% Convertible Senior Notes due 2018 prior to maturity. The indenture governing the 5.25% Convertible Senior Notes due 2018 contains customary financial reporting requirements and contains certain restrictions on mergers, consolidations, and asset sales. The indenture also contains certain events of default, the occurrence of which may lead to the 5.25% Convertible Senior Notes due 2018 being due and payable before their maturity or immediately. The 5.25% Convertible Senior Notes due 2018 are convertible into shares of the Company’s common stock based on a conversion rate of 83.3596 shares of the Company’s common stock per $1,000 of principal amount of the 5.25% Convertible Senior Notes due 2018, which is equivalent to a conversion price of approximately $12.00 per share of common stock.</w:t>
      </w:r>
    </w:p>
    <w:p>
      <w:pPr>
        <w:spacing w:after="0" w:line="182" w:lineRule="exact"/>
        <w:rPr>
          <w:sz w:val="20"/>
          <w:szCs w:val="20"/>
          <w:color w:val="auto"/>
        </w:rPr>
      </w:pPr>
    </w:p>
    <w:p>
      <w:pPr>
        <w:ind w:right="40" w:firstLine="351"/>
        <w:spacing w:after="0" w:line="276" w:lineRule="auto"/>
        <w:rPr>
          <w:sz w:val="20"/>
          <w:szCs w:val="20"/>
          <w:color w:val="auto"/>
        </w:rPr>
      </w:pPr>
      <w:r>
        <w:rPr>
          <w:rFonts w:ascii="Arial" w:cs="Arial" w:eastAsia="Arial" w:hAnsi="Arial"/>
          <w:sz w:val="17"/>
          <w:szCs w:val="17"/>
          <w:color w:val="auto"/>
        </w:rPr>
        <w:t>On December 15, 2017, the Company announced the commencement of a cash tender offer (the “Tender Offer”) to purchase any and all of its $69.0 million aggregate principal amount of outstanding 5.25% Convertible Senior Notes due 2018. As of the expiration of the Tender Offer on January 17, 2018, approximately $4.8 million aggregate principal amount of the 5.25% Convertible Senior Notes due 2018, representing approximately 7.0% of the outstanding 5.25% Convertible Senior Notes due 2018, were validly tendered and not validly withdrawn pursuant to the Tender Offer. On March 27, 2018, the Company repurchased an additional $14.2 million aggregate principal amount of the outstanding 5.25% Convertible Senior Notes due 2018.</w:t>
      </w:r>
    </w:p>
    <w:p>
      <w:pPr>
        <w:spacing w:after="0" w:line="173" w:lineRule="exact"/>
        <w:rPr>
          <w:sz w:val="20"/>
          <w:szCs w:val="20"/>
          <w:color w:val="auto"/>
        </w:rPr>
      </w:pPr>
    </w:p>
    <w:p>
      <w:pPr>
        <w:ind w:right="240" w:firstLine="351"/>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5.25% Convertible Senior Notes due 2018 to the balance shown on the Condensed Consolidated Statements of Assets and Liabilities.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principal amount of 5.25% Convertible Senior Notes due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49,982,000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69,000,000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Unamortized embedded derivative discount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(111,143)</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deduction of deferred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(506,308)</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5.25% Convertible Senior Notes due 2018 Payable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49,690,992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68,382,549</w:t>
            </w:r>
          </w:p>
        </w:tc>
      </w:tr>
      <w:tr>
        <w:trPr>
          <w:trHeight w:val="27"/>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52825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82" w:lineRule="exact"/>
        <w:rPr>
          <w:sz w:val="20"/>
          <w:szCs w:val="20"/>
          <w:color w:val="auto"/>
        </w:rPr>
      </w:pPr>
    </w:p>
    <w:p>
      <w:pPr>
        <w:ind w:right="700" w:firstLine="351"/>
        <w:spacing w:after="0" w:line="277" w:lineRule="auto"/>
        <w:rPr>
          <w:sz w:val="20"/>
          <w:szCs w:val="20"/>
          <w:color w:val="auto"/>
        </w:rPr>
      </w:pPr>
      <w:r>
        <w:rPr>
          <w:rFonts w:ascii="Arial" w:cs="Arial" w:eastAsia="Arial" w:hAnsi="Arial"/>
          <w:sz w:val="18"/>
          <w:szCs w:val="18"/>
          <w:color w:val="auto"/>
        </w:rPr>
        <w:t>As of March 31, 2018 and December 31, 2017, the principal amount of the 5.25% Convertible Senior Notes due 2018 exceeded the value of the underlying shares multiplied by the per share closing price of the Company’s common stock.</w:t>
      </w:r>
    </w:p>
    <w:p>
      <w:pPr>
        <w:spacing w:after="0" w:line="17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The 5.25% Convertible Senior Notes due 2018 are the Company’s senior, unsecured obligations and rank senior in right of payment to any future indebtedness that is expressly subordinated in right of payment to the 5.25% Convertible Senior Notes due 2018, equal in right of payment to the 4.75% Convertible Senior Notes due 2023 (defined below) and any future unsecured indebtedness that is not so subordinated to the 5.25% Convertible Senior Notes due 2018, effectively junior to any existing and future secured indebtedness to the extent of the value of the assets securing such indebtedness, including, without limitation, any borrowings under the Credit Facility (defined below), and structurally junior to all future indebtedness (including trade payables) incurred by the Company’s subsidiaries.</w:t>
      </w:r>
    </w:p>
    <w:p>
      <w:pPr>
        <w:spacing w:after="0" w:line="193"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5.25% Convertible Senior Notes due 2018 contained an interest make-whole payment provision pursuant to which holders who converted their notes prior to September 15, 2016, would receive, in addition to a number of shares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Company’s common stock calculated at the applicable conversion rate for the principal amount of 5.25% Convertible Senior Notes due 2018 being converted, the cash proceeds from the sale by the escrow agent of the portion of the U.S. Treasury strips in the escrow account that were remaining with respect to any of the first six interest payments that had not been made on the 5.25% Convertible Senior Notes due 2018 being converted. Under FASB ASC 815-10-15-74(a), the interest make-whole payment was considered an embedded derivative and was separated from the host contract, the 5.25% Convertible Senior Notes due 2018, and carried at fair value. The interest make-whole payment provision expired on September 15, 2016 rendering the embedded derivative with no value; however the original value of the embedded derivative of $0.7 million continues to be amortized over the life of the 5.25% Convertible Senior Notes due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March 28, 2018, the Company issued $40.0 million aggregate principal amount of convertible senior notes, which bear interest at a fixed rate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4.75% per year, payable semi-annually in arrears on March 31 and September 30 of each year, commencing on September 30, 2018. The 4.75%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Notes mature on March 28, 2023 (the "4.75% Convertible Senior Notes due 2023"), unless previously repurchased or converted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terms. The Company does not have the right to redeem the 4.75% Convertible Senior Notes due 2023 prior to March 27, 2021. On or after March 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the Company may redeem the 4.75% Convertible Senior Notes due 2023 for cash, in whole or from time to time in part, at the Company’s option if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closing sale price of the Company’s common stock for at least 15 trading days (whether or not consecutive) during the period of any 20 consecutive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trading days is greater than or equal to 150% of the conversion price on each applicable trading day, (ii) no public announcement of a pending, proposed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intended fundamental change has occurred which has not been abandoned, terminated or consummated, and (iii) no event of default under the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governing the 4.75% Convertible Senior Notes due 2023, and no event that with the passage of time or giving of notice would constitute an event of default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such indenture, has occurred or exists.</w:t>
      </w:r>
    </w:p>
    <w:p>
      <w:pPr>
        <w:spacing w:after="0" w:line="2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initial conversion rate for the 4.75% Convertible Senior Notes due 2023 is 93.2836 shares of the Company’s common stock for each $1,000 principal amount of 4.75% Convertible Senior Notes due 2023, which represents an initial conversion price of approximately $10.72 per share. Following certain corporate transactions that occur on or prior to the stated maturity date, the Company will, in certain circumstances, increase the conversion rate for a holder that elects to convert its 4.75% Convertible Senior Notes due 2023 in connection with such a corporate transaction. If a fundamental change, as defined herein, occurs prior to the stated maturity date, holders may require the Company to purchase for cash all or any portion of their 4.75% Convertible Senior Notes due 2023 at a fundamental change purchase price equal to 100% of the principal amount of the Notes to be purchased, plus accrued and unpaid interest to, but excluding, the fundamental change purchase date</w:t>
      </w:r>
    </w:p>
    <w:p>
      <w:pPr>
        <w:spacing w:after="0" w:line="178" w:lineRule="exact"/>
        <w:rPr>
          <w:sz w:val="20"/>
          <w:szCs w:val="20"/>
          <w:color w:val="auto"/>
        </w:rPr>
      </w:pPr>
    </w:p>
    <w:p>
      <w:pPr>
        <w:ind w:right="140" w:firstLine="351"/>
        <w:spacing w:after="0" w:line="264" w:lineRule="auto"/>
        <w:rPr>
          <w:sz w:val="20"/>
          <w:szCs w:val="20"/>
          <w:color w:val="auto"/>
        </w:rPr>
      </w:pPr>
      <w:r>
        <w:rPr>
          <w:rFonts w:ascii="Arial" w:cs="Arial" w:eastAsia="Arial" w:hAnsi="Arial"/>
          <w:sz w:val="18"/>
          <w:szCs w:val="18"/>
          <w:color w:val="auto"/>
        </w:rPr>
        <w:t>The indenture governing the 4.75% Convertible Senior Notes due 2023 contains customary financial reporting requirements and contains certain restrictions on mergers, consolidations, and asset sales. The indenture also contains certain events of default, the occurrence of which may lead to the 4.75% Convertible Senior Notes due 2023 being due and payable before their maturity or immediately.</w:t>
      </w:r>
    </w:p>
    <w:p>
      <w:pPr>
        <w:spacing w:after="0" w:line="181" w:lineRule="exact"/>
        <w:rPr>
          <w:sz w:val="20"/>
          <w:szCs w:val="20"/>
          <w:color w:val="auto"/>
        </w:rPr>
      </w:pPr>
    </w:p>
    <w:p>
      <w:pPr>
        <w:ind w:right="220" w:firstLine="351"/>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4.75% Convertible Senior Notes due 2023 to the balance shown on the Condensed Consolidated Statements of Assets and Liabilities.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principal amount of 4.75% Convertible Senior Notes due 2023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40,000,000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Direct deduction of deferred debt issuance costs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(1,837,096)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4.75% Convertible Senior Notes due 2023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38,162,904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8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52825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82" w:lineRule="exact"/>
        <w:rPr>
          <w:sz w:val="20"/>
          <w:szCs w:val="20"/>
          <w:color w:val="auto"/>
        </w:rPr>
      </w:pPr>
    </w:p>
    <w:p>
      <w:pPr>
        <w:ind w:right="160" w:firstLine="351"/>
        <w:spacing w:after="0" w:line="277" w:lineRule="auto"/>
        <w:rPr>
          <w:sz w:val="20"/>
          <w:szCs w:val="20"/>
          <w:color w:val="auto"/>
        </w:rPr>
      </w:pPr>
      <w:r>
        <w:rPr>
          <w:rFonts w:ascii="Arial" w:cs="Arial" w:eastAsia="Arial" w:hAnsi="Arial"/>
          <w:sz w:val="18"/>
          <w:szCs w:val="18"/>
          <w:color w:val="auto"/>
        </w:rPr>
        <w:t>As of March 31, 2018 the principal amount of the 4.75% Convertible Senior Notes due 2023 exceeded the value of the underlying shares multiplied by the per share closing price of the Company’s common stock.</w:t>
      </w:r>
    </w:p>
    <w:p>
      <w:pPr>
        <w:spacing w:after="0" w:line="170" w:lineRule="exact"/>
        <w:rPr>
          <w:sz w:val="20"/>
          <w:szCs w:val="20"/>
          <w:color w:val="auto"/>
        </w:rPr>
      </w:pPr>
    </w:p>
    <w:p>
      <w:pPr>
        <w:ind w:right="420" w:firstLine="351"/>
        <w:spacing w:after="0" w:line="277" w:lineRule="auto"/>
        <w:rPr>
          <w:sz w:val="20"/>
          <w:szCs w:val="20"/>
          <w:color w:val="auto"/>
        </w:rPr>
      </w:pPr>
      <w:r>
        <w:rPr>
          <w:rFonts w:ascii="Arial" w:cs="Arial" w:eastAsia="Arial" w:hAnsi="Arial"/>
          <w:sz w:val="18"/>
          <w:szCs w:val="18"/>
          <w:color w:val="auto"/>
        </w:rPr>
        <w:t>The 4.75% Convertible Senior Notes due 2023 are the Company’s general, unsecured, senior obligations and rank senior in right of payment to any future indebtedness that is expressly subordinated in right of payment to the 4.75% Convertible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Senior Notes due 2023, equal in right of payment to any existing and future unsecured indebtedness that is not so subordinated to the 4.75% Convertible Senior Notes due 2023, including, without limitation, the 5.25% Convertible Senior Notes due 2018, effectively junior to any future secured indebtedness to the extent of the value of the assets securing such indebtedness, including, without limitation, any borrowings under the Credit Facility (defined below), and structurally junior to all future indebtedness (including trade payables) incurred by the Company’s subsidiaries. For the period from the initial issuance of the 4.75% Convertible Senior Notes due 2023 to, and including, March 27, 2019, the Company has agreed not to incur any indebtedness other than certain permitted debt, including, without limitation, up to $12.0 million in borrowings under the Credit Facility.</w:t>
      </w:r>
    </w:p>
    <w:p>
      <w:pPr>
        <w:spacing w:after="0" w:line="17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connection with the issuance of the 4.75% Convertible Senior Notes due 2023 , the Company is required under the terms of the Credit Facility to deposit any proceeds from the 4.75% Convertible Senior Notes due 2023 offering into an account at Western Alliance Bank and is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Alliance Bank Credit Facility</w:t>
      </w:r>
    </w:p>
    <w:p>
      <w:pPr>
        <w:spacing w:after="0" w:line="229"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The Company entered into a Loan and Security Agreement, effective May 31, 2017 and as amended on March 22, 2018 (the “Loan Agreement”), with Western Alliance Bank, pursuant to which Western Alliance Bank agreed to provide the Company with a $12.0 million senior secured revolving credit facility (the “Credit Facility”).</w:t>
      </w:r>
    </w:p>
    <w:p>
      <w:pPr>
        <w:spacing w:after="0" w:line="181" w:lineRule="exact"/>
        <w:rPr>
          <w:sz w:val="20"/>
          <w:szCs w:val="20"/>
          <w:color w:val="auto"/>
        </w:rPr>
      </w:pPr>
    </w:p>
    <w:p>
      <w:pPr>
        <w:ind w:right="100" w:firstLine="351"/>
        <w:spacing w:after="0" w:line="312" w:lineRule="auto"/>
        <w:rPr>
          <w:sz w:val="20"/>
          <w:szCs w:val="20"/>
          <w:color w:val="auto"/>
        </w:rPr>
      </w:pPr>
      <w:r>
        <w:rPr>
          <w:rFonts w:ascii="Arial" w:cs="Arial" w:eastAsia="Arial" w:hAnsi="Arial"/>
          <w:sz w:val="16"/>
          <w:szCs w:val="16"/>
          <w:color w:val="auto"/>
        </w:rPr>
        <w:t>The Credit Facility, among other things, matures on May 31, 2019 and bears interest at a per annum rate equal to the prime rate plus 3.50%. In addition, a facility fee of $60,000 was charged upon closing of the Credit Facility, and the Loan Agreement requires payment of a fee for unused amounts during the revolving period in an amount equal to 0.50% per annum of the average unused portion of the Credit Facility payable quarterly in arrears.</w:t>
      </w:r>
    </w:p>
    <w:p>
      <w:pPr>
        <w:spacing w:after="0" w:line="147" w:lineRule="exact"/>
        <w:rPr>
          <w:sz w:val="20"/>
          <w:szCs w:val="20"/>
          <w:color w:val="auto"/>
        </w:rPr>
      </w:pPr>
    </w:p>
    <w:p>
      <w:pPr>
        <w:ind w:right="60" w:firstLine="351"/>
        <w:spacing w:after="0" w:line="270" w:lineRule="auto"/>
        <w:rPr>
          <w:sz w:val="20"/>
          <w:szCs w:val="20"/>
          <w:color w:val="auto"/>
        </w:rPr>
      </w:pPr>
      <w:r>
        <w:rPr>
          <w:rFonts w:ascii="Arial" w:cs="Arial" w:eastAsia="Arial" w:hAnsi="Arial"/>
          <w:sz w:val="17"/>
          <w:szCs w:val="17"/>
          <w:color w:val="auto"/>
        </w:rPr>
        <w:t>Under the Loan Agreement, the Company has made certain customary representations and warranties and is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111.0 million in the aggregate through maturity of the 5.25% Convertible Senior Notes due 2018 on September 15, 2018, and $70.0 million in the aggregate thereafter),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business development company status.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 As of March 31, 2018, the Company was in compliance with all covenants of the Credit Facility.</w:t>
      </w:r>
    </w:p>
    <w:p>
      <w:pPr>
        <w:spacing w:after="0" w:line="178" w:lineRule="exact"/>
        <w:rPr>
          <w:sz w:val="20"/>
          <w:szCs w:val="20"/>
          <w:color w:val="auto"/>
        </w:rPr>
      </w:pPr>
    </w:p>
    <w:p>
      <w:pPr>
        <w:ind w:right="640" w:firstLine="351"/>
        <w:spacing w:after="0" w:line="277" w:lineRule="auto"/>
        <w:rPr>
          <w:sz w:val="20"/>
          <w:szCs w:val="20"/>
          <w:color w:val="auto"/>
        </w:rPr>
      </w:pPr>
      <w:r>
        <w:rPr>
          <w:rFonts w:ascii="Arial" w:cs="Arial" w:eastAsia="Arial" w:hAnsi="Arial"/>
          <w:sz w:val="18"/>
          <w:szCs w:val="18"/>
          <w:color w:val="auto"/>
        </w:rPr>
        <w:t>The Credit Facility is secured by substantially all of the Company’s property and assets. As of March 31, 2018, the Company had no borrowings outstanding under the Credit Facility.</w:t>
      </w:r>
    </w:p>
    <w:p>
      <w:pPr>
        <w:spacing w:after="0" w:line="170" w:lineRule="exact"/>
        <w:rPr>
          <w:sz w:val="20"/>
          <w:szCs w:val="20"/>
          <w:color w:val="auto"/>
        </w:rPr>
      </w:pPr>
    </w:p>
    <w:p>
      <w:pPr>
        <w:ind w:right="500" w:firstLine="351"/>
        <w:spacing w:after="0" w:line="277" w:lineRule="auto"/>
        <w:rPr>
          <w:sz w:val="20"/>
          <w:szCs w:val="20"/>
          <w:color w:val="auto"/>
        </w:rPr>
      </w:pPr>
      <w:r>
        <w:rPr>
          <w:rFonts w:ascii="Arial" w:cs="Arial" w:eastAsia="Arial" w:hAnsi="Arial"/>
          <w:sz w:val="18"/>
          <w:szCs w:val="18"/>
          <w:color w:val="auto"/>
        </w:rPr>
        <w:t>For the three months ended March 31, 2018, the Company had average borrowings outstanding under the Credit Facility of $0. For the year ended December 31, 2017 the Company had average borrowings outstanding of $460,274.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Activity</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April 1, 2018 through May 9, 2018, the Company did not purchase or sell any investments.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April 3, 2018, Spotify Technology S.A., registered for resale up to 55,731,480 ordinary shares by the registered shareholders, including the Company, in a direct listing.</w:t>
      </w:r>
    </w:p>
    <w:p>
      <w:pPr>
        <w:spacing w:after="0" w:line="17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Effective April 9, 2018, the term of Ozy Media Inc.'s notes were extended through the issuance of a new convertible promissory note, which extended the maturity date of the existing notes to October 31, 2018, or December 31, 2018 if certain conditions are satisfied. In consideration for amending and restating the existing notes, the Company was issued warrants exercisable for a certain number of shares of Ozy Media Inc.'s common stock.</w:t>
      </w:r>
    </w:p>
    <w:p>
      <w:pPr>
        <w:spacing w:after="0" w:line="14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April 16, 2018, Adecco Group, a Swiss staffing company, announced that it is acquiring technology education provider General Assembly Space, Inc. for $412.5 million, including debt financing. Additional financial terms of the acquisition have not been disclosed. The transaction is expected to close in the second quarter of 2018 pending regulatory approvals. As a result of the transaction, the Company expects to recover an amount equal to the fair value of its investment in General Assembly Space, Inc. as of March 31, 2018.</w:t>
      </w:r>
    </w:p>
    <w:p>
      <w:pPr>
        <w:spacing w:after="0" w:line="187" w:lineRule="exact"/>
        <w:rPr>
          <w:sz w:val="20"/>
          <w:szCs w:val="20"/>
          <w:color w:val="auto"/>
        </w:rPr>
      </w:pPr>
    </w:p>
    <w:p>
      <w:pPr>
        <w:ind w:firstLine="351"/>
        <w:spacing w:after="0" w:line="276" w:lineRule="auto"/>
        <w:rPr>
          <w:sz w:val="20"/>
          <w:szCs w:val="20"/>
          <w:color w:val="auto"/>
        </w:rPr>
      </w:pPr>
      <w:r>
        <w:rPr>
          <w:rFonts w:ascii="Arial" w:cs="Arial" w:eastAsia="Arial" w:hAnsi="Arial"/>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Under the Share Repurchase Program, the Company may repurchase its outstanding common stock in the open market provided that the Company complies with the prohibitions under its insider trading policies and procedures and the applicable provisions of the 1940 Act and the Exchange Act.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April 1, 2018 through May 9, 2018, the Company did not repurchase any additional shares under the Share Repurchase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12—SUPPLEMENTAL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Unconsolidated Subsidiaries</w:t>
      </w:r>
    </w:p>
    <w:p>
      <w:pPr>
        <w:spacing w:after="0" w:line="229"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March 31, 2018, the Company had investments in at least one portfolio company considered to be a significant subsidiary under SEC Regulation S-X Rule 10-01(b)(1) and Regulation S-X Rule 4-08(g). Below is summarized, unaudited, comparative financial information for the Company’s unconsolidated significant subsidiaries.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Income Statement Data for the Period Ended:</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1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March 31, 2017 (Unaudited)</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5,279,160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1,125,028</w:t>
            </w:r>
          </w:p>
        </w:tc>
        <w:tc>
          <w:tcPr>
            <w:tcW w:w="0" w:type="dxa"/>
            <w:vAlign w:val="bottom"/>
          </w:tcPr>
          <w:p>
            <w:pPr>
              <w:spacing w:after="0"/>
              <w:rPr>
                <w:sz w:val="1"/>
                <w:szCs w:val="1"/>
                <w:color w:val="auto"/>
              </w:rPr>
            </w:pPr>
          </w:p>
        </w:tc>
      </w:tr>
      <w:tr>
        <w:trPr>
          <w:trHeight w:val="237"/>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20"/>
                <w:szCs w:val="20"/>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4,277,717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1,101,751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(1,788,903)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(185,648)</w:t>
            </w:r>
          </w:p>
        </w:tc>
        <w:tc>
          <w:tcPr>
            <w:tcW w:w="0" w:type="dxa"/>
            <w:vAlign w:val="bottom"/>
          </w:tcPr>
          <w:p>
            <w:pPr>
              <w:spacing w:after="0"/>
              <w:rPr>
                <w:sz w:val="1"/>
                <w:szCs w:val="1"/>
                <w:color w:val="auto"/>
              </w:rPr>
            </w:pPr>
          </w:p>
        </w:tc>
      </w:tr>
      <w:tr>
        <w:trPr>
          <w:trHeight w:val="237"/>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Total net loss including net income/(loss) attributable to non-controlling interest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(1,788,903)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(185,648)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income/(loss) attributable to non-controlling interest</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8"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without limitation, statements as to:</w:t>
      </w:r>
    </w:p>
    <w:p>
      <w:pPr>
        <w:spacing w:after="0" w:line="1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66"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right="5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21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26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in this quarterly report on Form 10-Q and our annual report on Form 10-K, and in our filings with the SEC.</w:t>
      </w:r>
    </w:p>
    <w:p>
      <w:pPr>
        <w:spacing w:after="0" w:line="211" w:lineRule="exact"/>
        <w:rPr>
          <w:sz w:val="20"/>
          <w:szCs w:val="20"/>
          <w:color w:val="auto"/>
        </w:rPr>
      </w:pPr>
    </w:p>
    <w:p>
      <w:pPr>
        <w:ind w:right="60" w:firstLine="351"/>
        <w:spacing w:after="0" w:line="29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this quarterly report 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Form 10-Q and our annual report on Form 10-K, in the “Risk Factors” section. You should not place undue reliance on these forward-looking statements, which apply only as of the date of this quarterly report on Form 10-Q. 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We are an externally managed, non-diversified closed-end management investment company that has elected to be regulated as a BDC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73" w:lineRule="exact"/>
        <w:rPr>
          <w:sz w:val="20"/>
          <w:szCs w:val="20"/>
          <w:color w:val="auto"/>
        </w:rPr>
      </w:pPr>
    </w:p>
    <w:p>
      <w:pPr>
        <w:ind w:right="60" w:firstLine="351"/>
        <w:spacing w:after="0" w:line="264" w:lineRule="auto"/>
        <w:rPr>
          <w:sz w:val="20"/>
          <w:szCs w:val="20"/>
          <w:color w:val="auto"/>
        </w:rPr>
      </w:pPr>
      <w:r>
        <w:rPr>
          <w:rFonts w:ascii="Arial" w:cs="Arial" w:eastAsia="Arial" w:hAnsi="Arial"/>
          <w:sz w:val="18"/>
          <w:szCs w:val="18"/>
          <w:color w:val="auto"/>
        </w:rPr>
        <w:t>We acquire our investments in portfolio companies through offerings of the prospective portfolio companies, transactions on secondary marketplaces for private companies and negotiations with selling stockholders. Our investment activities are managed by GSV Asset Management. GSV Capital Service Company provides the administrative services necessary for us to operate.</w:t>
      </w:r>
    </w:p>
    <w:p>
      <w:pPr>
        <w:spacing w:after="0" w:line="181" w:lineRule="exact"/>
        <w:rPr>
          <w:sz w:val="20"/>
          <w:szCs w:val="20"/>
          <w:color w:val="auto"/>
        </w:rPr>
      </w:pPr>
    </w:p>
    <w:p>
      <w:pPr>
        <w:ind w:right="280" w:firstLine="351"/>
        <w:spacing w:after="0" w:line="273" w:lineRule="auto"/>
        <w:rPr>
          <w:sz w:val="20"/>
          <w:szCs w:val="20"/>
          <w:color w:val="auto"/>
        </w:rPr>
      </w:pPr>
      <w:r>
        <w:rPr>
          <w:rFonts w:ascii="Arial" w:cs="Arial" w:eastAsia="Arial" w:hAnsi="Arial"/>
          <w:sz w:val="17"/>
          <w:szCs w:val="17"/>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178"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173"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GSV Asset Management’s investment professionals to focus our investments in companies and industries that are more likely to result in beneficial returns to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 Waiver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2, 2018, GSV Asset Management voluntarily agreed to reduce the fees payable under the Investment Advisory Agreement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Waiver Agreement. The Waiver Agreement is effective February 1, 2018 and changes the fee structure set forth in the Investment Advisory Agreement by:</w:t>
      </w:r>
    </w:p>
    <w:p>
      <w:pPr>
        <w:spacing w:after="0" w:line="32" w:lineRule="exact"/>
        <w:rPr>
          <w:sz w:val="20"/>
          <w:szCs w:val="20"/>
          <w:color w:val="auto"/>
        </w:rPr>
      </w:pPr>
    </w:p>
    <w:p>
      <w:pPr>
        <w:ind w:firstLine="8"/>
        <w:spacing w:after="0" w:line="254" w:lineRule="auto"/>
        <w:tabs>
          <w:tab w:leader="none" w:pos="2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the base management fee from 2.00% to 1.75%; and (ii) creating certain high-water marks that must be reached before we pay any incentive fee to GSV Asset Management. In addition to the foregoing changes to the fee structure, GSV Asset Management also agreed to forfeit $5.0 million of previously accrued but unpaid incentive fees. “Note 3 - Related-Party Arrangements” to our condensed consolidated financial statements as of March 31, 2018 for more information regarding the Waiver Agreement.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2018, of all of our portfolio investments, excluding U.S. Treasury bills, was $212,273,003.</w:t>
      </w:r>
    </w:p>
    <w:p>
      <w:pPr>
        <w:spacing w:after="0" w:line="181" w:lineRule="exact"/>
        <w:rPr>
          <w:sz w:val="20"/>
          <w:szCs w:val="20"/>
          <w:color w:val="auto"/>
        </w:rPr>
      </w:pPr>
    </w:p>
    <w:p>
      <w:pPr>
        <w:ind w:right="600" w:firstLine="351"/>
        <w:spacing w:after="0" w:line="277" w:lineRule="auto"/>
        <w:rPr>
          <w:sz w:val="20"/>
          <w:szCs w:val="20"/>
          <w:color w:val="auto"/>
        </w:rPr>
      </w:pPr>
      <w:r>
        <w:rPr>
          <w:rFonts w:ascii="Arial" w:cs="Arial" w:eastAsia="Arial" w:hAnsi="Arial"/>
          <w:sz w:val="18"/>
          <w:szCs w:val="18"/>
          <w:color w:val="auto"/>
        </w:rPr>
        <w:t>During the three months ended March 31, 2018, the Company funded investments in an aggregate amount of $100,000 (not including capitalized transaction costs) as shown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Transaction Date</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2"/>
              </w:rPr>
              <w:t>Gross Payments</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Ozy Media, Inc.</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4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Promissory Note 10% Due 2/12/2018</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1/12/2018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44"/>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
        </w:trPr>
        <w:tc>
          <w:tcPr>
            <w:tcW w:w="4000" w:type="dxa"/>
            <w:vAlign w:val="bottom"/>
            <w:vMerge w:val="restart"/>
          </w:tcPr>
          <w:p>
            <w:pPr>
              <w:jc w:val="right"/>
              <w:ind w:right="2461"/>
              <w:spacing w:after="0"/>
              <w:rPr>
                <w:sz w:val="20"/>
                <w:szCs w:val="20"/>
                <w:color w:val="auto"/>
              </w:rPr>
            </w:pPr>
            <w:r>
              <w:rPr>
                <w:rFonts w:ascii="Arial" w:cs="Arial" w:eastAsia="Arial" w:hAnsi="Arial"/>
                <w:sz w:val="16"/>
                <w:szCs w:val="16"/>
                <w:b w:val="1"/>
                <w:bCs w:val="1"/>
                <w:color w:val="auto"/>
                <w:w w:val="89"/>
              </w:rPr>
              <w:t>__________________</w:t>
            </w:r>
          </w:p>
        </w:tc>
        <w:tc>
          <w:tcPr>
            <w:tcW w:w="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right="20" w:hanging="492"/>
        <w:spacing w:after="0" w:line="250"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the period, Ozy Media, Inc.’s obligations under its financing arrangements with the Company became past due. Effective April 9, 2018, the term of Ozy Media Inc.'s notes were extended through the issuance of a new convertible promissory note, which extended the maturity date of the existing notes to October 31, 2018, or December 31, 2018 if certain conditions are satisfied. In consideration for amending and restating the existing notes, the Company was issued warrants exercisable for a certain number of shares of Ozy Media Inc.'s common stock.</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2018, we capitalized fees of $5,568.</w:t>
      </w:r>
    </w:p>
    <w:p>
      <w:pPr>
        <w:spacing w:after="0" w:line="266" w:lineRule="exact"/>
        <w:rPr>
          <w:sz w:val="20"/>
          <w:szCs w:val="20"/>
          <w:color w:val="auto"/>
        </w:rPr>
      </w:pPr>
    </w:p>
    <w:p>
      <w:pPr>
        <w:jc w:val="both"/>
        <w:ind w:right="540" w:firstLine="351"/>
        <w:spacing w:after="0" w:line="264" w:lineRule="auto"/>
        <w:rPr>
          <w:sz w:val="20"/>
          <w:szCs w:val="20"/>
          <w:color w:val="auto"/>
        </w:rPr>
      </w:pPr>
      <w:r>
        <w:rPr>
          <w:rFonts w:ascii="Arial" w:cs="Arial" w:eastAsia="Arial" w:hAnsi="Arial"/>
          <w:sz w:val="18"/>
          <w:szCs w:val="18"/>
          <w:color w:val="auto"/>
        </w:rPr>
        <w:t>During the three months ended March 31, 2018, the Company sold investments or received repayments from portfolio companies in an amount of $15,962,239, net of transaction costs, and realized a net investment loss of approximately $776,725 (including U.S. Treasury investments) as shown in following table: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Investment</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Transaction</w:t>
            </w: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Shares Sold</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Average Net Share</w:t>
            </w:r>
          </w:p>
        </w:tc>
        <w:tc>
          <w:tcPr>
            <w:tcW w:w="22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Proceeds</w:t>
            </w: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Realized Gain/(Loss)</w:t>
            </w:r>
            <w:r>
              <w:rPr>
                <w:rFonts w:ascii="Arial" w:cs="Arial" w:eastAsia="Arial" w:hAnsi="Arial"/>
                <w:sz w:val="8"/>
                <w:szCs w:val="8"/>
                <w:b w:val="1"/>
                <w:bCs w:val="1"/>
                <w:color w:val="auto"/>
                <w:w w:val="94"/>
              </w:rPr>
              <w:t>(4)</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 xml:space="preserve">Price </w:t>
            </w:r>
            <w:r>
              <w:rPr>
                <w:rFonts w:ascii="Arial" w:cs="Arial" w:eastAsia="Arial" w:hAnsi="Arial"/>
                <w:sz w:val="8"/>
                <w:szCs w:val="8"/>
                <w:b w:val="1"/>
                <w:bCs w:val="1"/>
                <w:color w:val="auto"/>
                <w:w w:val="95"/>
              </w:rPr>
              <w:t>(1)</w:t>
            </w:r>
          </w:p>
        </w:tc>
        <w:tc>
          <w:tcPr>
            <w:tcW w:w="2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Chegg, Inc.</w:t>
            </w:r>
          </w:p>
        </w:tc>
        <w:tc>
          <w:tcPr>
            <w:tcW w:w="15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1/3/2018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Chegg, Inc.</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1/4/2018</w:t>
            </w:r>
          </w:p>
        </w:tc>
        <w:tc>
          <w:tcPr>
            <w:tcW w:w="1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9,103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16.79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152,799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43,327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Chegg, Inc.</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1/5/2018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607,623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172,139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Chegg, Inc.</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1/8/2018</w:t>
            </w:r>
          </w:p>
        </w:tc>
        <w:tc>
          <w:tcPr>
            <w:tcW w:w="1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15,888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16.86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267,905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76,837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Chegg, Inc.</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1/9/2018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619,356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175,598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Chegg, Inc.</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2/13/2018</w:t>
            </w:r>
          </w:p>
        </w:tc>
        <w:tc>
          <w:tcPr>
            <w:tcW w:w="1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19.31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3,861,271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1,457,883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Chegg, Inc. </w:t>
            </w:r>
            <w:r>
              <w:rPr>
                <w:rFonts w:ascii="Arial" w:cs="Arial" w:eastAsia="Arial" w:hAnsi="Arial"/>
                <w:sz w:val="21"/>
                <w:szCs w:val="21"/>
                <w:color w:val="auto"/>
                <w:vertAlign w:val="superscript"/>
              </w:rPr>
              <w:t>(2)</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2/20/2018</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19.53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3,905,530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1,503,045</w:t>
            </w: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18.89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9,446,315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3,437,847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NestGSV, Inc. (d/b/a GSV Labs, Inc.)</w:t>
            </w:r>
            <w:r>
              <w:rPr>
                <w:rFonts w:ascii="Arial" w:cs="Arial" w:eastAsia="Arial" w:hAnsi="Arial"/>
                <w:sz w:val="21"/>
                <w:szCs w:val="21"/>
                <w:color w:val="auto"/>
                <w:vertAlign w:val="superscript"/>
              </w:rPr>
              <w:t>(3)</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1/12/2018</w:t>
            </w:r>
          </w:p>
        </w:tc>
        <w:tc>
          <w:tcPr>
            <w:tcW w:w="12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592,129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Avenues Global Holdings, LLC</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1/22/2018</w:t>
            </w:r>
          </w:p>
        </w:tc>
        <w:tc>
          <w:tcPr>
            <w:tcW w:w="1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10,014,270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5,923,795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(4,228,059)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15,962,239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(790,892)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b w:val="1"/>
                <w:bCs w:val="1"/>
                <w:color w:val="auto"/>
              </w:rPr>
              <w:t>__________________</w:t>
            </w: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52482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 if applicable.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 of February 22, 2018, all remaining shares of Chegg, Inc. held by the Company had been sold.</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repayment of the 12% Unsecured Promissory Note Due 1/15/2018</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Realized gains/(losses) exclude any realized gains/(losses) incurred on the maturity of our U.S. Treasury investments.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three months ended March 31, 2018 we did not write-off any investments.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ind w:right="300" w:firstLine="351"/>
        <w:spacing w:after="0" w:line="277" w:lineRule="auto"/>
        <w:rPr>
          <w:sz w:val="20"/>
          <w:szCs w:val="20"/>
          <w:color w:val="auto"/>
        </w:rPr>
      </w:pPr>
      <w:r>
        <w:rPr>
          <w:rFonts w:ascii="Arial" w:cs="Arial" w:eastAsia="Arial" w:hAnsi="Arial"/>
          <w:sz w:val="18"/>
          <w:szCs w:val="18"/>
          <w:color w:val="auto"/>
        </w:rPr>
        <w:t>During the three months ended March 31, 2017, we did not purchase or close on any investments. We did, however, pay $280 in capitalized fees. The table below summarized the portfolio investments we wrote-off during the three months ended March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4"/>
          </w:tcPr>
          <w:p>
            <w:pPr>
              <w:jc w:val="right"/>
              <w:ind w:right="1061"/>
              <w:spacing w:after="0"/>
              <w:rPr>
                <w:sz w:val="20"/>
                <w:szCs w:val="20"/>
                <w:color w:val="auto"/>
              </w:rPr>
            </w:pPr>
            <w:r>
              <w:rPr>
                <w:rFonts w:ascii="Arial" w:cs="Arial" w:eastAsia="Arial" w:hAnsi="Arial"/>
                <w:sz w:val="14"/>
                <w:szCs w:val="14"/>
                <w:b w:val="1"/>
                <w:bCs w:val="1"/>
                <w:color w:val="auto"/>
              </w:rPr>
              <w:t>Three Months Ended March 31, 2017</w:t>
            </w:r>
          </w:p>
        </w:tc>
        <w:tc>
          <w:tcPr>
            <w:tcW w:w="0" w:type="dxa"/>
            <w:vAlign w:val="bottom"/>
          </w:tcPr>
          <w:p>
            <w:pPr>
              <w:spacing w:after="0"/>
              <w:rPr>
                <w:sz w:val="1"/>
                <w:szCs w:val="1"/>
                <w:color w:val="auto"/>
              </w:rPr>
            </w:pPr>
          </w:p>
        </w:tc>
      </w:tr>
      <w:tr>
        <w:trPr>
          <w:trHeight w:val="152"/>
        </w:trPr>
        <w:tc>
          <w:tcPr>
            <w:tcW w:w="6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3"/>
                <w:szCs w:val="13"/>
                <w:color w:val="auto"/>
              </w:rPr>
            </w:pPr>
          </w:p>
        </w:tc>
        <w:tc>
          <w:tcPr>
            <w:tcW w:w="420" w:type="dxa"/>
            <w:vAlign w:val="bottom"/>
          </w:tcPr>
          <w:p>
            <w:pPr>
              <w:spacing w:after="0"/>
              <w:rPr>
                <w:sz w:val="13"/>
                <w:szCs w:val="13"/>
                <w:color w:val="auto"/>
              </w:rPr>
            </w:pPr>
          </w:p>
        </w:tc>
        <w:tc>
          <w:tcPr>
            <w:tcW w:w="18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Net Proceeds</w:t>
            </w:r>
          </w:p>
        </w:tc>
        <w:tc>
          <w:tcPr>
            <w:tcW w:w="10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tcPr>
          <w:p>
            <w:pPr>
              <w:jc w:val="right"/>
              <w:ind w:right="781"/>
              <w:spacing w:after="0" w:line="153" w:lineRule="exact"/>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92"/>
        </w:trPr>
        <w:tc>
          <w:tcPr>
            <w:tcW w:w="6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Gains/(Losses)</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AliphCom, Inc. (d/b/a Jawbone)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(793,152)</w:t>
            </w:r>
          </w:p>
        </w:tc>
        <w:tc>
          <w:tcPr>
            <w:tcW w:w="0" w:type="dxa"/>
            <w:vAlign w:val="bottom"/>
          </w:tcPr>
          <w:p>
            <w:pPr>
              <w:spacing w:after="0"/>
              <w:rPr>
                <w:sz w:val="1"/>
                <w:szCs w:val="1"/>
                <w:color w:val="auto"/>
              </w:rPr>
            </w:pPr>
          </w:p>
        </w:tc>
      </w:tr>
      <w:tr>
        <w:trPr>
          <w:trHeight w:val="237"/>
        </w:trPr>
        <w:tc>
          <w:tcPr>
            <w:tcW w:w="6680" w:type="dxa"/>
            <w:vAlign w:val="bottom"/>
            <w:gridSpan w:val="2"/>
          </w:tcPr>
          <w:p>
            <w:pPr>
              <w:ind w:left="40"/>
              <w:spacing w:after="0"/>
              <w:rPr>
                <w:sz w:val="20"/>
                <w:szCs w:val="20"/>
                <w:color w:val="auto"/>
              </w:rPr>
            </w:pPr>
            <w:r>
              <w:rPr>
                <w:rFonts w:ascii="Arial" w:cs="Arial" w:eastAsia="Arial" w:hAnsi="Arial"/>
                <w:sz w:val="16"/>
                <w:szCs w:val="16"/>
                <w:color w:val="auto"/>
              </w:rPr>
              <w:t>AlwaysOn, Inc.</w:t>
            </w:r>
          </w:p>
        </w:tc>
        <w:tc>
          <w:tcPr>
            <w:tcW w:w="420" w:type="dxa"/>
            <w:vAlign w:val="bottom"/>
          </w:tcPr>
          <w:p>
            <w:pPr>
              <w:spacing w:after="0"/>
              <w:rPr>
                <w:sz w:val="20"/>
                <w:szCs w:val="20"/>
                <w:color w:val="auto"/>
              </w:rPr>
            </w:pPr>
          </w:p>
        </w:tc>
        <w:tc>
          <w:tcPr>
            <w:tcW w:w="194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(1,903,414)</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Beamreach Solar, Inc. (f/k/a Solexel, Inc.)</w:t>
            </w:r>
          </w:p>
        </w:tc>
        <w:tc>
          <w:tcPr>
            <w:tcW w:w="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(14,272,840)</w:t>
            </w:r>
          </w:p>
        </w:tc>
        <w:tc>
          <w:tcPr>
            <w:tcW w:w="0" w:type="dxa"/>
            <w:vAlign w:val="bottom"/>
          </w:tcPr>
          <w:p>
            <w:pPr>
              <w:spacing w:after="0"/>
              <w:rPr>
                <w:sz w:val="1"/>
                <w:szCs w:val="1"/>
                <w:color w:val="auto"/>
              </w:rPr>
            </w:pPr>
          </w:p>
        </w:tc>
      </w:tr>
      <w:tr>
        <w:trPr>
          <w:trHeight w:val="237"/>
        </w:trPr>
        <w:tc>
          <w:tcPr>
            <w:tcW w:w="6680" w:type="dxa"/>
            <w:vAlign w:val="bottom"/>
            <w:gridSpan w:val="2"/>
          </w:tcPr>
          <w:p>
            <w:pPr>
              <w:ind w:left="40"/>
              <w:spacing w:after="0"/>
              <w:rPr>
                <w:sz w:val="20"/>
                <w:szCs w:val="20"/>
                <w:color w:val="auto"/>
              </w:rPr>
            </w:pPr>
            <w:r>
              <w:rPr>
                <w:rFonts w:ascii="Arial" w:cs="Arial" w:eastAsia="Arial" w:hAnsi="Arial"/>
                <w:sz w:val="16"/>
                <w:szCs w:val="16"/>
                <w:color w:val="auto"/>
              </w:rPr>
              <w:t>Cricket Media (f/k/a ePals Corporation)</w:t>
            </w:r>
          </w:p>
        </w:tc>
        <w:tc>
          <w:tcPr>
            <w:tcW w:w="420" w:type="dxa"/>
            <w:vAlign w:val="bottom"/>
          </w:tcPr>
          <w:p>
            <w:pPr>
              <w:spacing w:after="0"/>
              <w:rPr>
                <w:sz w:val="20"/>
                <w:szCs w:val="20"/>
                <w:color w:val="auto"/>
              </w:rPr>
            </w:pPr>
          </w:p>
        </w:tc>
        <w:tc>
          <w:tcPr>
            <w:tcW w:w="194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(2,448,959)</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EarlyShares.com, Inc.</w:t>
            </w:r>
          </w:p>
        </w:tc>
        <w:tc>
          <w:tcPr>
            <w:tcW w:w="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(312,438)</w:t>
            </w:r>
          </w:p>
        </w:tc>
        <w:tc>
          <w:tcPr>
            <w:tcW w:w="0" w:type="dxa"/>
            <w:vAlign w:val="bottom"/>
          </w:tcPr>
          <w:p>
            <w:pPr>
              <w:spacing w:after="0"/>
              <w:rPr>
                <w:sz w:val="1"/>
                <w:szCs w:val="1"/>
                <w:color w:val="auto"/>
              </w:rPr>
            </w:pPr>
          </w:p>
        </w:tc>
      </w:tr>
      <w:tr>
        <w:trPr>
          <w:trHeight w:val="237"/>
        </w:trPr>
        <w:tc>
          <w:tcPr>
            <w:tcW w:w="6680" w:type="dxa"/>
            <w:vAlign w:val="bottom"/>
            <w:gridSpan w:val="2"/>
          </w:tcPr>
          <w:p>
            <w:pPr>
              <w:ind w:left="40"/>
              <w:spacing w:after="0"/>
              <w:rPr>
                <w:sz w:val="20"/>
                <w:szCs w:val="20"/>
                <w:color w:val="auto"/>
              </w:rPr>
            </w:pPr>
            <w:r>
              <w:rPr>
                <w:rFonts w:ascii="Arial" w:cs="Arial" w:eastAsia="Arial" w:hAnsi="Arial"/>
                <w:sz w:val="16"/>
                <w:szCs w:val="16"/>
                <w:color w:val="auto"/>
              </w:rPr>
              <w:t>Orchestra One, Inc. (f/k/a Learnist, Inc.)</w:t>
            </w:r>
          </w:p>
        </w:tc>
        <w:tc>
          <w:tcPr>
            <w:tcW w:w="420" w:type="dxa"/>
            <w:vAlign w:val="bottom"/>
          </w:tcPr>
          <w:p>
            <w:pPr>
              <w:spacing w:after="0"/>
              <w:rPr>
                <w:sz w:val="20"/>
                <w:szCs w:val="20"/>
                <w:color w:val="auto"/>
              </w:rPr>
            </w:pPr>
          </w:p>
        </w:tc>
        <w:tc>
          <w:tcPr>
            <w:tcW w:w="194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(4,959,614)</w:t>
            </w:r>
          </w:p>
        </w:tc>
        <w:tc>
          <w:tcPr>
            <w:tcW w:w="0" w:type="dxa"/>
            <w:vAlign w:val="bottom"/>
          </w:tcPr>
          <w:p>
            <w:pPr>
              <w:spacing w:after="0"/>
              <w:rPr>
                <w:sz w:val="1"/>
                <w:szCs w:val="1"/>
                <w:color w:val="auto"/>
              </w:rPr>
            </w:pPr>
          </w:p>
        </w:tc>
      </w:tr>
      <w:tr>
        <w:trPr>
          <w:trHeight w:val="33"/>
        </w:trPr>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Disposals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940" w:type="dxa"/>
            <w:vAlign w:val="bottom"/>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(24,690,417)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w:t>
            </w: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Realized gains/(losses) exclude any realized gains/(losses) incurred on the maturity of our U.S. Treasury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 </w:t>
      </w:r>
      <w:r>
        <w:rPr>
          <w:rFonts w:ascii="Arial" w:cs="Arial" w:eastAsia="Arial" w:hAnsi="Arial"/>
          <w:sz w:val="18"/>
          <w:szCs w:val="18"/>
          <w:b w:val="1"/>
          <w:bCs w:val="1"/>
          <w:i w:val="1"/>
          <w:iCs w:val="1"/>
          <w:color w:val="auto"/>
        </w:rPr>
        <w:t>Comparison of the three months ended March 31, 2018 and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months ended March 31, 2018, and 2017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Investment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249,335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338,459</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249,335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163,459</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 income</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3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5,396,806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5,328,474</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Incentive fee waiver</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(5,000,000)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 fee waiver</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(154,944)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(181,803)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 Operating Expenses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241,862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5,146,671</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 fees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1,323,576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1,454,421</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Incentive fees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1,471,334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1,717,308</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Costs incurred under Administration Agreement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424,145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531,484</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Directors’ fees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86,250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82,917</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Professional fees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339,898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262,190</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1,140,063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1,126,773</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122,270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expenses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489,270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152,581</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Investment Income/(Loss)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7,473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(4,808,212)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realized loss on investments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(776,725)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(24,689,167)</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loss on partial repurchase of 5.25% Convertible Senior Notes due 2018</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(397,846)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change in unrealized appreciation/(depreciation) of investments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8,133,394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33,280,265</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in net assets resulting from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6,966,296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3,782,886</w:t>
            </w:r>
          </w:p>
        </w:tc>
      </w:tr>
      <w:tr>
        <w:trPr>
          <w:trHeight w:val="33"/>
        </w:trPr>
        <w:tc>
          <w:tcPr>
            <w:tcW w:w="7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-3601085</wp:posOffset>
            </wp:positionV>
            <wp:extent cx="50082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Investment income decreased to $249,335 for the three months ended March 31, 2018, from $338,459 for the three months ended March 31, 2017. The decrease was primarily due to decreased dividend income between periods due to a $175,000 dividend we received from our investment in SPBRX, Inc. (f/k/a GSV Sustainability Partners, Inc.) during the three months ended March 31, 2017. The decrease in dividend income was partially offset by an increase in interest income during the three months ended March 31,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40" w:firstLine="351"/>
        <w:spacing w:after="0" w:line="257" w:lineRule="auto"/>
        <w:rPr>
          <w:sz w:val="20"/>
          <w:szCs w:val="20"/>
          <w:color w:val="auto"/>
        </w:rPr>
      </w:pPr>
      <w:r>
        <w:rPr>
          <w:rFonts w:ascii="Arial" w:cs="Arial" w:eastAsia="Arial" w:hAnsi="Arial"/>
          <w:sz w:val="18"/>
          <w:szCs w:val="18"/>
          <w:color w:val="auto"/>
        </w:rPr>
        <w:t>Total operating expenses, net of waiver of management and incentive fees, decreased to $241,862 for the three months ended March 31, 2018, from $5,146,671 for the three months ended March 31, 2017. The decrease between periods was primarily due to GSV Asset Management’s waiver during the three months ended March 31, 2018 of $154,944 in management fees and forfeiture of $5.0 million of previously accrued but unpaid incentive fees pursuant to the Waiver Agreement. This decrease was partially offset primarily by increases between periods in the income tax expense due to the sale of investments and other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Income/(Loss)</w:t>
      </w:r>
    </w:p>
    <w:p>
      <w:pPr>
        <w:spacing w:after="0" w:line="225" w:lineRule="exact"/>
        <w:rPr>
          <w:sz w:val="20"/>
          <w:szCs w:val="20"/>
          <w:color w:val="auto"/>
        </w:rPr>
      </w:pPr>
    </w:p>
    <w:p>
      <w:pPr>
        <w:ind w:right="260" w:firstLine="351"/>
        <w:spacing w:after="0" w:line="286" w:lineRule="auto"/>
        <w:rPr>
          <w:sz w:val="20"/>
          <w:szCs w:val="20"/>
          <w:color w:val="auto"/>
        </w:rPr>
      </w:pPr>
      <w:r>
        <w:rPr>
          <w:rFonts w:ascii="Arial" w:cs="Arial" w:eastAsia="Arial" w:hAnsi="Arial"/>
          <w:sz w:val="17"/>
          <w:szCs w:val="17"/>
          <w:color w:val="auto"/>
        </w:rPr>
        <w:t>For the three months ended March 31, 2018, we recognized net investment income of $7,473, compared to a net investment loss of $4,808,212 for the three months ended March 31, 2017. The change between periods resulted from the decrease in operating expenses, net of waiver of management and incentive fees, as discussed above, partially offset by a decrease in total investment income between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 on Investments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the three months ended March 31, 2018, we recognized a net realized loss of $776,725 on our investments, compared to a net realized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$24,689,167 for the three months ended March 31, 2017. The components of our net realized gains and losses on portfolio investments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March 31, 2018 and 2017, excluding U.S. Treasury investments, are reflected in the tables above, under “—Portfolio and Investment Activity.”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225"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For the three months ended March 31, 2018, we had a net change in unrealized appreciation of $8,133,394. For the three months ended March 31, 2017, we had a net change in unrealized appreciation of $33,280,265. The following tables summarize, by portfolio company, the significant changes in unrealized appreciation and/or depreciation of our investment portfolio for the three months ended March 31, 2018 and 2017.</w:t>
      </w:r>
    </w:p>
    <w:p>
      <w:pPr>
        <w:spacing w:after="0" w:line="9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Net Change in Unrealized</w:t>
            </w:r>
          </w:p>
        </w:tc>
        <w:tc>
          <w:tcPr>
            <w:tcW w:w="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Net Change in Unrealized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(Depreciation) For the</w:t>
            </w:r>
          </w:p>
        </w:tc>
        <w:tc>
          <w:tcPr>
            <w:tcW w:w="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(Depreciation) For the</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2"/>
                <w:szCs w:val="12"/>
                <w:color w:val="auto"/>
              </w:rPr>
            </w:pPr>
          </w:p>
        </w:tc>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Pr>
          <w:p>
            <w:pPr>
              <w:spacing w:after="0"/>
              <w:rPr>
                <w:sz w:val="16"/>
                <w:szCs w:val="16"/>
                <w:color w:val="auto"/>
              </w:rPr>
            </w:pPr>
          </w:p>
        </w:tc>
        <w:tc>
          <w:tcPr>
            <w:tcW w:w="3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March 31, 2017</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Dropbox, Inc.</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6,186,547</w:t>
            </w:r>
          </w:p>
        </w:tc>
        <w:tc>
          <w:tcPr>
            <w:tcW w:w="100" w:type="dxa"/>
            <w:vAlign w:val="bottom"/>
          </w:tcPr>
          <w:p>
            <w:pPr>
              <w:spacing w:after="0"/>
              <w:rPr>
                <w:sz w:val="22"/>
                <w:szCs w:val="22"/>
                <w:color w:val="auto"/>
              </w:rPr>
            </w:pP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Beamreach Solar, Inc. (f/k/a Solexel, Inc.)</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14,272,843</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NestGSV, Inc. (d/b/a GSV Labs, Inc.)</w:t>
            </w:r>
          </w:p>
        </w:tc>
        <w:tc>
          <w:tcPr>
            <w:tcW w:w="120" w:type="dxa"/>
            <w:vAlign w:val="bottom"/>
          </w:tcPr>
          <w:p>
            <w:pPr>
              <w:spacing w:after="0"/>
              <w:rPr>
                <w:sz w:val="23"/>
                <w:szCs w:val="23"/>
                <w:color w:val="auto"/>
              </w:rPr>
            </w:pPr>
          </w:p>
        </w:tc>
        <w:tc>
          <w:tcPr>
            <w:tcW w:w="1680" w:type="dxa"/>
            <w:vAlign w:val="bottom"/>
          </w:tcPr>
          <w:p>
            <w:pPr>
              <w:jc w:val="right"/>
              <w:ind w:right="42"/>
              <w:spacing w:after="0"/>
              <w:rPr>
                <w:sz w:val="20"/>
                <w:szCs w:val="20"/>
                <w:color w:val="auto"/>
              </w:rPr>
            </w:pPr>
            <w:r>
              <w:rPr>
                <w:rFonts w:ascii="Arial" w:cs="Arial" w:eastAsia="Arial" w:hAnsi="Arial"/>
                <w:sz w:val="16"/>
                <w:szCs w:val="16"/>
                <w:color w:val="auto"/>
              </w:rPr>
              <w:t>5,749,829</w:t>
            </w:r>
          </w:p>
        </w:tc>
        <w:tc>
          <w:tcPr>
            <w:tcW w:w="100" w:type="dxa"/>
            <w:vAlign w:val="bottom"/>
          </w:tcPr>
          <w:p>
            <w:pPr>
              <w:spacing w:after="0"/>
              <w:rPr>
                <w:sz w:val="23"/>
                <w:szCs w:val="23"/>
                <w:color w:val="auto"/>
              </w:rPr>
            </w:pPr>
          </w:p>
        </w:tc>
        <w:tc>
          <w:tcPr>
            <w:tcW w:w="3760" w:type="dxa"/>
            <w:vAlign w:val="bottom"/>
            <w:gridSpan w:val="2"/>
          </w:tcPr>
          <w:p>
            <w:pPr>
              <w:ind w:left="40"/>
              <w:spacing w:after="0"/>
              <w:rPr>
                <w:sz w:val="20"/>
                <w:szCs w:val="20"/>
                <w:color w:val="auto"/>
              </w:rPr>
            </w:pPr>
            <w:r>
              <w:rPr>
                <w:rFonts w:ascii="Arial" w:cs="Arial" w:eastAsia="Arial" w:hAnsi="Arial"/>
                <w:sz w:val="16"/>
                <w:szCs w:val="16"/>
                <w:color w:val="auto"/>
              </w:rPr>
              <w:t>Orchestra One, Inc. (f/k/a Learnist, Inc.)</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600" w:type="dxa"/>
            <w:vAlign w:val="bottom"/>
          </w:tcPr>
          <w:p>
            <w:pPr>
              <w:jc w:val="right"/>
              <w:ind w:right="21"/>
              <w:spacing w:after="0"/>
              <w:rPr>
                <w:sz w:val="20"/>
                <w:szCs w:val="20"/>
                <w:color w:val="auto"/>
              </w:rPr>
            </w:pPr>
            <w:r>
              <w:rPr>
                <w:rFonts w:ascii="Arial" w:cs="Arial" w:eastAsia="Arial" w:hAnsi="Arial"/>
                <w:sz w:val="16"/>
                <w:szCs w:val="16"/>
                <w:color w:val="auto"/>
              </w:rPr>
              <w:t>4,959,614</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Avenues Global Holdings, LLC</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4,243,435</w:t>
            </w:r>
          </w:p>
        </w:tc>
        <w:tc>
          <w:tcPr>
            <w:tcW w:w="100" w:type="dxa"/>
            <w:vAlign w:val="bottom"/>
          </w:tcPr>
          <w:p>
            <w:pPr>
              <w:spacing w:after="0"/>
              <w:rPr>
                <w:sz w:val="23"/>
                <w:szCs w:val="23"/>
                <w:color w:val="auto"/>
              </w:rPr>
            </w:pP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Dropbox, Inc.</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3,871,834</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Lyft, Inc.</w:t>
            </w:r>
          </w:p>
        </w:tc>
        <w:tc>
          <w:tcPr>
            <w:tcW w:w="120" w:type="dxa"/>
            <w:vAlign w:val="bottom"/>
          </w:tcPr>
          <w:p>
            <w:pPr>
              <w:spacing w:after="0"/>
              <w:rPr>
                <w:sz w:val="23"/>
                <w:szCs w:val="23"/>
                <w:color w:val="auto"/>
              </w:rPr>
            </w:pPr>
          </w:p>
        </w:tc>
        <w:tc>
          <w:tcPr>
            <w:tcW w:w="1680" w:type="dxa"/>
            <w:vAlign w:val="bottom"/>
          </w:tcPr>
          <w:p>
            <w:pPr>
              <w:jc w:val="right"/>
              <w:ind w:right="42"/>
              <w:spacing w:after="0"/>
              <w:rPr>
                <w:sz w:val="20"/>
                <w:szCs w:val="20"/>
                <w:color w:val="auto"/>
              </w:rPr>
            </w:pPr>
            <w:r>
              <w:rPr>
                <w:rFonts w:ascii="Arial" w:cs="Arial" w:eastAsia="Arial" w:hAnsi="Arial"/>
                <w:sz w:val="16"/>
                <w:szCs w:val="16"/>
                <w:color w:val="auto"/>
              </w:rPr>
              <w:t>2,113,462</w:t>
            </w:r>
          </w:p>
        </w:tc>
        <w:tc>
          <w:tcPr>
            <w:tcW w:w="100" w:type="dxa"/>
            <w:vAlign w:val="bottom"/>
          </w:tcPr>
          <w:p>
            <w:pPr>
              <w:spacing w:after="0"/>
              <w:rPr>
                <w:sz w:val="23"/>
                <w:szCs w:val="23"/>
                <w:color w:val="auto"/>
              </w:rPr>
            </w:pPr>
          </w:p>
        </w:tc>
        <w:tc>
          <w:tcPr>
            <w:tcW w:w="3760" w:type="dxa"/>
            <w:vAlign w:val="bottom"/>
            <w:gridSpan w:val="2"/>
          </w:tcPr>
          <w:p>
            <w:pPr>
              <w:ind w:left="40"/>
              <w:spacing w:after="0"/>
              <w:rPr>
                <w:sz w:val="20"/>
                <w:szCs w:val="20"/>
                <w:color w:val="auto"/>
              </w:rPr>
            </w:pPr>
            <w:r>
              <w:rPr>
                <w:rFonts w:ascii="Arial" w:cs="Arial" w:eastAsia="Arial" w:hAnsi="Arial"/>
                <w:sz w:val="16"/>
                <w:szCs w:val="16"/>
                <w:color w:val="auto"/>
              </w:rPr>
              <w:t>Cricket Media (f/k/a ePals, Inc.)</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600" w:type="dxa"/>
            <w:vAlign w:val="bottom"/>
          </w:tcPr>
          <w:p>
            <w:pPr>
              <w:jc w:val="right"/>
              <w:ind w:right="21"/>
              <w:spacing w:after="0"/>
              <w:rPr>
                <w:sz w:val="20"/>
                <w:szCs w:val="20"/>
                <w:color w:val="auto"/>
              </w:rPr>
            </w:pPr>
            <w:r>
              <w:rPr>
                <w:rFonts w:ascii="Arial" w:cs="Arial" w:eastAsia="Arial" w:hAnsi="Arial"/>
                <w:sz w:val="16"/>
                <w:szCs w:val="16"/>
                <w:color w:val="auto"/>
              </w:rPr>
              <w:t>2,448,959</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Course Hero, Inc.</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1,111,915</w:t>
            </w:r>
          </w:p>
        </w:tc>
        <w:tc>
          <w:tcPr>
            <w:tcW w:w="100" w:type="dxa"/>
            <w:vAlign w:val="bottom"/>
          </w:tcPr>
          <w:p>
            <w:pPr>
              <w:spacing w:after="0"/>
              <w:rPr>
                <w:sz w:val="23"/>
                <w:szCs w:val="23"/>
                <w:color w:val="auto"/>
              </w:rPr>
            </w:pP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AlwaysOn, Inc.</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1,903,414</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Declara, Inc.</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(1,027,830)</w:t>
            </w:r>
          </w:p>
        </w:tc>
        <w:tc>
          <w:tcPr>
            <w:tcW w:w="100" w:type="dxa"/>
            <w:vAlign w:val="bottom"/>
          </w:tcPr>
          <w:p>
            <w:pPr>
              <w:spacing w:after="0"/>
              <w:rPr>
                <w:sz w:val="20"/>
                <w:szCs w:val="20"/>
                <w:color w:val="auto"/>
              </w:rPr>
            </w:pPr>
          </w:p>
        </w:tc>
        <w:tc>
          <w:tcPr>
            <w:tcW w:w="3760" w:type="dxa"/>
            <w:vAlign w:val="bottom"/>
            <w:gridSpan w:val="2"/>
          </w:tcPr>
          <w:p>
            <w:pPr>
              <w:ind w:left="40"/>
              <w:spacing w:after="0"/>
              <w:rPr>
                <w:sz w:val="20"/>
                <w:szCs w:val="20"/>
                <w:color w:val="auto"/>
              </w:rPr>
            </w:pPr>
            <w:r>
              <w:rPr>
                <w:rFonts w:ascii="Arial" w:cs="Arial" w:eastAsia="Arial" w:hAnsi="Arial"/>
                <w:sz w:val="16"/>
                <w:szCs w:val="16"/>
                <w:color w:val="auto"/>
              </w:rPr>
              <w:t>NestGSV, Inc. (d/b/a GSV Labs, Inc.)</w:t>
            </w:r>
          </w:p>
        </w:tc>
        <w:tc>
          <w:tcPr>
            <w:tcW w:w="160" w:type="dxa"/>
            <w:vAlign w:val="bottom"/>
          </w:tcPr>
          <w:p>
            <w:pPr>
              <w:spacing w:after="0"/>
              <w:rPr>
                <w:sz w:val="20"/>
                <w:szCs w:val="20"/>
                <w:color w:val="auto"/>
              </w:rPr>
            </w:pPr>
          </w:p>
        </w:tc>
        <w:tc>
          <w:tcPr>
            <w:tcW w:w="1600" w:type="dxa"/>
            <w:vAlign w:val="bottom"/>
          </w:tcPr>
          <w:p>
            <w:pPr>
              <w:jc w:val="right"/>
              <w:ind w:right="21"/>
              <w:spacing w:after="0"/>
              <w:rPr>
                <w:sz w:val="20"/>
                <w:szCs w:val="20"/>
                <w:color w:val="auto"/>
              </w:rPr>
            </w:pPr>
            <w:r>
              <w:rPr>
                <w:rFonts w:ascii="Arial" w:cs="Arial" w:eastAsia="Arial" w:hAnsi="Arial"/>
                <w:sz w:val="16"/>
                <w:szCs w:val="16"/>
                <w:color w:val="auto"/>
              </w:rPr>
              <w:t>1,825,524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Lytro, Inc.</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(1,100,464)</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General Assembly Space, Inc.</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1,309,215</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General Assembly Space, Inc.</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(1,252,940)</w:t>
            </w:r>
          </w:p>
        </w:tc>
        <w:tc>
          <w:tcPr>
            <w:tcW w:w="100" w:type="dxa"/>
            <w:vAlign w:val="bottom"/>
          </w:tcPr>
          <w:p>
            <w:pPr>
              <w:spacing w:after="0"/>
              <w:rPr>
                <w:sz w:val="20"/>
                <w:szCs w:val="20"/>
                <w:color w:val="auto"/>
              </w:rPr>
            </w:pPr>
          </w:p>
        </w:tc>
        <w:tc>
          <w:tcPr>
            <w:tcW w:w="3760" w:type="dxa"/>
            <w:vAlign w:val="bottom"/>
            <w:gridSpan w:val="2"/>
          </w:tcPr>
          <w:p>
            <w:pPr>
              <w:ind w:left="40"/>
              <w:spacing w:after="0"/>
              <w:rPr>
                <w:sz w:val="20"/>
                <w:szCs w:val="20"/>
                <w:color w:val="auto"/>
              </w:rPr>
            </w:pPr>
            <w:r>
              <w:rPr>
                <w:rFonts w:ascii="Arial" w:cs="Arial" w:eastAsia="Arial" w:hAnsi="Arial"/>
                <w:sz w:val="16"/>
                <w:szCs w:val="16"/>
                <w:color w:val="auto"/>
              </w:rPr>
              <w:t>Chegg, Inc.</w:t>
            </w:r>
          </w:p>
        </w:tc>
        <w:tc>
          <w:tcPr>
            <w:tcW w:w="160" w:type="dxa"/>
            <w:vAlign w:val="bottom"/>
          </w:tcPr>
          <w:p>
            <w:pPr>
              <w:spacing w:after="0"/>
              <w:rPr>
                <w:sz w:val="20"/>
                <w:szCs w:val="20"/>
                <w:color w:val="auto"/>
              </w:rPr>
            </w:pPr>
          </w:p>
        </w:tc>
        <w:tc>
          <w:tcPr>
            <w:tcW w:w="1600" w:type="dxa"/>
            <w:vAlign w:val="bottom"/>
          </w:tcPr>
          <w:p>
            <w:pPr>
              <w:jc w:val="right"/>
              <w:ind w:right="21"/>
              <w:spacing w:after="0"/>
              <w:rPr>
                <w:sz w:val="20"/>
                <w:szCs w:val="20"/>
                <w:color w:val="auto"/>
              </w:rPr>
            </w:pPr>
            <w:r>
              <w:rPr>
                <w:rFonts w:ascii="Arial" w:cs="Arial" w:eastAsia="Arial" w:hAnsi="Arial"/>
                <w:sz w:val="16"/>
                <w:szCs w:val="16"/>
                <w:color w:val="auto"/>
              </w:rPr>
              <w:t>1,253,759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Chegg, Inc.</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(2,151,532)</w:t>
            </w:r>
          </w:p>
        </w:tc>
        <w:tc>
          <w:tcPr>
            <w:tcW w:w="100" w:type="dxa"/>
            <w:vAlign w:val="bottom"/>
          </w:tcPr>
          <w:p>
            <w:pPr>
              <w:spacing w:after="0"/>
              <w:rPr>
                <w:sz w:val="23"/>
                <w:szCs w:val="23"/>
                <w:color w:val="auto"/>
              </w:rPr>
            </w:pP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JAMF Holdings, Inc.</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1,033,181</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Curious.com, Inc.</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(5,514,077)</w:t>
            </w:r>
          </w:p>
        </w:tc>
        <w:tc>
          <w:tcPr>
            <w:tcW w:w="100" w:type="dxa"/>
            <w:vAlign w:val="bottom"/>
          </w:tcPr>
          <w:p>
            <w:pPr>
              <w:spacing w:after="0"/>
              <w:rPr>
                <w:sz w:val="20"/>
                <w:szCs w:val="20"/>
                <w:color w:val="auto"/>
              </w:rPr>
            </w:pPr>
          </w:p>
        </w:tc>
        <w:tc>
          <w:tcPr>
            <w:tcW w:w="3760" w:type="dxa"/>
            <w:vAlign w:val="bottom"/>
            <w:gridSpan w:val="2"/>
          </w:tcPr>
          <w:p>
            <w:pPr>
              <w:ind w:left="40"/>
              <w:spacing w:after="0"/>
              <w:rPr>
                <w:sz w:val="20"/>
                <w:szCs w:val="20"/>
                <w:color w:val="auto"/>
              </w:rPr>
            </w:pPr>
            <w:r>
              <w:rPr>
                <w:rFonts w:ascii="Arial" w:cs="Arial" w:eastAsia="Arial" w:hAnsi="Arial"/>
                <w:sz w:val="16"/>
                <w:szCs w:val="16"/>
                <w:color w:val="auto"/>
              </w:rPr>
              <w:t>Palantir Technologies, Inc.</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(2,435,346)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(224,951)</w:t>
            </w:r>
          </w:p>
        </w:tc>
        <w:tc>
          <w:tcPr>
            <w:tcW w:w="100" w:type="dxa"/>
            <w:vAlign w:val="bottom"/>
          </w:tcPr>
          <w:p>
            <w:pPr>
              <w:spacing w:after="0"/>
              <w:rPr>
                <w:sz w:val="23"/>
                <w:szCs w:val="23"/>
                <w:color w:val="auto"/>
              </w:rPr>
            </w:pP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2,837,268</w:t>
            </w:r>
          </w:p>
        </w:tc>
        <w:tc>
          <w:tcPr>
            <w:tcW w:w="0" w:type="dxa"/>
            <w:vAlign w:val="bottom"/>
          </w:tcPr>
          <w:p>
            <w:pPr>
              <w:spacing w:after="0"/>
              <w:rPr>
                <w:sz w:val="1"/>
                <w:szCs w:val="1"/>
                <w:color w:val="auto"/>
              </w:rPr>
            </w:pPr>
          </w:p>
        </w:tc>
      </w:tr>
      <w:tr>
        <w:trPr>
          <w:trHeight w:val="231"/>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2"/>
              <w:spacing w:after="0"/>
              <w:rPr>
                <w:sz w:val="20"/>
                <w:szCs w:val="20"/>
                <w:color w:val="auto"/>
              </w:rPr>
            </w:pPr>
            <w:r>
              <w:rPr>
                <w:rFonts w:ascii="Arial" w:cs="Arial" w:eastAsia="Arial" w:hAnsi="Arial"/>
                <w:sz w:val="16"/>
                <w:szCs w:val="16"/>
                <w:color w:val="auto"/>
              </w:rPr>
              <w:t>8,133,394</w:t>
            </w:r>
          </w:p>
        </w:tc>
        <w:tc>
          <w:tcPr>
            <w:tcW w:w="100" w:type="dxa"/>
            <w:vAlign w:val="bottom"/>
          </w:tcPr>
          <w:p>
            <w:pPr>
              <w:spacing w:after="0"/>
              <w:rPr>
                <w:sz w:val="20"/>
                <w:szCs w:val="20"/>
                <w:color w:val="auto"/>
              </w:rPr>
            </w:pPr>
          </w:p>
        </w:tc>
        <w:tc>
          <w:tcPr>
            <w:tcW w:w="376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1"/>
              <w:spacing w:after="0"/>
              <w:rPr>
                <w:sz w:val="20"/>
                <w:szCs w:val="20"/>
                <w:color w:val="auto"/>
              </w:rPr>
            </w:pPr>
            <w:r>
              <w:rPr>
                <w:rFonts w:ascii="Arial" w:cs="Arial" w:eastAsia="Arial" w:hAnsi="Arial"/>
                <w:sz w:val="16"/>
                <w:szCs w:val="16"/>
                <w:color w:val="auto"/>
              </w:rPr>
              <w:t>33,280,265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12700</wp:posOffset>
            </wp:positionV>
            <wp:extent cx="70408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40880"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-130175</wp:posOffset>
            </wp:positionV>
            <wp:extent cx="11150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506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-130175</wp:posOffset>
            </wp:positionV>
            <wp:extent cx="11404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change in unrealized appreciation for these investments resulted from writing off an investment that was previously reduced in value to zero.</w:t>
      </w:r>
    </w:p>
    <w:p>
      <w:pPr>
        <w:spacing w:after="0" w:line="9" w:lineRule="exact"/>
        <w:rPr>
          <w:rFonts w:ascii="Arial" w:cs="Arial" w:eastAsia="Arial" w:hAnsi="Arial"/>
          <w:sz w:val="16"/>
          <w:szCs w:val="16"/>
          <w:color w:val="auto"/>
        </w:rPr>
      </w:pPr>
    </w:p>
    <w:p>
      <w:pPr>
        <w:ind w:left="500" w:right="200" w:hanging="492"/>
        <w:spacing w:after="0" w:line="246"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ind w:left="500" w:right="140" w:hanging="492"/>
        <w:spacing w:after="0" w:line="257"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three months ended March 31, 2018 or 2017.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right="160" w:firstLine="351"/>
        <w:spacing w:after="0" w:line="277" w:lineRule="auto"/>
        <w:rPr>
          <w:sz w:val="20"/>
          <w:szCs w:val="20"/>
          <w:color w:val="auto"/>
        </w:rPr>
      </w:pPr>
      <w:r>
        <w:rPr>
          <w:rFonts w:ascii="Arial" w:cs="Arial" w:eastAsia="Arial" w:hAnsi="Arial"/>
          <w:sz w:val="18"/>
          <w:szCs w:val="18"/>
          <w:color w:val="auto"/>
        </w:rPr>
        <w:t>Please refer to “Note 11—Subsequent Events” to our condensed consolidated financial statements as of March 31, 2018 for details regarding activity in our investment portfolio from April 1, 2018 through May 9, 2018.</w:t>
      </w:r>
    </w:p>
    <w:p>
      <w:pPr>
        <w:spacing w:after="0" w:line="170" w:lineRule="exact"/>
        <w:rPr>
          <w:sz w:val="20"/>
          <w:szCs w:val="20"/>
          <w:color w:val="auto"/>
        </w:rPr>
      </w:pPr>
    </w:p>
    <w:p>
      <w:pPr>
        <w:ind w:right="140" w:firstLine="351"/>
        <w:spacing w:after="0" w:line="276" w:lineRule="auto"/>
        <w:rPr>
          <w:sz w:val="20"/>
          <w:szCs w:val="20"/>
          <w:color w:val="auto"/>
        </w:rPr>
      </w:pPr>
      <w:r>
        <w:rPr>
          <w:rFonts w:ascii="Arial" w:cs="Arial" w:eastAsia="Arial" w:hAnsi="Arial"/>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Under the Share Repurchase Program, the Company may repurchase its outstanding common stock in the open market provided that the Company complies with the prohibitions under its insider trading policies and procedures and the applicable provisions of the 1940 Act and the Exchange Act.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April 1, 2018 through May 9, 2018, the Company did not repurchase any additional shares under the Share Repurchase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Our liquidity and capital resources are generated primarily from the sales of our investments and advances from our $12.0 million Credit Facility. In addition, during the three months ended March 31, 2018, we issued $40.0 million aggregate principal amount of 4.75% Convertible Senior Notes due 2023, as discussed further below and in “Note 10—Debt Capital Activities” to our condensed consolidated financial statements as of March 31, 2018. In management’s view, we have sufficient liquidity and capital resources to pay our operating expenses and conduct investment activities. With regard to the 5.25% Convertible Senior Notes due 2018, which mature on September 15, 2018, we are actively managing our liquidity in anticipation of meeting our obligations thereunder.</w:t>
      </w:r>
    </w:p>
    <w:p>
      <w:pPr>
        <w:spacing w:after="0" w:line="193" w:lineRule="exact"/>
        <w:rPr>
          <w:sz w:val="20"/>
          <w:szCs w:val="20"/>
          <w:color w:val="auto"/>
        </w:rPr>
      </w:pPr>
    </w:p>
    <w:p>
      <w:pPr>
        <w:ind w:right="240" w:firstLine="351"/>
        <w:spacing w:after="0" w:line="308" w:lineRule="auto"/>
        <w:rPr>
          <w:sz w:val="20"/>
          <w:szCs w:val="20"/>
          <w:color w:val="auto"/>
        </w:rPr>
      </w:pPr>
      <w:r>
        <w:rPr>
          <w:rFonts w:ascii="Arial" w:cs="Arial" w:eastAsia="Arial" w:hAnsi="Arial"/>
          <w:sz w:val="17"/>
          <w:szCs w:val="17"/>
          <w:color w:val="auto"/>
        </w:rPr>
        <w:t>Our primary uses of cash are to make investments, pay our operating expenses and make distributions to our stockholders. For the three months ended March 31, 2018 and 2017, our operating expenses, net of any fee waivers, were $241,862 and $5,146,671,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Cash Reserves and Liquid Securities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36"/>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90,319,558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59,838,600</w:t>
            </w:r>
          </w:p>
        </w:tc>
        <w:tc>
          <w:tcPr>
            <w:tcW w:w="0" w:type="dxa"/>
            <w:vAlign w:val="bottom"/>
          </w:tcPr>
          <w:p>
            <w:pPr>
              <w:spacing w:after="0"/>
              <w:rPr>
                <w:sz w:val="1"/>
                <w:szCs w:val="1"/>
                <w:color w:val="auto"/>
              </w:rPr>
            </w:pPr>
          </w:p>
        </w:tc>
      </w:tr>
      <w:tr>
        <w:trPr>
          <w:trHeight w:val="270"/>
        </w:trPr>
        <w:tc>
          <w:tcPr>
            <w:tcW w:w="6900" w:type="dxa"/>
            <w:vAlign w:val="bottom"/>
            <w:gridSpan w:val="2"/>
          </w:tcPr>
          <w:p>
            <w:pPr>
              <w:ind w:left="40"/>
              <w:spacing w:after="0"/>
              <w:rPr>
                <w:sz w:val="20"/>
                <w:szCs w:val="20"/>
                <w:color w:val="auto"/>
              </w:rPr>
            </w:pPr>
            <w:r>
              <w:rPr>
                <w:rFonts w:ascii="Arial" w:cs="Arial" w:eastAsia="Arial" w:hAnsi="Arial"/>
                <w:sz w:val="16"/>
                <w:szCs w:val="16"/>
                <w:color w:val="auto"/>
              </w:rPr>
              <w:t>Borrowing availability under the Credit Facility</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800" w:type="dxa"/>
            <w:vAlign w:val="bottom"/>
          </w:tcPr>
          <w:p>
            <w:pPr>
              <w:jc w:val="right"/>
              <w:ind w:right="40"/>
              <w:spacing w:after="0"/>
              <w:rPr>
                <w:sz w:val="20"/>
                <w:szCs w:val="20"/>
                <w:color w:val="auto"/>
              </w:rPr>
            </w:pPr>
            <w:r>
              <w:rPr>
                <w:rFonts w:ascii="Arial" w:cs="Arial" w:eastAsia="Arial" w:hAnsi="Arial"/>
                <w:sz w:val="16"/>
                <w:szCs w:val="16"/>
                <w:color w:val="auto"/>
              </w:rPr>
              <w:t>12,000,000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12,000,000</w:t>
            </w: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Securities of publicly traded portfolio companies: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00" w:type="dxa"/>
            <w:vAlign w:val="bottom"/>
            <w:gridSpan w:val="2"/>
          </w:tcPr>
          <w:p>
            <w:pPr>
              <w:ind w:left="220"/>
              <w:spacing w:after="0"/>
              <w:rPr>
                <w:sz w:val="20"/>
                <w:szCs w:val="20"/>
                <w:color w:val="auto"/>
              </w:rPr>
            </w:pPr>
            <w:r>
              <w:rPr>
                <w:rFonts w:ascii="Arial" w:cs="Arial" w:eastAsia="Arial" w:hAnsi="Arial"/>
                <w:sz w:val="16"/>
                <w:szCs w:val="16"/>
                <w:color w:val="auto"/>
              </w:rPr>
              <w:t>Unrestricted securities</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8,160,000</w:t>
            </w:r>
          </w:p>
        </w:tc>
        <w:tc>
          <w:tcPr>
            <w:tcW w:w="0" w:type="dxa"/>
            <w:vAlign w:val="bottom"/>
          </w:tcPr>
          <w:p>
            <w:pPr>
              <w:spacing w:after="0"/>
              <w:rPr>
                <w:sz w:val="1"/>
                <w:szCs w:val="1"/>
                <w:color w:val="auto"/>
              </w:rPr>
            </w:pPr>
          </w:p>
        </w:tc>
      </w:tr>
      <w:tr>
        <w:trPr>
          <w:trHeight w:val="270"/>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Subject to other sales restrictions</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24,062,243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900" w:type="dxa"/>
            <w:vAlign w:val="bottom"/>
            <w:gridSpan w:val="2"/>
          </w:tcPr>
          <w:p>
            <w:pPr>
              <w:ind w:left="40"/>
              <w:spacing w:after="0"/>
              <w:rPr>
                <w:sz w:val="20"/>
                <w:szCs w:val="20"/>
                <w:color w:val="auto"/>
              </w:rPr>
            </w:pPr>
            <w:r>
              <w:rPr>
                <w:rFonts w:ascii="Arial" w:cs="Arial" w:eastAsia="Arial" w:hAnsi="Arial"/>
                <w:sz w:val="16"/>
                <w:szCs w:val="16"/>
                <w:color w:val="auto"/>
              </w:rPr>
              <w:t>Total securities of publicly traded portfolio companies</w:t>
            </w:r>
          </w:p>
        </w:tc>
        <w:tc>
          <w:tcPr>
            <w:tcW w:w="360" w:type="dxa"/>
            <w:vAlign w:val="bottom"/>
          </w:tcPr>
          <w:p>
            <w:pPr>
              <w:spacing w:after="0"/>
              <w:rPr>
                <w:sz w:val="18"/>
                <w:szCs w:val="18"/>
                <w:color w:val="auto"/>
              </w:rPr>
            </w:pPr>
          </w:p>
        </w:tc>
        <w:tc>
          <w:tcPr>
            <w:tcW w:w="1800" w:type="dxa"/>
            <w:vAlign w:val="bottom"/>
          </w:tcPr>
          <w:p>
            <w:pPr>
              <w:jc w:val="right"/>
              <w:ind w:right="40"/>
              <w:spacing w:after="0"/>
              <w:rPr>
                <w:sz w:val="20"/>
                <w:szCs w:val="20"/>
                <w:color w:val="auto"/>
              </w:rPr>
            </w:pPr>
            <w:r>
              <w:rPr>
                <w:rFonts w:ascii="Arial" w:cs="Arial" w:eastAsia="Arial" w:hAnsi="Arial"/>
                <w:sz w:val="16"/>
                <w:szCs w:val="16"/>
                <w:color w:val="auto"/>
              </w:rPr>
              <w:t>24,062,243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8,160,000</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Cash Reserves and Liquid Securities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126,381,801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79,998,600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6"/>
                <w:szCs w:val="16"/>
                <w:color w:val="auto"/>
              </w:rPr>
              <w:t>_______________________</w:t>
            </w: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43053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ind w:left="500" w:right="40" w:hanging="492"/>
        <w:spacing w:after="0" w:line="246"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Subject to leverage and borrowing base restrictions and other requirements under the Credit Facility as of March 31, 2018 and December 31, 2017. Refer to “Note 10— Debt Capital Activities” to our condensed consolidated financial statements as of March 31, 2018 for details.</w:t>
      </w:r>
    </w:p>
    <w:p>
      <w:pPr>
        <w:ind w:left="500" w:right="540" w:hanging="492"/>
        <w:spacing w:after="0" w:line="246"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“Unrestricted securities” represents common stock of our publicly traded companies that are not subject to any restrictions upon sale. We may incur losses if we liquidate these positions to pay operating expenses or fund new investments.</w:t>
      </w:r>
    </w:p>
    <w:p>
      <w:pPr>
        <w:ind w:left="500" w:hanging="492"/>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of March 31, 2018, this balance represents our shares of common stock of Dropbox, Inc.</w:t>
      </w:r>
    </w:p>
    <w:p>
      <w:pPr>
        <w:spacing w:after="0" w:line="203" w:lineRule="exact"/>
        <w:rPr>
          <w:sz w:val="20"/>
          <w:szCs w:val="20"/>
          <w:color w:val="auto"/>
        </w:rPr>
      </w:pPr>
    </w:p>
    <w:p>
      <w:pPr>
        <w:ind w:right="140" w:firstLine="351"/>
        <w:spacing w:after="0" w:line="277" w:lineRule="auto"/>
        <w:rPr>
          <w:sz w:val="20"/>
          <w:szCs w:val="20"/>
          <w:color w:val="auto"/>
        </w:rPr>
      </w:pPr>
      <w:r>
        <w:rPr>
          <w:rFonts w:ascii="Arial" w:cs="Arial" w:eastAsia="Arial" w:hAnsi="Arial"/>
          <w:sz w:val="18"/>
          <w:szCs w:val="18"/>
          <w:color w:val="auto"/>
        </w:rPr>
        <w:t>During the three months ended March 31, 2018, cash increased to $90,319,558 from $59,838,600 at the beginning of the year. The increase in cash was primarily due to the receipt of net proceeds from the issuance of $40.0 million aggregate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principal amount of 4.75% Convertible Senior Notes due 2023 and approximately $16.0 million from the sale of certain portfolio investments, partially offset primarily by the use of approximately $19.3 million in cash to repurchase a portion of the outstanding 5.25% Convertible Senior Notes due 2018 and approximately $1.2 million in cash used under the Share Repurchase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Payments Due By Period (dollars in millions)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1–3 years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Payable for securities purchased</w:t>
            </w:r>
            <w:r>
              <w:rPr>
                <w:rFonts w:ascii="Arial" w:cs="Arial" w:eastAsia="Arial" w:hAnsi="Arial"/>
                <w:sz w:val="21"/>
                <w:szCs w:val="21"/>
                <w:color w:val="auto"/>
                <w:vertAlign w:val="superscript"/>
              </w:rPr>
              <w:t>(1)</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Credit Facility payable</w:t>
            </w:r>
            <w:r>
              <w:rPr>
                <w:rFonts w:ascii="Arial" w:cs="Arial" w:eastAsia="Arial" w:hAnsi="Arial"/>
                <w:sz w:val="21"/>
                <w:szCs w:val="21"/>
                <w:color w:val="auto"/>
                <w:vertAlign w:val="superscript"/>
              </w:rPr>
              <w:t>(2)(3)</w:t>
            </w:r>
          </w:p>
        </w:tc>
        <w:tc>
          <w:tcPr>
            <w:tcW w:w="9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3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Senior Notes</w:t>
            </w:r>
            <w:r>
              <w:rPr>
                <w:rFonts w:ascii="Arial" w:cs="Arial" w:eastAsia="Arial" w:hAnsi="Arial"/>
                <w:sz w:val="21"/>
                <w:szCs w:val="21"/>
                <w:color w:val="auto"/>
                <w:vertAlign w:val="superscript"/>
              </w:rPr>
              <w:t>(4)</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179.5</w:t>
            </w:r>
          </w:p>
        </w:tc>
        <w:tc>
          <w:tcPr>
            <w:tcW w:w="12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_______________________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right="580" w:hanging="492"/>
        <w:spacing w:after="0" w:line="246"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“Payable for securities purchased” relates to the purchase of the U.S. Treasury bill on margin. This balance was subsequently repaid on April 5, 2018, when the $100.0 million United States Treasury bill matured and the $10.5 million margin deposit that we posted as collateral was returned.</w:t>
      </w: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total unused amount available under the Credit Facility as of March 31, 2018 was $12.0 million.</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weighted-average interest rate incurred under the Credit Facility was 0.00% for the three months ended March 31, 2018.</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balance shown for the Convertible Senior Notes reflects the principal balance payable to investors for both the 5.25% Convertible Senior Notes due 2018 and</w:t>
      </w:r>
    </w:p>
    <w:p>
      <w:pPr>
        <w:spacing w:after="0" w:line="16" w:lineRule="exact"/>
        <w:rPr>
          <w:rFonts w:ascii="Arial" w:cs="Arial" w:eastAsia="Arial" w:hAnsi="Arial"/>
          <w:sz w:val="15"/>
          <w:szCs w:val="15"/>
          <w:color w:val="auto"/>
        </w:rPr>
      </w:pPr>
    </w:p>
    <w:p>
      <w:pPr>
        <w:ind w:left="500" w:right="100"/>
        <w:spacing w:after="0" w:line="257" w:lineRule="auto"/>
        <w:rPr>
          <w:rFonts w:ascii="Arial" w:cs="Arial" w:eastAsia="Arial" w:hAnsi="Arial"/>
          <w:sz w:val="15"/>
          <w:szCs w:val="15"/>
          <w:color w:val="auto"/>
        </w:rPr>
      </w:pPr>
      <w:r>
        <w:rPr>
          <w:rFonts w:ascii="Arial" w:cs="Arial" w:eastAsia="Arial" w:hAnsi="Arial"/>
          <w:sz w:val="16"/>
          <w:szCs w:val="16"/>
          <w:color w:val="auto"/>
        </w:rPr>
        <w:t>4.75% Convertible Senior Notes due 2023 as of March 31, 2018. Refer to “Note 10—Debt Capital Activities” to our condensed consolidated financial statements as of March 31, 2018 for more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three months ended March 31, 2018, we repurchased 179,807 shares of our common stock pursuant to the Share Repurchase Program at an average price of $6.90 per share, or approximately $1.2 million in aggregate. As of March 31, 2018, the dollar value of shares that remained available to be purchases under the Share Repurchase Program was approximately $3.8 million. For more information on the Share Repurchase Program, see "Part II. Item 2. Unregistered Sales of Equity Securities and Use of Proceeds".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March 31, 2018, we had no off-balance sheet arrangements, including any risk management of commodity pricing or other hedging practices.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employ hedging and other risk management techniques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Pursuant to the Loan Agreement, Western Alliance Bank has agreed to provide us with the $12.0 million Credit Facility, which, among other things, matures on May 31, 2019 and bears interest at a per annum rate equal to the prime rate plus 3.50%. In addition, the Loan Agreement requires payment of a fee for unused amounts during the revolving period in an amount equal to 0.50% per annum of the average unused portion of the Credit Facility payable quarterly in arrears. Refer to “Note 10—Debt Capital Activities” to our condensed consolidated financial statements as of March 31, 2018 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made no sales of our equity securities during the three months ended March 31, 2018 or the year ended December 31, 2017.</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5.25% Convertible Senior Notes due 2018 - Tender Offer and Repurchase</w:t>
      </w:r>
    </w:p>
    <w:p>
      <w:pPr>
        <w:spacing w:after="0" w:line="229"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On December 15, 2017, we announced the commencement of the Tender Offer to purchase any and all of the $69.0 million aggregate principal amount of outstanding 5.25% Convertible Senior Notes due 2018. As of the expiration of the Tender Offer on January 17, 2018, approximately $4.8 million aggregate principal amount of the 5.25% Convertible Senior Notes due 2018 representing approximately 7.0% of the outstanding 5.25% Convertible Senior Notes due 2018, were validly tendered and not validly withdrawn pursuant to the Tender Offer. On March 27, 2018, we repurchased an additional $14.2 million aggregate principal amount of the outstanding 5.25% Convertible Senior Notes due 2018. Refer to “Note 10—Debt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Capital Activities” to our condensed consolidated financial statements as of March 31, 2018 for more information regarding the 5.25% Convertible Senior Notes due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4.75% Convertible Senior Notes due 2023 - Issuance</w:t>
      </w:r>
    </w:p>
    <w:p>
      <w:pPr>
        <w:spacing w:after="0" w:line="229" w:lineRule="exact"/>
        <w:rPr>
          <w:sz w:val="20"/>
          <w:szCs w:val="20"/>
          <w:color w:val="auto"/>
        </w:rPr>
      </w:pPr>
    </w:p>
    <w:p>
      <w:pPr>
        <w:ind w:right="280" w:firstLine="351"/>
        <w:spacing w:after="0" w:line="257" w:lineRule="auto"/>
        <w:rPr>
          <w:sz w:val="20"/>
          <w:szCs w:val="20"/>
          <w:color w:val="auto"/>
        </w:rPr>
      </w:pPr>
      <w:r>
        <w:rPr>
          <w:rFonts w:ascii="Arial" w:cs="Arial" w:eastAsia="Arial" w:hAnsi="Arial"/>
          <w:sz w:val="18"/>
          <w:szCs w:val="18"/>
          <w:color w:val="auto"/>
        </w:rPr>
        <w:t>On March 28, 2018, we issued $40.0 million aggregate principal amount of Convertible Senior Notes, which bear interest at a fixed rate of 4.75% per year, payable semi-annually in arrears on March 31 and September 30 of each year, commencing on September 30, 2018. We received $38.2 million in proceeds from the offering, net of underwriting discounts and commissions and other offering expenses. The 4.75% Convertible Senior Notes due 2023 mature on March 28, 2023, unless previously repurchased or converted in accordance with their terms. We do not have the right to redeem the 4.75% Convertible Senior Notes due 2023 prior to March 27, 2021.</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connection with the issuance of the 4.75% Convertible Senior Notes due 2023, we are required under the terms of the Credit Facility to deposit the proceeds from the 4.75% Convertible Senior Notes due 2023 offering into an account at Western Alliance Bank and are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 Refer to “Note 10—Debt Capital Activities” to our condensed consolidated financial statements as of March 31, 2018 for more information regarding the 4.75% Convertible Senior Notes due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March 31, 2018. The table is divided by fiscal year according to record date:</w:t>
      </w:r>
    </w:p>
    <w:p>
      <w:pPr>
        <w:spacing w:after="0" w:line="186"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4"/>
              </w:rPr>
              <w:t>Payment Date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 per Share</w:t>
            </w: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2015:</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473"/>
        </w:trPr>
        <w:tc>
          <w:tcPr>
            <w:tcW w:w="2760" w:type="dxa"/>
            <w:vAlign w:val="bottom"/>
            <w:gridSpan w:val="2"/>
          </w:tcPr>
          <w:p>
            <w:pPr>
              <w:ind w:left="200"/>
              <w:spacing w:after="0"/>
              <w:rPr>
                <w:sz w:val="20"/>
                <w:szCs w:val="20"/>
                <w:color w:val="auto"/>
              </w:rPr>
            </w:pPr>
            <w:r>
              <w:rPr>
                <w:rFonts w:ascii="Arial" w:cs="Arial" w:eastAsia="Arial" w:hAnsi="Arial"/>
                <w:sz w:val="16"/>
                <w:szCs w:val="16"/>
                <w:color w:val="auto"/>
              </w:rPr>
              <w:t>November 4, 2015</w:t>
            </w:r>
            <w:r>
              <w:rPr>
                <w:rFonts w:ascii="Arial" w:cs="Arial" w:eastAsia="Arial" w:hAnsi="Arial"/>
                <w:sz w:val="21"/>
                <w:szCs w:val="21"/>
                <w:color w:val="auto"/>
                <w:vertAlign w:val="superscript"/>
              </w:rPr>
              <w:t>(1)</w:t>
            </w: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November 16, 2015</w:t>
            </w:r>
          </w:p>
        </w:tc>
        <w:tc>
          <w:tcPr>
            <w:tcW w:w="2000" w:type="dxa"/>
            <w:vAlign w:val="bottom"/>
            <w:gridSpan w:val="2"/>
          </w:tcPr>
          <w:p>
            <w:pPr>
              <w:jc w:val="center"/>
              <w:spacing w:after="0"/>
              <w:rPr>
                <w:sz w:val="20"/>
                <w:szCs w:val="20"/>
                <w:color w:val="auto"/>
              </w:rPr>
            </w:pPr>
            <w:r>
              <w:rPr>
                <w:rFonts w:ascii="Arial" w:cs="Arial" w:eastAsia="Arial" w:hAnsi="Arial"/>
                <w:sz w:val="16"/>
                <w:szCs w:val="16"/>
                <w:color w:val="auto"/>
                <w:w w:val="91"/>
              </w:rPr>
              <w:t>December 31, 2015</w:t>
            </w:r>
          </w:p>
        </w:tc>
        <w:tc>
          <w:tcPr>
            <w:tcW w:w="64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2016:</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473"/>
        </w:trPr>
        <w:tc>
          <w:tcPr>
            <w:tcW w:w="27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August 3, 2016</w:t>
            </w:r>
            <w:r>
              <w:rPr>
                <w:rFonts w:ascii="Arial" w:cs="Arial" w:eastAsia="Arial" w:hAnsi="Arial"/>
                <w:sz w:val="21"/>
                <w:szCs w:val="21"/>
                <w:color w:val="auto"/>
                <w:vertAlign w:val="superscript"/>
              </w:rPr>
              <w:t>(2)</w:t>
            </w:r>
          </w:p>
        </w:tc>
        <w:tc>
          <w:tcPr>
            <w:tcW w:w="21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August 16, 2016</w:t>
            </w:r>
          </w:p>
        </w:tc>
        <w:tc>
          <w:tcPr>
            <w:tcW w:w="20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2"/>
              </w:rPr>
              <w:t>August 24, 2016</w:t>
            </w: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r>
        <w:trPr>
          <w:trHeight w:val="244"/>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0"/>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___________________________</w:t>
      </w:r>
    </w:p>
    <w:p>
      <w:pPr>
        <w:spacing w:after="0" w:line="22" w:lineRule="exact"/>
        <w:rPr>
          <w:sz w:val="20"/>
          <w:szCs w:val="20"/>
          <w:color w:val="auto"/>
        </w:rPr>
      </w:pPr>
    </w:p>
    <w:p>
      <w:pPr>
        <w:ind w:left="980" w:right="60" w:hanging="324"/>
        <w:spacing w:after="0" w:line="248"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3" w:lineRule="exact"/>
        <w:rPr>
          <w:rFonts w:ascii="Arial" w:cs="Arial" w:eastAsia="Arial" w:hAnsi="Arial"/>
          <w:sz w:val="16"/>
          <w:szCs w:val="16"/>
          <w:color w:val="auto"/>
        </w:rPr>
      </w:pPr>
    </w:p>
    <w:p>
      <w:pPr>
        <w:ind w:left="980" w:hanging="324"/>
        <w:spacing w:after="0"/>
        <w:tabs>
          <w:tab w:leader="none" w:pos="9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Of the total distribution of $887,240 on August 24, 2016, $820,753 represented a distribution from realized gains and $66,487 represented a return of capital.</w:t>
      </w:r>
    </w:p>
    <w:p>
      <w:pPr>
        <w:spacing w:after="0" w:line="214"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business development companies that primarily make debt investments. If there are earnings or realized capital gains to be distributed, we intend to declare and pay a distribution at least annually. The amount of realized capital gains available for distribution to stockholders will be impacted by our treatment as a RIC.</w:t>
      </w:r>
    </w:p>
    <w:p>
      <w:pPr>
        <w:spacing w:after="0" w:line="188" w:lineRule="exact"/>
        <w:rPr>
          <w:sz w:val="20"/>
          <w:szCs w:val="20"/>
          <w:color w:val="auto"/>
        </w:rPr>
      </w:pPr>
    </w:p>
    <w:p>
      <w:pPr>
        <w:ind w:right="60" w:firstLine="351"/>
        <w:spacing w:after="0" w:line="273" w:lineRule="auto"/>
        <w:rPr>
          <w:sz w:val="20"/>
          <w:szCs w:val="20"/>
          <w:color w:val="auto"/>
        </w:rPr>
      </w:pPr>
      <w:r>
        <w:rPr>
          <w:rFonts w:ascii="Arial" w:cs="Arial" w:eastAsia="Arial" w:hAnsi="Arial"/>
          <w:sz w:val="17"/>
          <w:szCs w:val="17"/>
          <w:color w:val="auto"/>
        </w:rPr>
        <w:t>Our current intention is to make any future distributions out of assets legally available in the form of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w:t>
      </w:r>
    </w:p>
    <w:p>
      <w:pPr>
        <w:ind w:right="80"/>
        <w:spacing w:after="0" w:line="261" w:lineRule="auto"/>
        <w:rPr>
          <w:sz w:val="20"/>
          <w:szCs w:val="20"/>
          <w:color w:val="auto"/>
        </w:rPr>
      </w:pPr>
      <w:r>
        <w:rPr>
          <w:rFonts w:ascii="Arial" w:cs="Arial" w:eastAsia="Arial" w:hAnsi="Arial"/>
          <w:sz w:val="18"/>
          <w:szCs w:val="18"/>
          <w:color w:val="auto"/>
        </w:rPr>
        <w:t>Stockholders who hold shares in the name of a broker or financial intermediary should contact the broker or financial intermediary regarding any election to receive distributions in cash.</w:t>
      </w:r>
    </w:p>
    <w:p>
      <w:pPr>
        <w:spacing w:after="0" w:line="18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We elected to be treated as a RIC under Subchapter M of the Code beginning with our taxable year ended December 31, 2014 and continue to qualify to be treated as a RIC. 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 order to qualify as a RIC and to avoid corporate-level income tax on the income we distribute to our stockholders, we are required, under Subchapter M of the Code, to distribute at least 90% of our ordinary income and short-term capital gains to our stockholders on an annual basis. See “Note 2 - Significant Accounting Policies - </w:t>
      </w:r>
      <w:r>
        <w:rPr>
          <w:rFonts w:ascii="Arial" w:cs="Arial" w:eastAsia="Arial" w:hAnsi="Arial"/>
          <w:sz w:val="18"/>
          <w:szCs w:val="18"/>
          <w:i w:val="1"/>
          <w:iCs w:val="1"/>
          <w:color w:val="auto"/>
        </w:rPr>
        <w:t>U.S. Federal and State Income Taxes</w:t>
      </w:r>
      <w:r>
        <w:rPr>
          <w:rFonts w:ascii="Arial" w:cs="Arial" w:eastAsia="Arial" w:hAnsi="Arial"/>
          <w:sz w:val="18"/>
          <w:szCs w:val="18"/>
          <w:color w:val="auto"/>
        </w:rPr>
        <w:t>” and “Note 9 - Income Taxes” to our condensed consolidated financial statements as of March 31, 2018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51"/>
        <w:spacing w:after="0" w:line="272" w:lineRule="auto"/>
        <w:rPr>
          <w:sz w:val="20"/>
          <w:szCs w:val="20"/>
          <w:color w:val="auto"/>
        </w:rPr>
      </w:pPr>
      <w:r>
        <w:rPr>
          <w:rFonts w:ascii="Arial" w:cs="Arial" w:eastAsia="Arial" w:hAnsi="Arial"/>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March 31, 2018 for further detail regarding our critical accounting policies and recently issued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See “Note 3—Related-Party Arrangements” to our condensed consolidated financial statements as of March 31, 2018 for more information.</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122" w:right="319" w:bottom="1440" w:gutter="0" w:footer="0" w:header="0"/>
        </w:sectPr>
      </w:pPr>
    </w:p>
    <w:bookmarkStart w:id="61" w:name="page62"/>
    <w:bookmarkEnd w:id="6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140" w:firstLine="351"/>
        <w:spacing w:after="0" w:line="276"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87"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As of March 31, 2018, all of our debt investments and outstanding borrowings bore a fixed rate of interest. The Credit Facility, however, is indexed to the prime rate. We do not expect a significant impact on our net investment income or loss due to changes in the prime rate; however, the table below indicates the impact on our net investment income or loss should the prime rate change. Based on our March 31, 2018 Condensed Consolidated Statement of Assets and Liabilities, the following table shows the various, incremental impact of changes in interest rates on our net income or loss related to the Credit Facility for the three months ended March 31, 2018, assuming no changes in our investment income and borrowing structure. Although we believe that this measure is indicative of our sensitivity to the below-referenced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Basis Point Change</w:t>
            </w:r>
            <w:r>
              <w:rPr>
                <w:rFonts w:ascii="Arial" w:cs="Arial" w:eastAsia="Arial" w:hAnsi="Arial"/>
                <w:sz w:val="8"/>
                <w:szCs w:val="8"/>
                <w:b w:val="1"/>
                <w:bCs w:val="1"/>
                <w:color w:val="auto"/>
              </w:rPr>
              <w:t>(1)</w:t>
            </w:r>
          </w:p>
        </w:tc>
        <w:tc>
          <w:tcPr>
            <w:tcW w:w="120" w:type="dxa"/>
            <w:vAlign w:val="bottom"/>
            <w:vMerge w:val="restart"/>
          </w:tcPr>
          <w:p>
            <w:pPr>
              <w:spacing w:after="0"/>
              <w:rPr>
                <w:sz w:val="14"/>
                <w:szCs w:val="14"/>
                <w:color w:val="auto"/>
              </w:rPr>
            </w:pPr>
          </w:p>
        </w:tc>
        <w:tc>
          <w:tcPr>
            <w:tcW w:w="1100" w:type="dxa"/>
            <w:vAlign w:val="bottom"/>
          </w:tcPr>
          <w:p>
            <w:pPr>
              <w:jc w:val="right"/>
              <w:ind w:right="41"/>
              <w:spacing w:after="0"/>
              <w:rPr>
                <w:sz w:val="20"/>
                <w:szCs w:val="20"/>
                <w:color w:val="auto"/>
              </w:rPr>
            </w:pPr>
            <w:r>
              <w:rPr>
                <w:rFonts w:ascii="Arial" w:cs="Arial" w:eastAsia="Arial" w:hAnsi="Arial"/>
                <w:sz w:val="14"/>
                <w:szCs w:val="14"/>
                <w:b w:val="1"/>
                <w:bCs w:val="1"/>
                <w:color w:val="auto"/>
              </w:rPr>
              <w:t>Interest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1260" w:type="dxa"/>
            <w:vAlign w:val="bottom"/>
          </w:tcPr>
          <w:p>
            <w:pPr>
              <w:jc w:val="right"/>
              <w:ind w:right="54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Income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8"/>
              </w:rPr>
              <w:t>Income/(Loss)</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Up 300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Up 200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60,000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Up 100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Down 100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Down 200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Down 300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right="240" w:hanging="492"/>
        <w:spacing w:after="0" w:line="332" w:lineRule="auto"/>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Assumes we have borrowed $12.0 million under the Credit Facility for the three months ended March 31, 2018. Our actual borrowings under the Credit Facility will vary based on our needs throughout the year. For the year ended December 31, 2017, our actual average borrowings under the Credit Facility were $460,274.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As of March 31, 2018,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80" w:firstLine="351"/>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fiscal quarter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2" w:right="279" w:bottom="1440" w:gutter="0" w:footer="0" w:header="0"/>
        </w:sectPr>
      </w:pPr>
    </w:p>
    <w:bookmarkStart w:id="63" w:name="page64"/>
    <w:bookmarkEnd w:id="6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500" w:firstLine="351"/>
        <w:spacing w:after="0" w:line="308" w:lineRule="auto"/>
        <w:rPr>
          <w:sz w:val="20"/>
          <w:szCs w:val="20"/>
          <w:color w:val="auto"/>
        </w:rPr>
      </w:pPr>
      <w:r>
        <w:rPr>
          <w:rFonts w:ascii="Arial" w:cs="Arial" w:eastAsia="Arial" w:hAnsi="Arial"/>
          <w:sz w:val="17"/>
          <w:szCs w:val="17"/>
          <w:color w:val="auto"/>
        </w:rPr>
        <w:t>Although we and our subsidiaries may, from time to time, be involved in litigation arising out of our and our subsidiaries’ operations in the normal course of business or otherwise, neither we nor any of our subsidiaries are currently a party to any pending material legal proceedings.</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351"/>
        <w:spacing w:after="0" w:line="270"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report, you should carefully consider the factors discussed in our annual report on Form 10-K for the fiscal year ended December 31, 2017, filed with the SEC on March 16, 2018, which could materially affect our business, financial condition and/or operating results. Although the risks described below and in our annual report on Form 10-K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If any of the following events occur, our business, financial condition and results of operations could be materially and adversely affected. In such case, our net asset value and the trading price of our common stock could decline, and you may lose all or part of your investment. Other than as described below, during the three months ended March 31, 2018, there have been no material changes to the risk factors discussed in "Item 1A. Risk Factors" of Part I our annual report on Form 10-K for the fiscal year ended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4.75% Convertible Senior Notes due 2023</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4.75% Convertible Senior Notes due 2023 are unsecured and, therefore, are effectively subordinated to any secured indebtedness we have currently incurred or may incur in the future.</w:t>
      </w:r>
    </w:p>
    <w:p>
      <w:pPr>
        <w:spacing w:after="0" w:line="170" w:lineRule="exact"/>
        <w:rPr>
          <w:sz w:val="20"/>
          <w:szCs w:val="20"/>
          <w:color w:val="auto"/>
        </w:rPr>
      </w:pPr>
    </w:p>
    <w:p>
      <w:pPr>
        <w:ind w:right="100" w:firstLine="351"/>
        <w:spacing w:after="0" w:line="270" w:lineRule="auto"/>
        <w:rPr>
          <w:sz w:val="20"/>
          <w:szCs w:val="20"/>
          <w:color w:val="auto"/>
        </w:rPr>
      </w:pPr>
      <w:r>
        <w:rPr>
          <w:rFonts w:ascii="Arial" w:cs="Arial" w:eastAsia="Arial" w:hAnsi="Arial"/>
          <w:sz w:val="17"/>
          <w:szCs w:val="17"/>
          <w:color w:val="auto"/>
        </w:rPr>
        <w:t>The 4.75% Convertible Senior Notes due 2023 are not secured by any of our assets or any of the assets of our subsidiaries. As a result, the 4.75% Convertible Senior Notes due 2023 are effectively subordinated to any secured indebtedness we or our subsidiaries had outstanding as of the date issuance or that we or they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4.75% Convertible Senior Notes due 2023. As of March 31, 2018, we did not have any indebtedness outstanding under the Credit Facility; however, the Credit Facility is secured and, therefore, effectively senior to the 4.75% Convertible Senior Notes due 2023 to the extent of the value of the assets securing any future borrowings under the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4.75% Convertible Senior Notes due 2023 will be structurally subordinated to the indebtedness and other liabilities of our subsidiaries.</w:t>
      </w:r>
    </w:p>
    <w:p>
      <w:pPr>
        <w:spacing w:after="0" w:line="23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The 4.75% Convertible Senior Notes due 2023 are obligations exclusively of GSV Capital Corp. and not of any of our subsidiaries, which are separate and distinct legal entities. None of our subsidiaries is a guarantor of the 4.75% Convertible Senior Notes due 2023 or is otherwise obligated to make payments on the 4.75% Convertible Senior Notes due 2023 or to make any funds available for that purpose, and the 4.75% Convertible Senior Notes due 2023 are not required to be guaranteed by any subsidiaries we may acquire or create in the future. As a result, the 4.75% Convertible Senior Notes due 2023 will be structurally subordinated to any future liabilities and other indebtedness of our subsidiaries. These liabilities may include indebtedness, trade payables, guarantees, lease obligations and letter of credit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Servicing our debt requires a significant amount of cash, and we may not have sufficient cash flow from our business to pay our debt.</w:t>
      </w:r>
    </w:p>
    <w:p>
      <w:pPr>
        <w:spacing w:after="0" w:line="23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5.25% Convertible Senior Notes due 2018 and the 4.75% Convertible Senior Notes due 2023, depends on our future performance, which is subject to economic, financial, competitive and other factors beyond our control. Our business may not continue to generate cash flow from operations in the future sufficient to service our debt and make necessary capital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expenditures. If we are unable to generate such cash flow, we may be required to adopt one or more alternatives, such as selling assets (including interests in our portfolio companies if permitted pursuant to the terms of our investment) under terms that may be disadvantageous for us,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Regulatory actions and the inability of the holders of the 4.75% Convertible Senior Notes due 2023 to borrow our common stock may adversely affect the trading price and liquidity of the 4.75% Convertible Senior Notes due 2023.</w:t>
      </w:r>
    </w:p>
    <w:p>
      <w:pPr>
        <w:spacing w:after="0" w:line="170"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We expect that holders of 4.75% Convertible Senior Notes due 2023 will employ, or seek to employ, a convertible arbitrage strategy with respect to the 4.75% Convertible Senior Notes due 2023. Holders would typically implement this strategy by selling short the common stock underlying the 4.75% Convertible Senior Notes due 2023 and dynamically adjusting their short position while they hold the 4.75% Convertible Senior Notes due 2023. Holders may also implement this strategy by entering into swaps on our common stock in lieu of or in addition to short selling the common stock.</w:t>
      </w:r>
    </w:p>
    <w:p>
      <w:pPr>
        <w:spacing w:after="0" w:line="15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The SEC and other regulatory and self-regulatory authorities have implemented various rules and may adopt additional rules in the future that may impact those engaging in short selling activity involving equity securities (including our common stock), including Rule 201 of SEC Regulation SHO, the Financial Industry Regulatory Authority, Inc.’s “Limit Up-Limit Down” program, market-wide circuit breaker systems that halt trading of securities for certain periods following specific market declines, and rules stemming from the enactment and implementation of the Dodd-Frank Act. Past regulatory actions, including emergency actions or regulations have had a significant impact on the trading prices and liquidity of equity-linked instruments. Any governmental action that similarly restricts the ability of the holders of the 4.75% Convertible Senior Notes due 2023 or potential purchasers thereof to effect short sales of our common stock or enter into swaps on our common stock could similarly adversely affect the trading price and the liquidity of the 4.75% Convertible Senior Notes due 2023.</w:t>
      </w:r>
    </w:p>
    <w:p>
      <w:pPr>
        <w:spacing w:after="0" w:line="192" w:lineRule="exact"/>
        <w:rPr>
          <w:sz w:val="20"/>
          <w:szCs w:val="20"/>
          <w:color w:val="auto"/>
        </w:rPr>
      </w:pPr>
    </w:p>
    <w:p>
      <w:pPr>
        <w:jc w:val="both"/>
        <w:ind w:right="220" w:firstLine="351"/>
        <w:spacing w:after="0" w:line="264" w:lineRule="auto"/>
        <w:rPr>
          <w:sz w:val="20"/>
          <w:szCs w:val="20"/>
          <w:color w:val="auto"/>
        </w:rPr>
      </w:pPr>
      <w:r>
        <w:rPr>
          <w:rFonts w:ascii="Arial" w:cs="Arial" w:eastAsia="Arial" w:hAnsi="Arial"/>
          <w:sz w:val="18"/>
          <w:szCs w:val="18"/>
          <w:color w:val="auto"/>
        </w:rPr>
        <w:t>In addition, if the holders and potential purchasers of the 4.75% Convertible Senior Notes due 2023 seeking to employ a convertible arbitrage strategy are unable to borrow or enter into swaps on our common stock, in each case on commercially reasonable terms, the trading price and liquidity of the 4.75% Convertible Senior Notes due 2023 may be adversely affected.</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Volatility in the market price and trading volume of our common stock could adversely impact the trading price of the 4.75% Convertible Senior Notes due 2023.</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quarterly report on Form 10-Q and elsewhere in our SEC filings, including our annual report on Form 10-K for the fiscal year ended December 31, 2017, or for reasons unrelated to our operations, such as reports by industry analysts, investor perceptions or negative announcements by our portfolio companies or competitors regarding their own performance, as well as industry conditions and general financial, economic and political instability. A decrease in the market price of our common stock would likely adversely impact the trading price of the 4.75% Convertible Senior Notes due 2023. The market price of our common stock could also be affected by possible sales of our common stock by investors who view the 4.75% Convertible Senior Notes due 2023 as a more attractive means of equity participation in us and by hedging or arbitrage trading activity that we expect to develop involving our common stock. This trading activity could, in turn, affect the trading prices of the 4.75% Convertible Senior Notes due 2023. This may result in greater volatility in the trading price of the 4.75% Convertible Senior Notes due 2023 than would be expected for non-convertible debt securities.</w:t>
      </w:r>
    </w:p>
    <w:p>
      <w:pPr>
        <w:spacing w:after="0" w:line="169"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In addition, in recent years, the stock market in general has experienced extreme price and volume fluctuations. This volatility has had a significant effect on the market price of securities issued by many companies for reasons often unrelated to their operating performance. These broad market fluctuations may adversely affect our stock price, regardless of our operating results.</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may not have, or have the ability to raise, the funds necessary to purchase the 4.75% Convertible Senior Notes due 2023 as required upon a fundamental change, and our future debt may contain limitations on our ability to deliver shares of our common stock deliverable upon conversion or purchase of the 4.75% Convertible Senior Notes due 2023.</w:t>
      </w:r>
    </w:p>
    <w:p>
      <w:pPr>
        <w:spacing w:after="0" w:line="181" w:lineRule="exact"/>
        <w:rPr>
          <w:sz w:val="20"/>
          <w:szCs w:val="20"/>
          <w:color w:val="auto"/>
        </w:rPr>
      </w:pPr>
    </w:p>
    <w:p>
      <w:pPr>
        <w:jc w:val="both"/>
        <w:ind w:right="480" w:firstLine="392"/>
        <w:spacing w:after="0" w:line="264" w:lineRule="auto"/>
        <w:rPr>
          <w:sz w:val="20"/>
          <w:szCs w:val="20"/>
          <w:color w:val="auto"/>
        </w:rPr>
      </w:pPr>
      <w:r>
        <w:rPr>
          <w:rFonts w:ascii="Arial" w:cs="Arial" w:eastAsia="Arial" w:hAnsi="Arial"/>
          <w:sz w:val="18"/>
          <w:szCs w:val="18"/>
          <w:color w:val="auto"/>
        </w:rPr>
        <w:t>Holders of the 4.75% Convertible Senior Notes due 2023 will have the right to require us to purchase their notes for cash upon the occurrence of a fundamental change at a purchase price equal to 100% of their principal amount, plus accrued and unpaid interest, if any, as described in the prospectus supplement relating to the offering of the 4.75% Convertible Senior Notes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due 2023, dated March 22, 2018, and the accompanying prospectus. We may not have enough available cash or be able to obtain financing at the time we are required to make purchases of 4.75% Convertible Senior Notes due 2023 surrendered therefor. In addition, our ability to purchase the 4.75% Convertible Senior Notes due 2023 or to deliver shares of our common stock upon conversions of the 4.75% Convertible Senior Notes due 2023 may be limited by law, by regulatory authority or by agreements governing our indebtedness. For example, the Credit Facility generally prohibits us from prepaying indebtedness other than borrowings under the Credit Facility and, under certain circumstances, the outstanding 5.25% Convertible Senior Notes due 2018. As a result, before making any such repurchase of the 4.75% Convertible Senior Notes due 2023, we would have to obtain consent from the lender under the Credit Facility to the extent such requirements remain in effect at such time. Our failure to purchase 4.75% Convertible Senior Notes due 2023 at a time when the purchase is required by the indenture or deliver any shares of our common stock deliverable on future conversions of the 4.75% Convertible Senior Notes due 2023 as required by the governing indenture would constitute a default under the indenture. A default under the indenture or the fundamental change itself would also lead to a default under the Credit Facility. If the repayment of the related indebtedness were to be accelerated after any applicable notice or grace periods, we may not have sufficient funds to repay the indebtedness and purchase the 4.75% Convertible Senior Notes due 2023.</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 the public market or issuance of securities senior to our common stock could lower the market price for our common stock and adversely impact the value of the 4.75% Convertible Senior Notes due 2023.</w:t>
      </w:r>
    </w:p>
    <w:p>
      <w:pPr>
        <w:spacing w:after="0" w:line="170" w:lineRule="exact"/>
        <w:rPr>
          <w:sz w:val="20"/>
          <w:szCs w:val="20"/>
          <w:color w:val="auto"/>
        </w:rPr>
      </w:pPr>
    </w:p>
    <w:p>
      <w:pPr>
        <w:ind w:right="180" w:firstLine="351"/>
        <w:spacing w:after="0" w:line="279" w:lineRule="auto"/>
        <w:rPr>
          <w:sz w:val="20"/>
          <w:szCs w:val="20"/>
          <w:color w:val="auto"/>
        </w:rPr>
      </w:pPr>
      <w:r>
        <w:rPr>
          <w:rFonts w:ascii="Arial" w:cs="Arial" w:eastAsia="Arial" w:hAnsi="Arial"/>
          <w:sz w:val="17"/>
          <w:szCs w:val="17"/>
          <w:color w:val="auto"/>
        </w:rPr>
        <w:t>Future sales of substantial amounts of our common stock or equity-related securities in the public market, or the perception that such sales could occur, could adversely affect prevailing trading prices of our common stock and the value of the 4.75% Convertible Senior Notes due 2023 and could impair our ability to raise capital through future offerings of equity or equity-related securities. We cannot predict the size of future issuances or the effect, if any, that they may have on the market price for our common stock or the value of the 4.75% Convertible Senior Notes due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conversion rate of the 4.75% Convertible Senior Notes due 2023 may not be adjusted for all dilutive events.</w:t>
      </w:r>
    </w:p>
    <w:p>
      <w:pPr>
        <w:spacing w:after="0" w:line="225" w:lineRule="exact"/>
        <w:rPr>
          <w:sz w:val="20"/>
          <w:szCs w:val="20"/>
          <w:color w:val="auto"/>
        </w:rPr>
      </w:pPr>
    </w:p>
    <w:p>
      <w:pPr>
        <w:ind w:firstLine="351"/>
        <w:spacing w:after="0" w:line="272" w:lineRule="auto"/>
        <w:rPr>
          <w:sz w:val="20"/>
          <w:szCs w:val="20"/>
          <w:color w:val="auto"/>
        </w:rPr>
      </w:pPr>
      <w:r>
        <w:rPr>
          <w:rFonts w:ascii="Arial" w:cs="Arial" w:eastAsia="Arial" w:hAnsi="Arial"/>
          <w:sz w:val="17"/>
          <w:szCs w:val="17"/>
          <w:color w:val="auto"/>
        </w:rPr>
        <w:t>The conversion rate of the 4.75% Convertible Senior Notes due 2023 is subject to adjustment for certain events, including, but not limited to, the issuance to all or substantially all holders of our common stock of stock dividends, certain rights, options or warrants, capital stock, indebtedness, assets or cash, and subdivisions and combinations of our common stock, and certain issuer tender or exchange offers as described in the prospectus supplement relating to the offering of the 4.75% Convertible Senior Notes due 2023, dated March 22, 2018, and the accompanying prospectus. However, the conversion rate will not be adjusted for other events, such as a third-party tender or exchange offer or an issuance of common stock for cash, that may adversely affect the trading price of the 4.75% Convertible Senior Notes due 2023 or the common stock. An event that adversely affects the value of the 4.75% Convertible Senior Notes due 2023 may occur, and that event may not result in an adjustment to the conversion rate.</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Holders of the 4.75% Convertible Senior Notes due 2023 are not entitled to any rights with respect to our common stock, but will be subject to all changes made with respect to them to the extent our conversion obligation includes shares of our common stock.</w:t>
      </w:r>
    </w:p>
    <w:p>
      <w:pPr>
        <w:spacing w:after="0" w:line="17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Holders of the 4.75% Convertible Senior Notes due 2023 are not entitled to any rights with respect to our common stock (including, without limitation, voting rights and rights to receive any dividends or other distributions on our common stock) prior to the conversion date relating to the 4.75% Convertible Senior Notes due 2023, but holders of the 4.75% Convertible Senior Notes due 2023 will be subject to all changes affecting our common stock. For example, if an amendment is proposed to our articles of amendment and restatement or bylaws requiring stockholder approval and the record date for determining the stockholders of record entitled to vote on the amendment occurs prior to the conversion date related to a holder’s conversion of its 4.75% Convertible Senior Notes due 2023, such holder will not be entitled to vote on the amendment, although such holder will nevertheless be subject to any changes affecting our common stock.</w:t>
      </w:r>
    </w:p>
    <w:p>
      <w:pPr>
        <w:spacing w:after="0" w:line="1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Upon conversion of the 4.75% Convertible Senior Notes due 2023, holders may receive less valuable consideration than expected because the value of our common stock may decline after any such holder exercises its conversion right but before we settle our conversion obligation.</w:t>
      </w:r>
    </w:p>
    <w:p>
      <w:pPr>
        <w:spacing w:after="0" w:line="124" w:lineRule="exact"/>
        <w:rPr>
          <w:sz w:val="20"/>
          <w:szCs w:val="20"/>
          <w:color w:val="auto"/>
        </w:rPr>
      </w:pPr>
    </w:p>
    <w:p>
      <w:pPr>
        <w:jc w:val="both"/>
        <w:ind w:right="260" w:firstLine="351"/>
        <w:spacing w:after="0" w:line="342" w:lineRule="auto"/>
        <w:rPr>
          <w:sz w:val="20"/>
          <w:szCs w:val="20"/>
          <w:color w:val="auto"/>
        </w:rPr>
      </w:pPr>
      <w:r>
        <w:rPr>
          <w:rFonts w:ascii="Arial" w:cs="Arial" w:eastAsia="Arial" w:hAnsi="Arial"/>
          <w:sz w:val="16"/>
          <w:szCs w:val="16"/>
          <w:color w:val="auto"/>
        </w:rPr>
        <w:t>Under the 4.75% Convertible Senior Notes due 2023, a converting holder will be exposed to fluctuations in the value of our common stock during the period from the date such holder surrenders its 4.75% Convertible Senior Notes due 2023 for conversion until the date we settle our conversion obligation.</w:t>
      </w:r>
    </w:p>
    <w:p>
      <w:pPr>
        <w:spacing w:after="0" w:line="124" w:lineRule="exact"/>
        <w:rPr>
          <w:sz w:val="20"/>
          <w:szCs w:val="20"/>
          <w:color w:val="auto"/>
        </w:rPr>
      </w:pPr>
    </w:p>
    <w:p>
      <w:pPr>
        <w:ind w:right="340" w:firstLine="351"/>
        <w:spacing w:after="0" w:line="277" w:lineRule="auto"/>
        <w:rPr>
          <w:sz w:val="20"/>
          <w:szCs w:val="20"/>
          <w:color w:val="auto"/>
        </w:rPr>
      </w:pPr>
      <w:r>
        <w:rPr>
          <w:rFonts w:ascii="Arial" w:cs="Arial" w:eastAsia="Arial" w:hAnsi="Arial"/>
          <w:sz w:val="18"/>
          <w:szCs w:val="18"/>
          <w:color w:val="auto"/>
        </w:rPr>
        <w:t>Because we will satisfy our conversion obligation solely in shares of our common stock upon conversion of the 4.75% Convertible Senior Notes due 2023, we will be required to deliver the shares of our common stock, together with cash for 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fractional share, on the second business day following the relevant conversion date. Accordingly, if the price of our common stock decreases during this period, the value of the shares of our common stock that a holder of the 4.75% Convertible Senior Notes due 2023 receives will be adversely affected and would be less than the conversion value of the 4.75% Convertible Senior Notes due 2023 on the conversion date.</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4.75% Convertible Senior Notes due 2023 contain limited restrictive covenants; and we may incur substantially more debt or take other actions that would intensify the risks described herein.</w:t>
      </w:r>
    </w:p>
    <w:p>
      <w:pPr>
        <w:spacing w:after="0" w:line="170" w:lineRule="exact"/>
        <w:rPr>
          <w:sz w:val="20"/>
          <w:szCs w:val="20"/>
          <w:color w:val="auto"/>
        </w:rPr>
      </w:pPr>
    </w:p>
    <w:p>
      <w:pPr>
        <w:ind w:right="20" w:firstLine="392"/>
        <w:spacing w:after="0" w:line="269" w:lineRule="auto"/>
        <w:rPr>
          <w:sz w:val="20"/>
          <w:szCs w:val="20"/>
          <w:color w:val="auto"/>
        </w:rPr>
      </w:pPr>
      <w:r>
        <w:rPr>
          <w:rFonts w:ascii="Arial" w:cs="Arial" w:eastAsia="Arial" w:hAnsi="Arial"/>
          <w:sz w:val="17"/>
          <w:szCs w:val="17"/>
          <w:color w:val="auto"/>
        </w:rPr>
        <w:t>The indenture governing the 4.75% Convertible Senior Notes due 2023 contains limited restrictions on our ability to incur debt, including senior indebtedness. For example, as described further in the prospectus supplement relating to the offering of the 4.75% Convertible Senior Notes due 2023, dated March 22, 2018, we have agreed under the indenture that, for the period of time during which the 4.75% Convertible Senior Notes due 2023 are outstanding, we will not violate, whether or not we are subject to, Section 18(a)(1)(A) as modified by Section 61(a)(1) of the 1940 Act or any successor provision thereto of the 1940 Act, but giving effect to any exemptive relief that may be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 In addition, as described in the prospectus supplement, we have agreed that, for the period from the initial issuance of the 4.75% Convertible Senior Notes due 2023 to, and including, March 27, 2019, we will not incur any indebtedness other than certain permitted debt, including, without limitation, up to $12.0 million in borrowings under the Credit Facility. This limitation on the incurrence of additional indebtedness will cease to apply, however, upon the occurrence of (i) a “Change in Control” as defined in the indenture governing the 4.75% Convertible Senior Notes due 2023 or (ii) at such time as less than 25% of the initial aggregate principal amount of the 4.75% Convertible Senior Notes due 2023 remain outstanding.</w:t>
      </w:r>
    </w:p>
    <w:p>
      <w:pPr>
        <w:spacing w:after="0" w:line="18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The indenture governing the 4.75% Convertible Senior Notes due 2023 contains no covenants or other provisions to afford protection to holders of the 4.75% Convertible Senior Notes due 2023 in the event of a fundamental change or other corporate transaction involving us except to the extent described in the indenture governing the 4.75% Convertible Senior Notes due 2023. We could engage in many types of transactions, such as acquisitions, refinancings or recapitalizations, that could substantially affect our capital structure and the value of the 4.75% Convertible Senior Notes due 2023 and shares of our common stock, but may not constitute a fundamental change that permits holders of the 4.75% Convertible Senior Notes due 2023 to require us to purchase their</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4.75% Convertible Senior Notes due 2023 or a make-whole adjustment event that would require an increase in the conversion rate for 4.75% Convertible Senior Notes due 2023 converted in connection therewith. For these reasons, potential purchasers of the 4.75% Convertible Senior Notes due 2023 should not consider the covenants in the governing indenture or the fundamental change purchase and make-whole adjustment features of the 4.75% Convertible Senior Notes due 2023 as significant factors in evaluating whether to invest in the 4.75% Convertible Senior Notes due 2023.</w:t>
      </w:r>
    </w:p>
    <w:p>
      <w:pPr>
        <w:spacing w:after="0" w:line="177" w:lineRule="exact"/>
        <w:rPr>
          <w:sz w:val="20"/>
          <w:szCs w:val="20"/>
          <w:color w:val="auto"/>
        </w:rPr>
      </w:pPr>
    </w:p>
    <w:p>
      <w:pPr>
        <w:ind w:right="100" w:firstLine="351"/>
        <w:spacing w:after="0" w:line="297" w:lineRule="auto"/>
        <w:rPr>
          <w:sz w:val="20"/>
          <w:szCs w:val="20"/>
          <w:color w:val="auto"/>
        </w:rPr>
      </w:pPr>
      <w:r>
        <w:rPr>
          <w:rFonts w:ascii="Arial" w:cs="Arial" w:eastAsia="Arial" w:hAnsi="Arial"/>
          <w:sz w:val="16"/>
          <w:szCs w:val="16"/>
          <w:color w:val="auto"/>
        </w:rPr>
        <w:t>Notwithstanding these limited restrictive covenants, we may, subject to complying with the limitations described above and elsewhere in the prospectus supplement relating to the offering of the 4.75% Convertible Senior Notes due 2023, be able to incur substantial additional debt in the future, secure existing or future debt, recapitalize our debt or take a number of other actions that could have the effect of diminishing our ability to make payments on the 4.75% Convertible Senior Notes due 2023 when due. If we incur substantial additional indebtedness in the future, our indebtedness may affect our ability to pay the principal of and interest on the 4.75% Convertible Senior Notes due 2023, or any fundamental change purchase price, and our creditworthiness generally.</w:t>
      </w:r>
    </w:p>
    <w:p>
      <w:pPr>
        <w:spacing w:after="0" w:line="158" w:lineRule="exact"/>
        <w:rPr>
          <w:sz w:val="20"/>
          <w:szCs w:val="20"/>
          <w:color w:val="auto"/>
        </w:rPr>
      </w:pPr>
    </w:p>
    <w:p>
      <w:pPr>
        <w:ind w:right="280" w:firstLine="351"/>
        <w:spacing w:after="0" w:line="277" w:lineRule="auto"/>
        <w:rPr>
          <w:sz w:val="20"/>
          <w:szCs w:val="20"/>
          <w:color w:val="auto"/>
        </w:rPr>
      </w:pPr>
      <w:r>
        <w:rPr>
          <w:rFonts w:ascii="Arial" w:cs="Arial" w:eastAsia="Arial" w:hAnsi="Arial"/>
          <w:sz w:val="18"/>
          <w:szCs w:val="18"/>
          <w:color w:val="auto"/>
        </w:rPr>
        <w:t>These covenants could also limit our operational flexibility and prevent us from taking advantage of business opportunities as they arise, growing our business, or competing effectively.</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The adjustment to the conversion rate for 4.75% Convertible Senior Notes due 2023 converted in connection with a make-whole adjustment event may not adequately compensate holders for any lost value of the 4.75% Convertible Senior Notes due 2023 as a result of such transaction.</w:t>
      </w:r>
    </w:p>
    <w:p>
      <w:pPr>
        <w:spacing w:after="0" w:line="124" w:lineRule="exact"/>
        <w:rPr>
          <w:sz w:val="20"/>
          <w:szCs w:val="20"/>
          <w:color w:val="auto"/>
        </w:rPr>
      </w:pPr>
    </w:p>
    <w:p>
      <w:pPr>
        <w:ind w:right="60" w:firstLine="392"/>
        <w:spacing w:after="0" w:line="254" w:lineRule="auto"/>
        <w:rPr>
          <w:sz w:val="20"/>
          <w:szCs w:val="20"/>
          <w:color w:val="auto"/>
        </w:rPr>
      </w:pPr>
      <w:r>
        <w:rPr>
          <w:rFonts w:ascii="Arial" w:cs="Arial" w:eastAsia="Arial" w:hAnsi="Arial"/>
          <w:sz w:val="18"/>
          <w:szCs w:val="18"/>
          <w:color w:val="auto"/>
        </w:rPr>
        <w:t>Following a make-whole adjustment event, if a holder of the 4.75% Convertible Senior Notes due 2023 elects to convert its notes in connection with such corporate transaction, we will increase the conversion rate by an additional number of shares of our common stock upon conversion in certain circumstances. The increase in the conversion rate will be determined based on the date on which the make-whole adjustment event occurs or becomes effective and the price paid (or deemed to be paid) per share of our common stock in the make-whole adjustment event, as described further in the prospectus supplement relating to the offering of the 4.75% Convertible Senior Notes due 2023, dated March 22, 2018. The adjustment to the conversion rate for 4.75% Convertible Senior Notes due 2023 converted in connection with a make-whole adjustment event may not adequately compensate holders for any lost value of the 4.75% Convertible Senior Notes due 2023 as a result of such transaction. In addition, if the price paid (or deemed to be paid) per share of our common stock in the make-whole adjustment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event is greater than $48.00 per share or less than $8.93 per share (in each case, subject to adjustment), no increase in the conversion rate will be made. Moreover, in no event will the conversion rate per $1,000 principal amount of 4.75% Convertible Senior Notes due 2023 exceed the maximum conversion rate described further under the governing indenture.</w:t>
      </w:r>
    </w:p>
    <w:p>
      <w:pPr>
        <w:spacing w:after="0" w:line="181" w:lineRule="exact"/>
        <w:rPr>
          <w:sz w:val="20"/>
          <w:szCs w:val="20"/>
          <w:color w:val="auto"/>
        </w:rPr>
      </w:pPr>
    </w:p>
    <w:p>
      <w:pPr>
        <w:ind w:right="220" w:firstLine="351"/>
        <w:spacing w:after="0" w:line="277" w:lineRule="auto"/>
        <w:rPr>
          <w:sz w:val="20"/>
          <w:szCs w:val="20"/>
          <w:color w:val="auto"/>
        </w:rPr>
      </w:pPr>
      <w:r>
        <w:rPr>
          <w:rFonts w:ascii="Arial" w:cs="Arial" w:eastAsia="Arial" w:hAnsi="Arial"/>
          <w:sz w:val="18"/>
          <w:szCs w:val="18"/>
          <w:color w:val="auto"/>
        </w:rPr>
        <w:t>Our obligation to increase the conversion rate upon the occurrence of a make-whole adjustment event could be considered a penalty, in which case the enforceability thereof would be subject to general principles of reasonableness of economic remedies.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Some significant restructuring transactions may not constitute a fundamental change, in which case we would not be obligated to offer to purchase the 4.75% Convertible Senior Notes due 2023.</w:t>
      </w:r>
    </w:p>
    <w:p>
      <w:pPr>
        <w:spacing w:after="0" w:line="170" w:lineRule="exact"/>
        <w:rPr>
          <w:sz w:val="20"/>
          <w:szCs w:val="20"/>
          <w:color w:val="auto"/>
        </w:rPr>
      </w:pPr>
    </w:p>
    <w:p>
      <w:pPr>
        <w:ind w:firstLine="351"/>
        <w:spacing w:after="0" w:line="269" w:lineRule="auto"/>
        <w:rPr>
          <w:sz w:val="20"/>
          <w:szCs w:val="20"/>
          <w:color w:val="auto"/>
        </w:rPr>
      </w:pPr>
      <w:r>
        <w:rPr>
          <w:rFonts w:ascii="Arial" w:cs="Arial" w:eastAsia="Arial" w:hAnsi="Arial"/>
          <w:sz w:val="17"/>
          <w:szCs w:val="17"/>
          <w:color w:val="auto"/>
        </w:rPr>
        <w:t>Upon the occurrence of a fundamental change, holders have the right to require us to purchase their 4.75% Convertible Senior Notes due 2023. However, the fundamental change provisions will not afford protection to holders of 4.75% Convertible Senior Notes due 2023 in the event of other transactions that could adversely affect the 4.75% Convertible Senior Notes due 2023. For example, transactions such as leveraged recapitalizations, refinancings, restructurings, or acquisitions initiated by us may not constitute a fundamental change requiring us to repurchase the 4.75% Convertible Senior Notes due 2023. In addition, holders of 4.75% Convertible Senior Notes due 2023 may not be entitled to require us to purchase their 4.75% Convertible Senior Notes due 2023 upon a fundamental change in certain circumstances involving a significant change in the composition of our board of directors, or in connection with a proxy contest where our board of directors does not endorse a dissident slate of directors but approves them for purposes of the definition of “continuing directors” as set forth in the indenture governing the 4.75% Convertible Senior Notes due 2023. In the event of any such transaction, the holders of the 4.75% Convertible Senior Notes due 2023 would not have the right to require us to purchase their 4.75% Convertible Senior Notes due 2023, even though each of these transactions could increase the amount of our indebtedness, or otherwise adversely affect our capital structure or any credit ratings, thereby adversely affecting the holders of the 4.75% Convertible Senior Notes due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the 4.75% Convertible Senior Notes due 2023 could discourage an acquisition of us by a third party.</w:t>
      </w:r>
    </w:p>
    <w:p>
      <w:pPr>
        <w:spacing w:after="0" w:line="225" w:lineRule="exact"/>
        <w:rPr>
          <w:sz w:val="20"/>
          <w:szCs w:val="20"/>
          <w:color w:val="auto"/>
        </w:rPr>
      </w:pPr>
    </w:p>
    <w:p>
      <w:pPr>
        <w:ind w:right="60" w:firstLine="351"/>
        <w:spacing w:after="0" w:line="276" w:lineRule="auto"/>
        <w:rPr>
          <w:sz w:val="20"/>
          <w:szCs w:val="20"/>
          <w:color w:val="auto"/>
        </w:rPr>
      </w:pPr>
      <w:r>
        <w:rPr>
          <w:rFonts w:ascii="Arial" w:cs="Arial" w:eastAsia="Arial" w:hAnsi="Arial"/>
          <w:sz w:val="17"/>
          <w:szCs w:val="17"/>
          <w:color w:val="auto"/>
        </w:rPr>
        <w:t>Certain provisions of the 4.75% Convertible Senior Notes due 2023 could make it more difficult or more expensive for a third party to acquire us. Upon the occurrence of certain transactions constituting a fundamental change, holders of the 4.75% Convertible Senior Notes due 2023 will have the right, at their option, to require us to purchase for cash all of their 4.75% Convertible Senior Notes due 2023 or any portion of the principal amount of such 4.75% Convertible Senior Notes due 2023 in integral multiples of $1,000. We may also be required to increase the conversion rate in the event of certain transactions constituting a make-whole adjustment event. These provisions could discourage an acquisition of us by a third party.</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cannot assure holders of the 4.75% Convertible Senior Notes due 2023 that an active trading market will develop for the 4.75% Convertible Senior Notes due 2023, and the price may be volatile, so holders may be unable to sell their 4.75% Convertible Senior Notes due 2023 at the price they desire or at all.</w:t>
      </w:r>
    </w:p>
    <w:p>
      <w:pPr>
        <w:spacing w:after="0" w:line="181" w:lineRule="exact"/>
        <w:rPr>
          <w:sz w:val="20"/>
          <w:szCs w:val="20"/>
          <w:color w:val="auto"/>
        </w:rPr>
      </w:pPr>
    </w:p>
    <w:p>
      <w:pPr>
        <w:ind w:right="40" w:firstLine="351"/>
        <w:spacing w:after="0" w:line="268" w:lineRule="auto"/>
        <w:rPr>
          <w:sz w:val="20"/>
          <w:szCs w:val="20"/>
          <w:color w:val="auto"/>
        </w:rPr>
      </w:pPr>
      <w:r>
        <w:rPr>
          <w:rFonts w:ascii="Arial" w:cs="Arial" w:eastAsia="Arial" w:hAnsi="Arial"/>
          <w:sz w:val="17"/>
          <w:szCs w:val="17"/>
          <w:color w:val="auto"/>
        </w:rPr>
        <w:t>The 4.75% Convertible Senior Notes due 2023 are a new issue of securities and there is no existing trading market for the 4.75% Convertible Senior Notes due 2023. We do not intend to apply to list the 4.75% Convertible Senior Notes due 2023 on any securities exchange or to arrange for quotation on any automated dealer quotation system. We have been informed by the underwriter for the 4.75% Convertible Senior Notes due 2023 offering that it intends to make a market in the 4.75% Convertible Senior Notes due 2023. However, the underwriter may cease its market-making at any time without notice. In addition, any market-making activity will be subject to limits imposed by law. In addition, the liquidity of the trading market in the 4.75% Convertible Senior Notes due 2023, and the market price quoted for the 4.75% Convertible Senior Notes due 2023, may be adversely affected by changes in the overall market for this type of security and by changes in our financial performance or prospects or in the prospects for companies in our industry generally, as well as, among other things, the prevailing interest rates. In addition, historically, the market for convertible debt has been subject to disruptions that have caused volatility in prices. It is possible that the market for the 4.75% Convertible Senior Notes due 2023 will be subject to disruptions that may have a negative effect on the holders of the 4.75% Convertible Senior Notes due 2023, regardless of our prospects or financial performance. As a result, we cannot assure holders or potential purchasers that an active trading market will develop for the 4.75% Convertible Senior Notes due 2023. If an active trading market does not develop or is not maintained, the market price and liquidity of the 4.75% Convertible Senior Notes due 2023 may be adversely affected. In that case holders may not be able to sell their 4.75% Convertible Senior Notes due 2023 at a particular time or may not be able to sell 4.75% Convertible Senior Notes due 2023 at a favorable price. Moreover, even if holders are able to sell their 4.75% Convertible Senior Notes due 2023, they may not receive a favorable price for their 4.75% Convertible Senior Notes due 2023.</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2" w:right="259" w:bottom="1440" w:gutter="0" w:footer="0" w:header="0"/>
        </w:sectPr>
      </w:pPr>
    </w:p>
    <w:bookmarkStart w:id="68" w:name="page69"/>
    <w:bookmarkEnd w:id="6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Any adverse rating of the 4.75% Convertible Senior Notes due 2023 may negatively affect the trading price and liquidity of the 4.75% Convertible Senior Notes due 2023 and the price of our common stock.</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do not intend to seek a rating on the 4.75% Convertible Senior Notes due 2023. However, if a rating service were to rate the March 2023 Convertible Senior Notes and if such rating service were to assign the 4.75% Convertible Senior Notes due 2023 a rating lower than the rating expected by investors or were to lower its rating on the 4.75% Convertible Senior Notes due 2023 below the rating initially assigned to the 4.75% Convertible Senior Notes due 2023 or otherwise announce its intention to put the 4.75% Convertible Senior Notes due 2023 on credit watch, the trading price or liquidity of the 4.75% Convertible Senior Notes due 2023 and the price of our common stock could decline.</w:t>
      </w:r>
    </w:p>
    <w:p>
      <w:pPr>
        <w:spacing w:after="0" w:line="18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Holders of the 4.75% Convertible Senior Notes due 2023 may be subject to tax if we make or fail to make certain adjustments to the conversion rate of the 4.75% Convertible Senior Notes due 2023, even though such holders do not receive a corresponding cash distribution.</w:t>
      </w:r>
    </w:p>
    <w:p>
      <w:pPr>
        <w:spacing w:after="0" w:line="124"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The conversion rate of the 4.75% Convertible Senior Notes due 2023 is subject to adjustment in certain circumstances, including the payment of cash dividends. If the conversion rate is adjusted as a result of a distribution that is taxable to our common stockholders, such as a cash dividend, holders of the</w:t>
      </w:r>
    </w:p>
    <w:p>
      <w:pPr>
        <w:ind w:right="60"/>
        <w:spacing w:after="0" w:line="268" w:lineRule="auto"/>
        <w:rPr>
          <w:sz w:val="20"/>
          <w:szCs w:val="20"/>
          <w:color w:val="auto"/>
        </w:rPr>
      </w:pPr>
      <w:r>
        <w:rPr>
          <w:rFonts w:ascii="Arial" w:cs="Arial" w:eastAsia="Arial" w:hAnsi="Arial"/>
          <w:sz w:val="17"/>
          <w:szCs w:val="17"/>
          <w:color w:val="auto"/>
        </w:rPr>
        <w:t>4.75% Convertible Senior Notes due 2023 may be deemed to have received a dividend subject to U.S. federal income tax without the receipt of any cash. In addition, a failure to adjust (or to adjust adequately) the conversion rate after an event that increases a 4.75% Convertible Senior Notes due 2023 holder’s proportionate interest in us could be treated as a deemed taxable dividend to such holder. If a make-whole adjustment event occurs on or prior to the business day immediately preceding the stated maturity date of the 4.75% Convertible Senior Notes due 2023, under some circumstances, we will increase the conversion rate for the 4.75% Convertible Senior Notes due 2023 converted in connection with the make-whole adjustment event. Such increase may also be treated as a distribution subject to U.S. federal income tax as a dividend. In addition, if a holder is a Non-U.S. Holder, such holder may be subject to U.S. federal withholding tax in connection with such a deemed distribution. If withholding tax is paid on a noteholder’s behalf as a result of an adjustment to the conversion rate of the 4.75% Convertible Senior Notes due 2023, the withholding agent may offset such payments against payments of cash and common stock on the 4.75% Convertible Senior Notes due 2023. Refer to the prospectus supplement related to the offering of the 4.75% Convertible Senior Notes due 2023, dated March 22, 2018, for more information.</w:t>
      </w:r>
    </w:p>
    <w:p>
      <w:pPr>
        <w:spacing w:after="0" w:line="1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Conversions of the 4.75% Convertible Senior Notes due 2023 will dilute the ownership interest of our existing stockholders, including holders who had previously converted their 4.75% Convertible Senior Notes due 2023.</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The conversion of some or all of the 4.75% Convertible Senior Notes due 2023 will dilute the ownership interests of our existing stockholders. Any sales in the public market of our common stock issuable upon such conversion could adversely affect prevailing market prices of our common stock. In addition, the existence of the 4.75% Convertible Senior Notes due 2023 may encourage short selling by market participants because the conversion of the 4.75% Convertible Senior Notes due 2023 could depress the price of our common stock.</w:t>
      </w:r>
    </w:p>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Holders of the 4.75% Convertible Senior Notes due 2023 may be subject to tax if we make or fail to make certain adjustments to the conversion rate of the 4.75% Convertible Senior Notes due 2023 even though such holders do not receive a corresponding cash distribution.</w:t>
      </w:r>
    </w:p>
    <w:p>
      <w:pPr>
        <w:spacing w:after="0" w:line="14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The conversion rate of the 4.75% Convertible Senior Notes due 2023 is subject to adjustment in certain circumstances, including the payment of cash dividends. If the conversion rate is adjusted as a result of a cash dividend paid to our common stockholders, holders of the 4.75% Convertible Senior Notes due 2023 may be deemed to have received a dividend subject to U.S. federal income tax without the receipt of any cash. In addition, a failure to adjust (or to adjust adequately) the conversion rate after an event that increases a holder’s proportionate interest in us could be treated as a deemed taxable dividend to such holder of the 4.75% Convertible Senior Notes due 2023. If a make-whole fundamental change occurs prior to the maturity date, under some circumstances, we will increase the conversion rate for the 4.75% Convertible Senior Notes due 2023 converted in connection with the make-whole fundamental change. Such increase may also be treated as a distribution subject to U.S. federal income tax as a dividend. Refer to the prospectus supplement related to the offering of the 4.75% Convertible Senior Notes due 2023, dated March 22, 2018,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225"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On December 22, 2017, the Tax Cuts and Jobs Act of 2017 (the “Tax Act”) was signed into law and significantly changes the Code. The Tax Act, among other things, contains significant changes to corporate taxation, including reduction of the corporate tax rate from a top marginal rate of 35% to a flat rate of 21%, limitation of the tax deduction for interest expense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30% of adjusted earnings (except for certain small businesses), limitation of the deduction or net operating losses to 80% of current year taxable income and elimination of net operating loss carrybacks, one time taxation of offshore earnings at reduced rates regardless of whether they are repatriated, immediate deductions for certain new investments instead of deductions for depreciation expense over time, and modifying or repealing many business deductions and credits. Our U.S. federal net operating loss carryovers created in 2018 and thereafter will be carried forward indefinitely pursuant to the Tax Act. We continue to examine the impact this tax legislation may have on our business. Notwithstanding the reduction in the corporate income tax rate, the overall impact of the Tax Act is uncertain and our business and financial condition could be adversely affected. The impact of this Tax Act on holders of the 5.25% Convertible Senior Notes due 2018, the 4.75% Convertible Senior Notes due 2023 or our common stock is also uncertain and could be adverse. This quarterly report on Form 10-Q does not discuss any such tax legislation or the manner in which it might affect us or holders of our outstanding convertible notes or common stock. We urge such holders to consult with their legal and tax advisors with respect to such legislation and the potential tax consequences of investing in our convertible notes and common stock.</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2" w:right="279" w:bottom="1440" w:gutter="0" w:footer="0" w:header="0"/>
        </w:sectPr>
      </w:pPr>
    </w:p>
    <w:bookmarkStart w:id="70" w:name="page71"/>
    <w:bookmarkEnd w:id="7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did not engage in any sales of unregistered securities during the three months ended March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relating to the Company’s purchases of its common stock during the three months ended March 31,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3"/>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2"/>
              </w:rPr>
              <w:t>Under the Share</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Purchased</w:t>
            </w:r>
            <w:r>
              <w:rPr>
                <w:rFonts w:ascii="Arial" w:cs="Arial" w:eastAsia="Arial" w:hAnsi="Arial"/>
                <w:sz w:val="8"/>
                <w:szCs w:val="8"/>
                <w:b w:val="1"/>
                <w:bCs w:val="1"/>
                <w:color w:val="auto"/>
                <w:w w:val="93"/>
              </w:rPr>
              <w:t>(2)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Program</w:t>
            </w:r>
            <w:r>
              <w:rPr>
                <w:rFonts w:ascii="Arial" w:cs="Arial" w:eastAsia="Arial" w:hAnsi="Arial"/>
                <w:sz w:val="8"/>
                <w:szCs w:val="8"/>
                <w:b w:val="1"/>
                <w:bCs w:val="1"/>
                <w:color w:val="auto"/>
                <w:w w:val="94"/>
              </w:rPr>
              <w:t>(4)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through January 31, 2018</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5,066,123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February 1 through February 28, 2018</w:t>
            </w:r>
          </w:p>
        </w:tc>
        <w:tc>
          <w:tcPr>
            <w:tcW w:w="1380" w:type="dxa"/>
            <w:vAlign w:val="bottom"/>
          </w:tcPr>
          <w:p>
            <w:pPr>
              <w:jc w:val="right"/>
              <w:ind w:right="59"/>
              <w:spacing w:after="0"/>
              <w:rPr>
                <w:sz w:val="20"/>
                <w:szCs w:val="20"/>
                <w:color w:val="auto"/>
              </w:rPr>
            </w:pPr>
            <w:r>
              <w:rPr>
                <w:rFonts w:ascii="Arial" w:cs="Arial" w:eastAsia="Arial" w:hAnsi="Arial"/>
                <w:sz w:val="18"/>
                <w:szCs w:val="18"/>
                <w:color w:val="auto"/>
              </w:rPr>
              <w:t>179,807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4"/>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179,807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23"/>
              <w:spacing w:after="0"/>
              <w:rPr>
                <w:sz w:val="20"/>
                <w:szCs w:val="20"/>
                <w:color w:val="auto"/>
              </w:rPr>
            </w:pPr>
            <w:r>
              <w:rPr>
                <w:rFonts w:ascii="Arial" w:cs="Arial" w:eastAsia="Arial" w:hAnsi="Arial"/>
                <w:sz w:val="18"/>
                <w:szCs w:val="18"/>
                <w:color w:val="auto"/>
              </w:rPr>
              <w:t>3,825,455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March 1 through March 31, 2018</w:t>
            </w:r>
            <w:r>
              <w:rPr>
                <w:rFonts w:ascii="Arial" w:cs="Arial" w:eastAsia="Arial" w:hAnsi="Arial"/>
                <w:sz w:val="25"/>
                <w:szCs w:val="25"/>
                <w:color w:val="auto"/>
                <w:vertAlign w:val="superscript"/>
              </w:rPr>
              <w:t>(3)</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3,825,455</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179,807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179,807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right="40" w:hanging="492"/>
        <w:spacing w:after="0" w:line="282" w:lineRule="auto"/>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August 8, 2017, we announced the $5.0 million discretionary open-market Share Repurchase Program under which we may repurchase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months ended March 31, 2018, we repurchased 179,807 shares of our common stock for approximately $1.2 million under the Share Repurchase Program.</w:t>
      </w:r>
    </w:p>
    <w:p>
      <w:pPr>
        <w:spacing w:after="0" w:line="3" w:lineRule="exact"/>
        <w:rPr>
          <w:rFonts w:ascii="Arial" w:cs="Arial" w:eastAsia="Arial" w:hAnsi="Arial"/>
          <w:sz w:val="14"/>
          <w:szCs w:val="14"/>
          <w:color w:val="auto"/>
        </w:rPr>
      </w:pPr>
    </w:p>
    <w:p>
      <w:pPr>
        <w:ind w:left="500" w:right="160" w:hanging="492"/>
        <w:spacing w:after="0" w:line="246"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purchases of our common stock made on the open market by or on behalf of any “affiliated purchaser,” as defined in Exchange Act Rule 10b-18(a)(3), of the Company.</w:t>
      </w:r>
    </w:p>
    <w:p>
      <w:pPr>
        <w:ind w:left="500" w:hanging="492"/>
        <w:spacing w:after="0"/>
        <w:tabs>
          <w:tab w:leader="none" w:pos="5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Subsequent to period-end, through May 9, 2018, we did not repurchase any additional shares of our common stock pursuant to the Share Repurchase Program.</w:t>
      </w:r>
    </w:p>
    <w:p>
      <w:pPr>
        <w:spacing w:after="0" w:line="16" w:lineRule="exact"/>
        <w:rPr>
          <w:rFonts w:ascii="Arial" w:cs="Arial" w:eastAsia="Arial" w:hAnsi="Arial"/>
          <w:sz w:val="15"/>
          <w:szCs w:val="15"/>
          <w:color w:val="auto"/>
        </w:rPr>
      </w:pPr>
    </w:p>
    <w:p>
      <w:pPr>
        <w:ind w:left="500" w:right="20" w:hanging="492"/>
        <w:spacing w:after="0" w:line="249"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This additional $5.0 million allocation is not included in the approximate dollar value of shares that may yet be purchased under the Share Repurchase Program as of March 31, 2018. As of May 9, 2018, the dollar value of shares that may yet be purchased by us under the Share Repurchase Program is approximately $8.8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310"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71"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86">
        <w:r>
          <w:rPr>
            <w:rFonts w:ascii="Arial" w:cs="Arial" w:eastAsia="Arial" w:hAnsi="Arial"/>
            <w:sz w:val="16"/>
            <w:szCs w:val="16"/>
            <w:u w:val="single" w:color="auto"/>
            <w:color w:val="0000FF"/>
          </w:rPr>
          <w:t>Articles of Amendment and Restatement</w:t>
        </w:r>
      </w:hyperlink>
      <w:r>
        <w:rPr>
          <w:rFonts w:ascii="Arial" w:cs="Arial" w:eastAsia="Arial" w:hAnsi="Arial"/>
          <w:sz w:val="22"/>
          <w:szCs w:val="22"/>
          <w:color w:val="000000"/>
          <w:vertAlign w:val="superscript"/>
        </w:rPr>
        <w:t>(1)</w:t>
      </w:r>
    </w:p>
    <w:p>
      <w:pPr>
        <w:spacing w:after="0" w:line="2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87">
        <w:r>
          <w:rPr>
            <w:rFonts w:ascii="Arial" w:cs="Arial" w:eastAsia="Arial" w:hAnsi="Arial"/>
            <w:sz w:val="16"/>
            <w:szCs w:val="16"/>
            <w:u w:val="single" w:color="auto"/>
            <w:color w:val="0000FF"/>
          </w:rPr>
          <w:t>Articles of Amendment</w:t>
        </w:r>
      </w:hyperlink>
      <w:r>
        <w:rPr>
          <w:rFonts w:ascii="Arial" w:cs="Arial" w:eastAsia="Arial" w:hAnsi="Arial"/>
          <w:sz w:val="22"/>
          <w:szCs w:val="22"/>
          <w:color w:val="000000"/>
          <w:vertAlign w:val="superscript"/>
        </w:rPr>
        <w:t>(2)</w:t>
      </w:r>
    </w:p>
    <w:p>
      <w:pPr>
        <w:spacing w:after="0" w:line="1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3.3</w:t>
      </w:r>
      <w:r>
        <w:rPr>
          <w:sz w:val="20"/>
          <w:szCs w:val="20"/>
          <w:color w:val="auto"/>
        </w:rPr>
        <w:tab/>
      </w:r>
      <w:hyperlink r:id="rId88">
        <w:r>
          <w:rPr>
            <w:rFonts w:ascii="Arial" w:cs="Arial" w:eastAsia="Arial" w:hAnsi="Arial"/>
            <w:sz w:val="16"/>
            <w:szCs w:val="16"/>
            <w:u w:val="single" w:color="auto"/>
            <w:color w:val="0000FF"/>
          </w:rPr>
          <w:t>Bylaws</w:t>
        </w:r>
      </w:hyperlink>
      <w:r>
        <w:rPr>
          <w:rFonts w:ascii="Arial" w:cs="Arial" w:eastAsia="Arial" w:hAnsi="Arial"/>
          <w:sz w:val="22"/>
          <w:szCs w:val="22"/>
          <w:color w:val="000000"/>
          <w:vertAlign w:val="superscript"/>
        </w:rPr>
        <w:t>(1)</w:t>
      </w:r>
    </w:p>
    <w:p>
      <w:pPr>
        <w:spacing w:after="0" w:line="23" w:lineRule="exact"/>
        <w:rPr>
          <w:sz w:val="20"/>
          <w:szCs w:val="20"/>
          <w:color w:val="auto"/>
        </w:rPr>
      </w:pPr>
    </w:p>
    <w:p>
      <w:pPr>
        <w:ind w:left="720" w:right="140" w:hanging="483"/>
        <w:spacing w:after="0" w:line="233" w:lineRule="auto"/>
        <w:tabs>
          <w:tab w:leader="none" w:pos="700" w:val="left"/>
        </w:tabs>
        <w:rPr>
          <w:rFonts w:ascii="Arial" w:cs="Arial" w:eastAsia="Arial" w:hAnsi="Arial"/>
          <w:sz w:val="18"/>
          <w:szCs w:val="18"/>
          <w:color w:val="0000FF"/>
        </w:rPr>
      </w:pPr>
      <w:r>
        <w:rPr>
          <w:rFonts w:ascii="Arial" w:cs="Arial" w:eastAsia="Arial" w:hAnsi="Arial"/>
          <w:sz w:val="18"/>
          <w:szCs w:val="18"/>
          <w:color w:val="auto"/>
        </w:rPr>
        <w:t>4.1</w:t>
      </w:r>
      <w:r>
        <w:rPr>
          <w:sz w:val="20"/>
          <w:szCs w:val="20"/>
          <w:color w:val="auto"/>
        </w:rPr>
        <w:tab/>
      </w:r>
      <w:hyperlink r:id="rId89">
        <w:r>
          <w:rPr>
            <w:rFonts w:ascii="Arial" w:cs="Arial" w:eastAsia="Arial" w:hAnsi="Arial"/>
            <w:sz w:val="18"/>
            <w:szCs w:val="18"/>
            <w:u w:val="single" w:color="auto"/>
            <w:color w:val="0000FF"/>
          </w:rPr>
          <w:t>First Supplemental Indenture, dated March 28, 2018, relating to the 4.75% Convertible Senior Notes due 2023, by and between the Registrant and</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the U.S. Bank National Association, as trustee</w:t>
        </w:r>
        <w:r>
          <w:rPr>
            <w:rFonts w:ascii="Arial" w:cs="Arial" w:eastAsia="Arial" w:hAnsi="Arial"/>
            <w:sz w:val="25"/>
            <w:szCs w:val="25"/>
            <w:color w:val="000000"/>
            <w:vertAlign w:val="superscript"/>
          </w:rPr>
          <w:t>(3)</w:t>
        </w:r>
      </w:hyperlink>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89">
        <w:r>
          <w:rPr>
            <w:rFonts w:ascii="Arial" w:cs="Arial" w:eastAsia="Arial" w:hAnsi="Arial"/>
            <w:sz w:val="16"/>
            <w:szCs w:val="16"/>
            <w:u w:val="single" w:color="auto"/>
            <w:color w:val="0000FF"/>
          </w:rPr>
          <w:t>Form of 4.75% Convertible Senior Note due 2023</w:t>
        </w:r>
      </w:hyperlink>
      <w:r>
        <w:rPr>
          <w:rFonts w:ascii="Arial" w:cs="Arial" w:eastAsia="Arial" w:hAnsi="Arial"/>
          <w:sz w:val="22"/>
          <w:szCs w:val="22"/>
          <w:color w:val="000000"/>
          <w:vertAlign w:val="superscript"/>
        </w:rPr>
        <w:t>(4)</w:t>
      </w:r>
    </w:p>
    <w:p>
      <w:pPr>
        <w:spacing w:after="0" w:line="17"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90">
        <w:r>
          <w:rPr>
            <w:rFonts w:ascii="Arial" w:cs="Arial" w:eastAsia="Arial" w:hAnsi="Arial"/>
            <w:sz w:val="16"/>
            <w:szCs w:val="16"/>
            <w:u w:val="single" w:color="auto"/>
            <w:color w:val="0000FF"/>
          </w:rPr>
          <w:t>First Amendment and Consent to Loan and Security Agreement between the Registrant and Western Alliance Bank dated March 22, 2018</w:t>
        </w:r>
      </w:hyperlink>
      <w:r>
        <w:rPr>
          <w:rFonts w:ascii="Arial" w:cs="Arial" w:eastAsia="Arial" w:hAnsi="Arial"/>
          <w:sz w:val="22"/>
          <w:szCs w:val="22"/>
          <w:color w:val="000000"/>
          <w:vertAlign w:val="superscript"/>
        </w:rPr>
        <w:t>(3)</w:t>
      </w:r>
    </w:p>
    <w:p>
      <w:pPr>
        <w:spacing w:after="0" w:line="2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11.1</w:t>
      </w:r>
      <w:r>
        <w:rPr>
          <w:sz w:val="20"/>
          <w:szCs w:val="20"/>
          <w:color w:val="auto"/>
        </w:rPr>
        <w:tab/>
      </w:r>
      <w:hyperlink w:anchor="page46">
        <w:r>
          <w:rPr>
            <w:rFonts w:ascii="Arial" w:cs="Arial" w:eastAsia="Arial" w:hAnsi="Arial"/>
            <w:sz w:val="16"/>
            <w:szCs w:val="16"/>
            <w:u w:val="single" w:color="auto"/>
            <w:color w:val="0000EE"/>
          </w:rPr>
          <w:t>Statement re Computation of Per Share Earnings (Included in the notes to the consolidated financial statements contained in this report)*</w:t>
        </w:r>
      </w:hyperlink>
    </w:p>
    <w:p>
      <w:pPr>
        <w:spacing w:after="0" w:line="47"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74">
        <w:r>
          <w:rPr>
            <w:rFonts w:ascii="Arial" w:cs="Arial" w:eastAsia="Arial" w:hAnsi="Arial"/>
            <w:sz w:val="16"/>
            <w:szCs w:val="16"/>
            <w:u w:val="single" w:color="auto"/>
            <w:color w:val="0000FF"/>
          </w:rPr>
          <w:t>Certification of Chief Executive Officer pursuant to Rule 13a-14 of the Securities Exchange Act of 1934, as amended*</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75">
        <w:r>
          <w:rPr>
            <w:rFonts w:ascii="Arial" w:cs="Arial" w:eastAsia="Arial" w:hAnsi="Arial"/>
            <w:sz w:val="16"/>
            <w:szCs w:val="16"/>
            <w:u w:val="single" w:color="auto"/>
            <w:color w:val="0000FF"/>
          </w:rPr>
          <w:t>Certification of Chief Financial Officer pursuant to Rule 13a-14 of the Securities Exchange Act of 1934, as amended*</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76">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77">
        <w:r>
          <w:rPr>
            <w:rFonts w:ascii="Arial" w:cs="Arial" w:eastAsia="Arial" w:hAnsi="Arial"/>
            <w:sz w:val="16"/>
            <w:szCs w:val="16"/>
            <w:u w:val="single" w:color="auto"/>
            <w:color w:val="0000FF"/>
          </w:rPr>
          <w:t>Certification of Chief Financial Officer pursuant to Section 906 of the Sarbanes-Oxley Act of 2002*</w:t>
        </w:r>
      </w:hyperlink>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0"/>
          <w:szCs w:val="20"/>
          <w:color w:val="auto"/>
        </w:rPr>
      </w:pPr>
    </w:p>
    <w:p>
      <w:pPr>
        <w:ind w:left="500" w:right="300" w:hanging="492"/>
        <w:spacing w:after="0" w:line="258"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ind w:left="500" w:right="420" w:hanging="492"/>
        <w:spacing w:after="0" w:line="250"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ind w:left="500" w:right="220" w:hanging="492"/>
        <w:spacing w:after="0" w:line="250"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in connection with Post-Effective Amendment No. 3 to the Registrant’s Registration Statement on Form N-2 (File No. 333-191307) filed on March 28, 2018, and incorporated by reference herein.</w:t>
      </w:r>
    </w:p>
    <w:p>
      <w:pPr>
        <w:ind w:left="500" w:hanging="492"/>
        <w:spacing w:after="0" w:line="250"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Included as part of Exhibit d.6 to Post-Effective Amendment No. 3 to the Registrant’s Registration Statement on Form N-2 (File No. 333-191307) filed on March 28, 2018, and incorporated by reference herein.</w:t>
      </w:r>
    </w:p>
    <w:p>
      <w:pPr>
        <w:spacing w:after="0" w:line="1"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2" w:right="259" w:bottom="1440" w:gutter="0" w:footer="0" w:header="0"/>
        </w:sectPr>
      </w:pPr>
    </w:p>
    <w:bookmarkStart w:id="72" w:name="page73"/>
    <w:bookmarkEnd w:id="7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GSV CAPITAL CORP.</w:t>
      </w:r>
    </w:p>
    <w:p>
      <w:pPr>
        <w:spacing w:after="0" w:line="202" w:lineRule="exact"/>
        <w:rPr>
          <w:sz w:val="20"/>
          <w:szCs w:val="20"/>
          <w:color w:val="auto"/>
        </w:rPr>
      </w:pPr>
    </w:p>
    <w:p>
      <w:pPr>
        <w:ind w:left="40"/>
        <w:spacing w:after="0"/>
        <w:tabs>
          <w:tab w:leader="none" w:pos="450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7"/>
          <w:szCs w:val="17"/>
          <w:color w:val="auto"/>
        </w:rPr>
        <w:t>By: /s/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40640</wp:posOffset>
            </wp:positionV>
            <wp:extent cx="42024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6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Mark D. Klein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pacing w:after="0" w:line="386" w:lineRule="exact"/>
        <w:rPr>
          <w:sz w:val="20"/>
          <w:szCs w:val="20"/>
          <w:color w:val="auto"/>
        </w:rPr>
      </w:pPr>
    </w:p>
    <w:p>
      <w:pPr>
        <w:ind w:left="40"/>
        <w:spacing w:after="0"/>
        <w:tabs>
          <w:tab w:leader="none" w:pos="450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By: /s/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40640</wp:posOffset>
            </wp:positionV>
            <wp:extent cx="42024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6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William Tanona</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Chief Financial Officer, Treasurer and Secretary</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640"/>
          </w:cols>
          <w:pgMar w:left="240" w:top="122" w:right="10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of GSV Capital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48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10th day of May,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31750</wp:posOffset>
            </wp:positionV>
            <wp:extent cx="14408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Mark D. Klein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of 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Tanona,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48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10th day of May,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31750</wp:posOffset>
            </wp:positionV>
            <wp:extent cx="14319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William Tanona</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In connection with the quarterly report on Form 10-Q for the three months ended March 31, 2018 (the “Report”) of GSV Capital Corp. (the “Registrant”), as filed with the Securities and Exchange Commission on the date hereof, I, Mark D. Klein, the Chief Executive Officer of the Registrant, hereby certify, to the best of my knowledge, that:</w:t>
      </w:r>
    </w:p>
    <w:p>
      <w:pPr>
        <w:spacing w:after="0" w:line="18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5591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Name: Mark D. Klein</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10, 2018</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quarterly report on Form 10-Q for the three months ended March 31, 2018 (the “Report”) of GSV Capital Corp. (the “Registrant”), as filed with the Securities and Exchange Commission on the date hereof, I, William Tanona, the Chief Financial Officer of the Registrant, hereby certify, to the best of my knowledge, that:</w:t>
      </w:r>
    </w:p>
    <w:p>
      <w:pPr>
        <w:spacing w:after="0" w:line="18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Name: William Tanona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10,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2"/>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lowerRoman"/>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2"/>
    </w:lvl>
  </w:abstractNum>
  <w:abstractNum w:abstractNumId="19">
    <w:nsid w:val="614FD4A1"/>
    <w:multiLevelType w:val="hybridMultilevel"/>
    <w:lvl w:ilvl="0">
      <w:lvlJc w:val="left"/>
      <w:lvlText w:val="(%1)"/>
      <w:numFmt w:val="decimal"/>
      <w:start w:val="2"/>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lowerRoman"/>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86" Type="http://schemas.openxmlformats.org/officeDocument/2006/relationships/hyperlink" Target="http://www.sec.gov/Archives/edgar/data/1509470/000113379611000069/k216228_ex99-2a.htm" TargetMode="External"/><Relationship Id="rId87" Type="http://schemas.openxmlformats.org/officeDocument/2006/relationships/hyperlink" Target="http://www.sec.gov/Archives/edgar/data/1509470/000114420411033389/v224342_ex3-1.htm" TargetMode="External"/><Relationship Id="rId88" Type="http://schemas.openxmlformats.org/officeDocument/2006/relationships/hyperlink" Target="http://www.sec.gov/Archives/edgar/data/1509470/000113379611000069/k216228_ex99-2b.htm" TargetMode="External"/><Relationship Id="rId89" Type="http://schemas.openxmlformats.org/officeDocument/2006/relationships/hyperlink" Target="http://www.sec.gov/Archives/edgar/data/1509470/000114420418017614/tv489339_ex-d6.htm" TargetMode="External"/><Relationship Id="rId90" Type="http://schemas.openxmlformats.org/officeDocument/2006/relationships/hyperlink" Target="http://www.sec.gov/Archives/edgar/data/1509470/000114420418017614/tv489339_ex-k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2019-12-28T21:58:57Z</dcterms:created>
  <dcterms:modified xsi:type="dcterms:W3CDTF">2019-12-28T21:58:57Z</dcterms:modified>
</cp:coreProperties>
</file>