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(Mark One)</w:t>
            </w:r>
          </w:p>
        </w:tc>
        <w:tc>
          <w:tcPr>
            <w:tcW w:w="3400" w:type="dxa"/>
            <w:vAlign w:val="bottom"/>
          </w:tcPr>
          <w:p>
            <w:pPr>
              <w:spacing w:after="0"/>
              <w:rPr>
                <w:sz w:val="24"/>
                <w:szCs w:val="24"/>
                <w:color w:val="auto"/>
              </w:rPr>
            </w:pPr>
          </w:p>
        </w:tc>
        <w:tc>
          <w:tcPr>
            <w:tcW w:w="6340" w:type="dxa"/>
            <w:vAlign w:val="bottom"/>
          </w:tcPr>
          <w:p>
            <w:pPr>
              <w:jc w:val="center"/>
              <w:ind w:right="3918"/>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154"/>
        </w:trPr>
        <w:tc>
          <w:tcPr>
            <w:tcW w:w="118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18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740" w:type="dxa"/>
            <w:vAlign w:val="bottom"/>
            <w:gridSpan w:val="2"/>
          </w:tcPr>
          <w:p>
            <w:pPr>
              <w:ind w:left="500"/>
              <w:spacing w:after="0"/>
              <w:rPr>
                <w:sz w:val="20"/>
                <w:szCs w:val="20"/>
                <w:color w:val="auto"/>
              </w:rPr>
            </w:pPr>
            <w:r>
              <w:rPr>
                <w:rFonts w:ascii="Arial" w:cs="Arial" w:eastAsia="Arial" w:hAnsi="Arial"/>
                <w:sz w:val="18"/>
                <w:szCs w:val="18"/>
                <w:b w:val="1"/>
                <w:bCs w:val="1"/>
                <w:color w:val="auto"/>
                <w:w w:val="99"/>
              </w:rPr>
              <w:t>QUARTERLY REPORT PURSUANT TO SECTION 13 OR 15(d) OF THE SECURITIES EXCHANGE ACT OF 1934</w:t>
            </w: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4"/>
                <w:szCs w:val="24"/>
                <w:color w:val="auto"/>
              </w:rPr>
            </w:pPr>
          </w:p>
        </w:tc>
        <w:tc>
          <w:tcPr>
            <w:tcW w:w="9740" w:type="dxa"/>
            <w:vAlign w:val="bottom"/>
            <w:gridSpan w:val="2"/>
          </w:tcPr>
          <w:p>
            <w:pPr>
              <w:jc w:val="center"/>
              <w:ind w:right="558"/>
              <w:spacing w:after="0"/>
              <w:rPr>
                <w:sz w:val="20"/>
                <w:szCs w:val="20"/>
                <w:color w:val="auto"/>
              </w:rPr>
            </w:pPr>
            <w:r>
              <w:rPr>
                <w:rFonts w:ascii="Arial" w:cs="Arial" w:eastAsia="Arial" w:hAnsi="Arial"/>
                <w:sz w:val="18"/>
                <w:szCs w:val="18"/>
                <w:b w:val="1"/>
                <w:bCs w:val="1"/>
                <w:color w:val="auto"/>
                <w:w w:val="98"/>
              </w:rPr>
              <w:t>FOR THE QUARTERLY PERIOD ENDED March 31, 2012</w:t>
            </w:r>
          </w:p>
        </w:tc>
        <w:tc>
          <w:tcPr>
            <w:tcW w:w="0" w:type="dxa"/>
            <w:vAlign w:val="bottom"/>
          </w:tcPr>
          <w:p>
            <w:pPr>
              <w:spacing w:after="0"/>
              <w:rPr>
                <w:sz w:val="1"/>
                <w:szCs w:val="1"/>
                <w:color w:val="auto"/>
              </w:rPr>
            </w:pPr>
          </w:p>
        </w:tc>
      </w:tr>
      <w:tr>
        <w:trPr>
          <w:trHeight w:val="452"/>
        </w:trPr>
        <w:tc>
          <w:tcPr>
            <w:tcW w:w="118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9740" w:type="dxa"/>
            <w:vAlign w:val="bottom"/>
            <w:gridSpan w:val="2"/>
          </w:tcPr>
          <w:p>
            <w:pPr>
              <w:ind w:left="58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396"/>
        </w:trPr>
        <w:tc>
          <w:tcPr>
            <w:tcW w:w="1180" w:type="dxa"/>
            <w:vAlign w:val="bottom"/>
          </w:tcPr>
          <w:p>
            <w:pPr>
              <w:spacing w:after="0"/>
              <w:rPr>
                <w:sz w:val="24"/>
                <w:szCs w:val="24"/>
                <w:color w:val="auto"/>
              </w:rPr>
            </w:pPr>
          </w:p>
        </w:tc>
        <w:tc>
          <w:tcPr>
            <w:tcW w:w="9740" w:type="dxa"/>
            <w:vAlign w:val="bottom"/>
            <w:gridSpan w:val="2"/>
          </w:tcPr>
          <w:p>
            <w:pPr>
              <w:jc w:val="center"/>
              <w:ind w:right="618"/>
              <w:spacing w:after="0"/>
              <w:rPr>
                <w:sz w:val="20"/>
                <w:szCs w:val="20"/>
                <w:color w:val="auto"/>
              </w:rPr>
            </w:pPr>
            <w:r>
              <w:rPr>
                <w:rFonts w:ascii="Arial" w:cs="Arial" w:eastAsia="Arial" w:hAnsi="Arial"/>
                <w:sz w:val="18"/>
                <w:szCs w:val="18"/>
                <w:b w:val="1"/>
                <w:bCs w:val="1"/>
                <w:color w:val="auto"/>
                <w:w w:val="99"/>
              </w:rPr>
              <w:t>COMMISSION FILE NUMBER: 814-00852</w:t>
            </w:r>
          </w:p>
        </w:tc>
        <w:tc>
          <w:tcPr>
            <w:tcW w:w="0" w:type="dxa"/>
            <w:vAlign w:val="bottom"/>
          </w:tcPr>
          <w:p>
            <w:pPr>
              <w:spacing w:after="0"/>
              <w:rPr>
                <w:sz w:val="1"/>
                <w:szCs w:val="1"/>
                <w:color w:val="auto"/>
              </w:rPr>
            </w:pPr>
          </w:p>
        </w:tc>
      </w:tr>
      <w:tr>
        <w:trPr>
          <w:trHeight w:val="525"/>
        </w:trPr>
        <w:tc>
          <w:tcPr>
            <w:tcW w:w="1180" w:type="dxa"/>
            <w:vAlign w:val="bottom"/>
          </w:tcPr>
          <w:p>
            <w:pPr>
              <w:spacing w:after="0"/>
              <w:rPr>
                <w:sz w:val="24"/>
                <w:szCs w:val="24"/>
                <w:color w:val="auto"/>
              </w:rPr>
            </w:pPr>
          </w:p>
        </w:tc>
        <w:tc>
          <w:tcPr>
            <w:tcW w:w="9740" w:type="dxa"/>
            <w:vAlign w:val="bottom"/>
            <w:gridSpan w:val="2"/>
          </w:tcPr>
          <w:p>
            <w:pPr>
              <w:jc w:val="center"/>
              <w:ind w:right="578"/>
              <w:spacing w:after="0"/>
              <w:rPr>
                <w:sz w:val="20"/>
                <w:szCs w:val="20"/>
                <w:color w:val="auto"/>
              </w:rPr>
            </w:pPr>
            <w:r>
              <w:rPr>
                <w:rFonts w:ascii="Arial" w:cs="Arial" w:eastAsia="Arial" w:hAnsi="Arial"/>
                <w:sz w:val="43"/>
                <w:szCs w:val="43"/>
                <w:b w:val="1"/>
                <w:bCs w:val="1"/>
                <w:color w:val="auto"/>
                <w:w w:val="95"/>
              </w:rPr>
              <w:t>GSV Capital Corp.</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9740" w:type="dxa"/>
            <w:vAlign w:val="bottom"/>
            <w:gridSpan w:val="2"/>
          </w:tcPr>
          <w:p>
            <w:pPr>
              <w:jc w:val="center"/>
              <w:ind w:right="57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340" w:type="dxa"/>
            <w:vAlign w:val="bottom"/>
          </w:tcPr>
          <w:p>
            <w:pPr>
              <w:jc w:val="right"/>
              <w:ind w:right="1818"/>
              <w:spacing w:after="0"/>
              <w:rPr>
                <w:sz w:val="20"/>
                <w:szCs w:val="20"/>
                <w:color w:val="auto"/>
              </w:rPr>
            </w:pPr>
            <w:r>
              <w:rPr>
                <w:rFonts w:ascii="Arial" w:cs="Arial" w:eastAsia="Arial" w:hAnsi="Arial"/>
                <w:sz w:val="18"/>
                <w:szCs w:val="18"/>
                <w:b w:val="1"/>
                <w:bCs w:val="1"/>
                <w:color w:val="auto"/>
              </w:rPr>
              <w:t>27-4443543</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(State of incorporation)</w:t>
            </w:r>
          </w:p>
        </w:tc>
        <w:tc>
          <w:tcPr>
            <w:tcW w:w="6340" w:type="dxa"/>
            <w:vAlign w:val="bottom"/>
          </w:tcPr>
          <w:p>
            <w:pPr>
              <w:jc w:val="center"/>
              <w:ind w:left="1538"/>
              <w:spacing w:after="0"/>
              <w:rPr>
                <w:sz w:val="20"/>
                <w:szCs w:val="20"/>
                <w:color w:val="auto"/>
              </w:rPr>
            </w:pPr>
            <w:r>
              <w:rPr>
                <w:rFonts w:ascii="Arial" w:cs="Arial" w:eastAsia="Arial" w:hAnsi="Arial"/>
                <w:sz w:val="18"/>
                <w:szCs w:val="18"/>
                <w:b w:val="1"/>
                <w:bCs w:val="1"/>
                <w:color w:val="auto"/>
                <w:w w:val="92"/>
              </w:rPr>
              <w:t>(I.R.S. Employer Identification No.)</w:t>
            </w:r>
          </w:p>
        </w:tc>
        <w:tc>
          <w:tcPr>
            <w:tcW w:w="0" w:type="dxa"/>
            <w:vAlign w:val="bottom"/>
          </w:tcPr>
          <w:p>
            <w:pPr>
              <w:spacing w:after="0"/>
              <w:rPr>
                <w:sz w:val="1"/>
                <w:szCs w:val="1"/>
                <w:color w:val="auto"/>
              </w:rPr>
            </w:pPr>
          </w:p>
        </w:tc>
      </w:tr>
      <w:tr>
        <w:trPr>
          <w:trHeight w:val="414"/>
        </w:trPr>
        <w:tc>
          <w:tcPr>
            <w:tcW w:w="11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2965 Woodside Road</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6340" w:type="dxa"/>
            <w:vAlign w:val="bottom"/>
          </w:tcPr>
          <w:p>
            <w:pPr>
              <w:jc w:val="right"/>
              <w:ind w:right="2018"/>
              <w:spacing w:after="0"/>
              <w:rPr>
                <w:sz w:val="20"/>
                <w:szCs w:val="20"/>
                <w:color w:val="auto"/>
              </w:rPr>
            </w:pPr>
            <w:r>
              <w:rPr>
                <w:rFonts w:ascii="Arial" w:cs="Arial" w:eastAsia="Arial" w:hAnsi="Arial"/>
                <w:sz w:val="18"/>
                <w:szCs w:val="18"/>
                <w:b w:val="1"/>
                <w:bCs w:val="1"/>
                <w:color w:val="auto"/>
              </w:rPr>
              <w:t>94062</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340" w:type="dxa"/>
            <w:vAlign w:val="bottom"/>
          </w:tcPr>
          <w:p>
            <w:pPr>
              <w:jc w:val="center"/>
              <w:ind w:left="1538"/>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340" w:type="dxa"/>
            <w:vAlign w:val="bottom"/>
          </w:tcPr>
          <w:p>
            <w:pPr>
              <w:jc w:val="center"/>
              <w:ind w:right="3958"/>
              <w:spacing w:after="0"/>
              <w:rPr>
                <w:sz w:val="20"/>
                <w:szCs w:val="20"/>
                <w:color w:val="auto"/>
              </w:rPr>
            </w:pPr>
            <w:r>
              <w:rPr>
                <w:rFonts w:ascii="Arial" w:cs="Arial" w:eastAsia="Arial" w:hAnsi="Arial"/>
                <w:sz w:val="18"/>
                <w:szCs w:val="18"/>
                <w:b w:val="1"/>
                <w:bCs w:val="1"/>
                <w:color w:val="auto"/>
                <w:w w:val="90"/>
              </w:rPr>
              <w:t>(650) 206-2965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740" w:type="dxa"/>
            <w:vAlign w:val="bottom"/>
            <w:gridSpan w:val="2"/>
          </w:tcPr>
          <w:p>
            <w:pPr>
              <w:jc w:val="center"/>
              <w:ind w:right="578"/>
              <w:spacing w:after="0"/>
              <w:rPr>
                <w:sz w:val="20"/>
                <w:szCs w:val="20"/>
                <w:color w:val="auto"/>
              </w:rPr>
            </w:pPr>
            <w:r>
              <w:rPr>
                <w:rFonts w:ascii="Arial" w:cs="Arial" w:eastAsia="Arial" w:hAnsi="Arial"/>
                <w:sz w:val="18"/>
                <w:szCs w:val="18"/>
                <w:color w:val="auto"/>
                <w:w w:val="90"/>
              </w:rPr>
              <w:t>(Registrant’s telephone number, including area code)</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firstLine="1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679"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20" w:space="720"/>
            <w:col w:w="4760" w:space="720"/>
            <w:col w:w="2140" w:space="720"/>
            <w:col w:w="440"/>
          </w:cols>
          <w:pgMar w:left="240" w:top="67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920" w:space="720"/>
            <w:col w:w="160" w:space="100"/>
            <w:col w:w="4500" w:space="720"/>
            <w:col w:w="2140" w:space="720"/>
            <w:col w:w="440"/>
          </w:cols>
          <w:pgMar w:left="240" w:top="679" w:right="239" w:bottom="1440" w:gutter="0" w:footer="0" w:header="0"/>
          <w:type w:val="continuous"/>
        </w:sectPr>
      </w:pPr>
    </w:p>
    <w:p>
      <w:pPr>
        <w:spacing w:after="0" w:line="16" w:lineRule="exact"/>
        <w:rPr>
          <w:sz w:val="24"/>
          <w:szCs w:val="24"/>
          <w:color w:val="auto"/>
        </w:rPr>
      </w:pPr>
    </w:p>
    <w:p>
      <w:pPr>
        <w:ind w:left="50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9400" w:space="220"/>
            <w:col w:w="220" w:space="140"/>
            <w:col w:w="1440"/>
          </w:cols>
          <w:pgMar w:left="240" w:top="67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$0.01 par value, outstanding as of May 7, 2012 was 12,420,100.</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PAGE</w:t>
            </w:r>
          </w:p>
        </w:tc>
      </w:tr>
      <w:tr>
        <w:trPr>
          <w:trHeight w:val="411"/>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600" w:type="dxa"/>
            <w:vAlign w:val="bottom"/>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182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60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Statements of Assets and Liabilities as of March 31, 2012 (unaudited) and December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1"/>
              </w:rPr>
              <w:t>Statements of Operations (unaudited) for the three months ended March 31, 2012 and for the period from January</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6, 2011 (date of inception) to March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Statements of Changes in Net Assets (unaudited) for the three months ended</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March 31, 2012 and for the period from January 6, 2011 (date of inception) to</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March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8"/>
              </w:rPr>
              <w:t>Statements of Cash Flows (unaudited) for the three months ended March 31, 2012 and for the period from</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January 6, 2011 (date of inception) to March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Schedule of Investments as of March 31, 2012 (unaudited)</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Schedule of Investments as of December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Notes to the Financial Statements as of March 31, 2012 (unaudited)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60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60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600" w:type="dxa"/>
            <w:vAlign w:val="bottom"/>
          </w:tcPr>
          <w:p>
            <w:pPr>
              <w:ind w:left="280"/>
              <w:spacing w:after="0"/>
              <w:rPr>
                <w:sz w:val="20"/>
                <w:szCs w:val="20"/>
                <w:color w:val="auto"/>
              </w:rPr>
            </w:pPr>
            <w:r>
              <w:rPr>
                <w:rFonts w:ascii="Arial" w:cs="Arial" w:eastAsia="Arial" w:hAnsi="Arial"/>
                <w:sz w:val="18"/>
                <w:szCs w:val="18"/>
                <w:b w:val="1"/>
                <w:bCs w:val="1"/>
                <w:color w:val="auto"/>
              </w:rPr>
              <w:t>OTHER INFORMATION</w:t>
            </w:r>
          </w:p>
        </w:tc>
        <w:tc>
          <w:tcPr>
            <w:tcW w:w="182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60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60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60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tcPr>
          <w:p>
            <w:pPr>
              <w:ind w:left="280"/>
              <w:spacing w:after="0"/>
              <w:rPr>
                <w:sz w:val="20"/>
                <w:szCs w:val="20"/>
                <w:color w:val="auto"/>
              </w:rPr>
            </w:pPr>
            <w:r>
              <w:rPr>
                <w:rFonts w:ascii="Arial" w:cs="Arial" w:eastAsia="Arial" w:hAnsi="Arial"/>
                <w:sz w:val="18"/>
                <w:szCs w:val="18"/>
                <w:color w:val="auto"/>
              </w:rPr>
              <w:t>Defaults Upon Senior Securities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600" w:type="dxa"/>
            <w:vAlign w:val="bottom"/>
          </w:tcPr>
          <w:p>
            <w:pPr>
              <w:ind w:left="280"/>
              <w:spacing w:after="0"/>
              <w:rPr>
                <w:sz w:val="20"/>
                <w:szCs w:val="20"/>
                <w:color w:val="auto"/>
              </w:rPr>
            </w:pPr>
            <w:r>
              <w:rPr>
                <w:rFonts w:ascii="Arial" w:cs="Arial" w:eastAsia="Arial" w:hAnsi="Arial"/>
                <w:sz w:val="18"/>
                <w:szCs w:val="18"/>
                <w:color w:val="auto"/>
              </w:rPr>
              <w:t>Reserved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600" w:type="dxa"/>
            <w:vAlign w:val="bottom"/>
          </w:tcPr>
          <w:p>
            <w:pPr>
              <w:ind w:left="280"/>
              <w:spacing w:after="0"/>
              <w:rPr>
                <w:sz w:val="20"/>
                <w:szCs w:val="20"/>
                <w:color w:val="auto"/>
              </w:rPr>
            </w:pPr>
            <w:r>
              <w:rPr>
                <w:rFonts w:ascii="Arial" w:cs="Arial" w:eastAsia="Arial" w:hAnsi="Arial"/>
                <w:sz w:val="18"/>
                <w:szCs w:val="18"/>
                <w:color w:val="auto"/>
              </w:rPr>
              <w:t>Other Information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600" w:type="dxa"/>
            <w:vAlign w:val="bottom"/>
          </w:tcPr>
          <w:p>
            <w:pPr>
              <w:ind w:left="280"/>
              <w:spacing w:after="0"/>
              <w:rPr>
                <w:sz w:val="20"/>
                <w:szCs w:val="20"/>
                <w:color w:val="auto"/>
              </w:rPr>
            </w:pPr>
            <w:r>
              <w:rPr>
                <w:rFonts w:ascii="Arial" w:cs="Arial" w:eastAsia="Arial" w:hAnsi="Arial"/>
                <w:sz w:val="18"/>
                <w:szCs w:val="18"/>
                <w:color w:val="auto"/>
              </w:rPr>
              <w:t>Exhibits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30"/>
        </w:trPr>
        <w:tc>
          <w:tcPr>
            <w:tcW w:w="1000" w:type="dxa"/>
            <w:vAlign w:val="bottom"/>
          </w:tcPr>
          <w:p>
            <w:pPr>
              <w:spacing w:after="0"/>
              <w:rPr>
                <w:sz w:val="20"/>
                <w:szCs w:val="20"/>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Signatures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648"/>
        </w:trPr>
        <w:tc>
          <w:tcPr>
            <w:tcW w:w="100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60" w:type="dxa"/>
            <w:vAlign w:val="bottom"/>
          </w:tcPr>
          <w:p>
            <w:pPr>
              <w:jc w:val="center"/>
              <w:ind w:left="3450"/>
              <w:spacing w:after="0"/>
              <w:rPr>
                <w:sz w:val="20"/>
                <w:szCs w:val="20"/>
                <w:color w:val="auto"/>
              </w:rPr>
            </w:pPr>
            <w:r>
              <w:rPr>
                <w:rFonts w:ascii="Arial" w:cs="Arial" w:eastAsia="Arial" w:hAnsi="Arial"/>
                <w:sz w:val="18"/>
                <w:szCs w:val="18"/>
                <w:b w:val="1"/>
                <w:bCs w:val="1"/>
                <w:color w:val="auto"/>
                <w:w w:val="98"/>
              </w:rPr>
              <w:t>GSV CAPITAL CORP.</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jc w:val="center"/>
              <w:ind w:left="3430"/>
              <w:spacing w:after="0"/>
              <w:rPr>
                <w:sz w:val="20"/>
                <w:szCs w:val="20"/>
                <w:color w:val="auto"/>
              </w:rPr>
            </w:pPr>
            <w:r>
              <w:rPr>
                <w:rFonts w:ascii="Arial" w:cs="Arial" w:eastAsia="Arial" w:hAnsi="Arial"/>
                <w:sz w:val="18"/>
                <w:szCs w:val="18"/>
                <w:b w:val="1"/>
                <w:bCs w:val="1"/>
                <w:color w:val="auto"/>
                <w:w w:val="94"/>
              </w:rPr>
              <w:t>(formerly NeXt Innovation Corp.)</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STATEMENTS OF ASSETS AND LIABILITIES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March 31, 2012</w:t>
            </w:r>
          </w:p>
        </w:tc>
        <w:tc>
          <w:tcPr>
            <w:tcW w:w="2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2011</w:t>
            </w:r>
          </w:p>
        </w:tc>
        <w:tc>
          <w:tcPr>
            <w:tcW w:w="0" w:type="dxa"/>
            <w:vAlign w:val="bottom"/>
          </w:tcPr>
          <w:p>
            <w:pPr>
              <w:spacing w:after="0"/>
              <w:rPr>
                <w:sz w:val="1"/>
                <w:szCs w:val="1"/>
                <w:color w:val="auto"/>
              </w:rPr>
            </w:pPr>
          </w:p>
        </w:tc>
      </w:tr>
      <w:tr>
        <w:trPr>
          <w:trHeight w:val="210"/>
        </w:trPr>
        <w:tc>
          <w:tcPr>
            <w:tcW w:w="78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0"/>
              <w:spacing w:after="0"/>
              <w:rPr>
                <w:sz w:val="20"/>
                <w:szCs w:val="20"/>
                <w:color w:val="auto"/>
              </w:rPr>
            </w:pPr>
            <w:r>
              <w:rPr>
                <w:rFonts w:ascii="Arial" w:cs="Arial" w:eastAsia="Arial" w:hAnsi="Arial"/>
                <w:sz w:val="18"/>
                <w:szCs w:val="18"/>
                <w:color w:val="auto"/>
                <w:w w:val="94"/>
              </w:rPr>
              <w:t>Investments in non-control/non-affiliated securities (cost of $76,325,515 and $65,658,866, respectively)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75,756,910</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64,078,150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ind w:left="80"/>
              <w:spacing w:after="0"/>
              <w:rPr>
                <w:sz w:val="20"/>
                <w:szCs w:val="20"/>
                <w:color w:val="auto"/>
              </w:rPr>
            </w:pPr>
            <w:r>
              <w:rPr>
                <w:rFonts w:ascii="Arial" w:cs="Arial" w:eastAsia="Arial" w:hAnsi="Arial"/>
                <w:sz w:val="18"/>
                <w:szCs w:val="18"/>
                <w:color w:val="auto"/>
              </w:rPr>
              <w:t>Investment in United States treasury bill (cost of $0 and $19,999,128, respectively)</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20,000,044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80"/>
              <w:spacing w:after="0"/>
              <w:rPr>
                <w:sz w:val="20"/>
                <w:szCs w:val="20"/>
                <w:color w:val="auto"/>
              </w:rPr>
            </w:pPr>
            <w:r>
              <w:rPr>
                <w:rFonts w:ascii="Arial" w:cs="Arial" w:eastAsia="Arial" w:hAnsi="Arial"/>
                <w:sz w:val="18"/>
                <w:szCs w:val="18"/>
                <w:color w:val="auto"/>
              </w:rPr>
              <w:t>Investments in money market funds (cost of $16,000,000 and $7,000,000, respectively)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Investments (cost of $92,325,515 and $92,657,994, respectively)</w:t>
            </w:r>
          </w:p>
        </w:tc>
        <w:tc>
          <w:tcPr>
            <w:tcW w:w="2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91,756,910</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91,078,194</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75,391,344</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385,995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Due from: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ind w:left="80"/>
              <w:spacing w:after="0"/>
              <w:rPr>
                <w:sz w:val="20"/>
                <w:szCs w:val="20"/>
                <w:color w:val="auto"/>
              </w:rPr>
            </w:pPr>
            <w:r>
              <w:rPr>
                <w:rFonts w:ascii="Arial" w:cs="Arial" w:eastAsia="Arial" w:hAnsi="Arial"/>
                <w:sz w:val="18"/>
                <w:szCs w:val="18"/>
                <w:color w:val="auto"/>
              </w:rPr>
              <w:t>GSV Asset Management</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14,220</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13,470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0"/>
              <w:spacing w:after="0"/>
              <w:rPr>
                <w:sz w:val="20"/>
                <w:szCs w:val="20"/>
                <w:color w:val="auto"/>
              </w:rPr>
            </w:pPr>
            <w:r>
              <w:rPr>
                <w:rFonts w:ascii="Arial" w:cs="Arial" w:eastAsia="Arial" w:hAnsi="Arial"/>
                <w:sz w:val="18"/>
                <w:szCs w:val="18"/>
                <w:color w:val="auto"/>
              </w:rPr>
              <w:t>Portfolio company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70,145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258,739</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158,389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18,212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118,972</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56,436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Dividend receivable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2,786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59,417</w:t>
            </w:r>
          </w:p>
        </w:tc>
        <w:tc>
          <w:tcPr>
            <w:tcW w:w="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FFCC"/>
            </w:tcBorders>
          </w:tcPr>
          <w:p>
            <w:pPr>
              <w:ind w:left="1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167,690,745</w:t>
            </w:r>
          </w:p>
        </w:tc>
        <w:tc>
          <w:tcPr>
            <w:tcW w:w="2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91,798,242</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Due to:</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0"/>
              <w:spacing w:after="0"/>
              <w:rPr>
                <w:sz w:val="20"/>
                <w:szCs w:val="20"/>
                <w:color w:val="auto"/>
              </w:rPr>
            </w:pPr>
            <w:r>
              <w:rPr>
                <w:rFonts w:ascii="Arial" w:cs="Arial" w:eastAsia="Arial" w:hAnsi="Arial"/>
                <w:sz w:val="18"/>
                <w:szCs w:val="18"/>
                <w:color w:val="auto"/>
              </w:rPr>
              <w:t>GSV Asset Management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16,524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78,427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ind w:left="80"/>
              <w:spacing w:after="0"/>
              <w:rPr>
                <w:sz w:val="20"/>
                <w:szCs w:val="20"/>
                <w:color w:val="auto"/>
              </w:rPr>
            </w:pPr>
            <w:r>
              <w:rPr>
                <w:rFonts w:ascii="Arial" w:cs="Arial" w:eastAsia="Arial" w:hAnsi="Arial"/>
                <w:sz w:val="18"/>
                <w:szCs w:val="18"/>
                <w:color w:val="auto"/>
              </w:rPr>
              <w:t>Other affiliates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5,669</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10,782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Payable for unsettled securities transaction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19,999,128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316,880</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206,357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FFCC"/>
            </w:tcBorders>
            <w:shd w:val="clear" w:color="auto" w:fill="CCFFCC"/>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341,637</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20,294,994</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167,349,108</w:t>
            </w:r>
          </w:p>
        </w:tc>
        <w:tc>
          <w:tcPr>
            <w:tcW w:w="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71,503,248</w:t>
            </w:r>
          </w:p>
        </w:tc>
        <w:tc>
          <w:tcPr>
            <w:tcW w:w="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(100,000,000 authorized; 12,420,100 and 5,520,100 issued and outstanding, respectively)</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124,201</w:t>
            </w:r>
          </w:p>
        </w:tc>
        <w:tc>
          <w:tcPr>
            <w:tcW w:w="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55,201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168,887,770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73,027,847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Accumulated net investment loss</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(1,094,002)</w:t>
            </w: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Accumulated net unrealized depreciation on investments</w:t>
            </w:r>
          </w:p>
        </w:tc>
        <w:tc>
          <w:tcPr>
            <w:tcW w:w="2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(568,605)</w:t>
            </w:r>
          </w:p>
        </w:tc>
        <w:tc>
          <w:tcPr>
            <w:tcW w:w="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2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(1,579,800)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CCFFCC"/>
            </w:tcBorders>
          </w:tcPr>
          <w:p>
            <w:pPr>
              <w:ind w:left="140"/>
              <w:spacing w:after="0"/>
              <w:rPr>
                <w:sz w:val="20"/>
                <w:szCs w:val="20"/>
                <w:color w:val="auto"/>
              </w:rPr>
            </w:pPr>
            <w:r>
              <w:rPr>
                <w:rFonts w:ascii="Arial" w:cs="Arial" w:eastAsia="Arial" w:hAnsi="Arial"/>
                <w:sz w:val="18"/>
                <w:szCs w:val="18"/>
                <w:b w:val="1"/>
                <w:bCs w:val="1"/>
                <w:color w:val="auto"/>
              </w:rPr>
              <w:t>Net Assets</w:t>
            </w:r>
          </w:p>
        </w:tc>
        <w:tc>
          <w:tcPr>
            <w:tcW w:w="24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167,349,108</w:t>
            </w:r>
          </w:p>
        </w:tc>
        <w:tc>
          <w:tcPr>
            <w:tcW w:w="22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71,503,248</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60" w:type="dxa"/>
            <w:vAlign w:val="bottom"/>
          </w:tcPr>
          <w:p>
            <w:pPr>
              <w:ind w:left="14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13.47</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GSV CAPITAL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(formerly NeXt Innovation Corp.)</w:t>
      </w:r>
    </w:p>
    <w:p>
      <w:pPr>
        <w:jc w:val="center"/>
        <w:spacing w:after="0" w:line="230" w:lineRule="auto"/>
        <w:rPr>
          <w:sz w:val="20"/>
          <w:szCs w:val="20"/>
          <w:color w:val="auto"/>
        </w:rPr>
      </w:pPr>
      <w:r>
        <w:rPr>
          <w:rFonts w:ascii="Arial" w:cs="Arial" w:eastAsia="Arial" w:hAnsi="Arial"/>
          <w:sz w:val="22"/>
          <w:szCs w:val="22"/>
          <w:b w:val="1"/>
          <w:bCs w:val="1"/>
          <w:color w:val="auto"/>
        </w:rPr>
        <w:t>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from January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Three months</w:t>
            </w:r>
          </w:p>
        </w:tc>
        <w:tc>
          <w:tcPr>
            <w:tcW w:w="1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 2012</w:t>
            </w:r>
          </w:p>
        </w:tc>
        <w:tc>
          <w:tcPr>
            <w:tcW w:w="1640" w:type="dxa"/>
            <w:vAlign w:val="bottom"/>
            <w:gridSpan w:val="3"/>
          </w:tcPr>
          <w:p>
            <w:pPr>
              <w:jc w:val="center"/>
              <w:ind w:right="180"/>
              <w:spacing w:after="0" w:line="269" w:lineRule="exact"/>
              <w:rPr>
                <w:sz w:val="20"/>
                <w:szCs w:val="20"/>
                <w:color w:val="auto"/>
              </w:rPr>
            </w:pPr>
            <w:r>
              <w:rPr>
                <w:rFonts w:ascii="Arial" w:cs="Arial" w:eastAsia="Arial" w:hAnsi="Arial"/>
                <w:sz w:val="18"/>
                <w:szCs w:val="18"/>
                <w:b w:val="1"/>
                <w:bCs w:val="1"/>
                <w:color w:val="auto"/>
                <w:w w:val="87"/>
              </w:rPr>
              <w:t>March 31, 2011</w:t>
            </w:r>
            <w:r>
              <w:rPr>
                <w:rFonts w:ascii="Arial" w:cs="Arial" w:eastAsia="Arial" w:hAnsi="Arial"/>
                <w:sz w:val="30"/>
                <w:szCs w:val="30"/>
                <w:b w:val="1"/>
                <w:bCs w:val="1"/>
                <w:color w:val="auto"/>
                <w:w w:val="87"/>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112,101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Dividend income</w:t>
            </w:r>
          </w:p>
        </w:tc>
        <w:tc>
          <w:tcPr>
            <w:tcW w:w="120" w:type="dxa"/>
            <w:vAlign w:val="bottom"/>
            <w:shd w:val="clear" w:color="auto" w:fill="CCFFCC"/>
          </w:tcPr>
          <w:p>
            <w:pPr>
              <w:spacing w:after="0"/>
              <w:rPr>
                <w:sz w:val="19"/>
                <w:szCs w:val="19"/>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5,704</w:t>
            </w:r>
          </w:p>
        </w:tc>
        <w:tc>
          <w:tcPr>
            <w:tcW w:w="1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FFCC"/>
            </w:tcBorders>
          </w:tcPr>
          <w:p>
            <w:pPr>
              <w:ind w:left="30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117,805</w:t>
            </w:r>
          </w:p>
        </w:tc>
        <w:tc>
          <w:tcPr>
            <w:tcW w:w="2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Investment management fees</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621,926</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Costs incurred under administration agreement</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345,594</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42,500</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131,845</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Insurance expense</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46,669</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Investor relations expense</w:t>
            </w: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FFCC"/>
          </w:tcPr>
          <w:p>
            <w:pPr>
              <w:spacing w:after="0"/>
              <w:rPr>
                <w:sz w:val="20"/>
                <w:szCs w:val="20"/>
                <w:color w:val="auto"/>
              </w:rPr>
            </w:pPr>
            <w:r>
              <w:rPr>
                <w:rFonts w:ascii="Arial" w:cs="Arial" w:eastAsia="Arial" w:hAnsi="Arial"/>
                <w:sz w:val="18"/>
                <w:szCs w:val="18"/>
                <w:color w:val="auto"/>
              </w:rPr>
              <w:t>Organization expenses</w:t>
            </w: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expenses</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1,211,807</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110,808</w:t>
            </w: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Investment Loss</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(1,094,002)</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Realized Loss on Investments</w:t>
            </w:r>
          </w:p>
        </w:tc>
        <w:tc>
          <w:tcPr>
            <w:tcW w:w="1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Change in Unrealized Appreciation on Investments</w:t>
            </w:r>
          </w:p>
        </w:tc>
        <w:tc>
          <w:tcPr>
            <w:tcW w:w="120" w:type="dxa"/>
            <w:vAlign w:val="bottom"/>
            <w:shd w:val="clear" w:color="auto" w:fill="CCFFCC"/>
          </w:tcPr>
          <w:p>
            <w:pPr>
              <w:spacing w:after="0"/>
              <w:rPr>
                <w:sz w:val="19"/>
                <w:szCs w:val="19"/>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1,011,195</w:t>
            </w:r>
          </w:p>
        </w:tc>
        <w:tc>
          <w:tcPr>
            <w:tcW w:w="1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(83,063)</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Decrease in Net Assets Resulting From Operations Per Common Share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6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Weighted Average Common Shares Outstanding</w:t>
            </w:r>
          </w:p>
        </w:tc>
        <w:tc>
          <w:tcPr>
            <w:tcW w:w="12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9,387,133</w:t>
            </w: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spacing w:after="0" w:line="243" w:lineRule="exact"/>
              <w:rPr>
                <w:sz w:val="20"/>
                <w:szCs w:val="20"/>
                <w:color w:val="auto"/>
              </w:rPr>
            </w:pPr>
            <w:r>
              <w:rPr>
                <w:rFonts w:ascii="Arial" w:cs="Arial" w:eastAsia="Arial" w:hAnsi="Arial"/>
                <w:sz w:val="28"/>
                <w:szCs w:val="28"/>
                <w:color w:val="auto"/>
                <w:vertAlign w:val="subscript"/>
              </w:rPr>
              <w:t>100</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1"/>
        </w:numPr>
        <w:rPr>
          <w:rFonts w:ascii="Arial" w:cs="Arial" w:eastAsia="Arial" w:hAnsi="Arial"/>
          <w:sz w:val="30"/>
          <w:szCs w:val="30"/>
          <w:b w:val="1"/>
          <w:bCs w:val="1"/>
          <w:color w:val="auto"/>
          <w:vertAlign w:val="superscript"/>
        </w:rPr>
      </w:pPr>
      <w:r>
        <w:rPr>
          <w:rFonts w:ascii="Arial" w:cs="Arial" w:eastAsia="Arial" w:hAnsi="Arial"/>
          <w:sz w:val="18"/>
          <w:szCs w:val="18"/>
          <w:color w:val="auto"/>
        </w:rPr>
        <w:t>Certain amounts have been reclassified to conform to the current period’s presentation.</w:t>
      </w:r>
    </w:p>
    <w:p>
      <w:pPr>
        <w:spacing w:after="0" w:line="336" w:lineRule="exact"/>
        <w:rPr>
          <w:rFonts w:ascii="Arial" w:cs="Arial" w:eastAsia="Arial" w:hAnsi="Arial"/>
          <w:sz w:val="30"/>
          <w:szCs w:val="30"/>
          <w:b w:val="1"/>
          <w:bCs w:val="1"/>
          <w:color w:val="auto"/>
          <w:vertAlign w:val="superscript"/>
        </w:rPr>
      </w:pPr>
    </w:p>
    <w:p>
      <w:pPr>
        <w:ind w:left="340" w:hanging="332"/>
        <w:spacing w:after="0" w:line="194" w:lineRule="auto"/>
        <w:tabs>
          <w:tab w:leader="none" w:pos="340" w:val="left"/>
        </w:tabs>
        <w:numPr>
          <w:ilvl w:val="0"/>
          <w:numId w:val="1"/>
        </w:numPr>
        <w:rPr>
          <w:rFonts w:ascii="Arial" w:cs="Arial" w:eastAsia="Arial" w:hAnsi="Arial"/>
          <w:sz w:val="30"/>
          <w:szCs w:val="30"/>
          <w:b w:val="1"/>
          <w:bCs w:val="1"/>
          <w:color w:val="auto"/>
          <w:vertAlign w:val="superscript"/>
        </w:rPr>
      </w:pPr>
      <w:r>
        <w:rPr>
          <w:rFonts w:ascii="Arial" w:cs="Arial" w:eastAsia="Arial" w:hAnsi="Arial"/>
          <w:sz w:val="18"/>
          <w:szCs w:val="18"/>
          <w:color w:val="auto"/>
        </w:rPr>
        <w:t>Weighted average common shares for the period from January 6, 2011 (date of inception) to March 31, 2011 was calculated starting from the issuance of 100 shares on February 28, 2011.</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4" w:name="page5"/>
    <w:bookmarkEnd w:id="4"/>
    <w:p>
      <w:pPr>
        <w:jc w:val="center"/>
        <w:ind w:left="3800"/>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ind w:left="3800"/>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ind w:left="3800"/>
        <w:spacing w:after="0"/>
        <w:rPr>
          <w:sz w:val="20"/>
          <w:szCs w:val="20"/>
          <w:color w:val="auto"/>
        </w:rPr>
      </w:pPr>
      <w:r>
        <w:rPr>
          <w:rFonts w:ascii="Arial" w:cs="Arial" w:eastAsia="Arial" w:hAnsi="Arial"/>
          <w:sz w:val="17"/>
          <w:szCs w:val="17"/>
          <w:b w:val="1"/>
          <w:bCs w:val="1"/>
          <w:color w:val="auto"/>
        </w:rPr>
        <w:t>STATEMENTS OF CHANGES IN NET ASSETS</w:t>
      </w:r>
    </w:p>
    <w:p>
      <w:pPr>
        <w:spacing w:after="0" w:line="21" w:lineRule="exact"/>
        <w:rPr>
          <w:sz w:val="20"/>
          <w:szCs w:val="20"/>
          <w:color w:val="auto"/>
        </w:rPr>
      </w:pPr>
    </w:p>
    <w:p>
      <w:pPr>
        <w:jc w:val="center"/>
        <w:ind w:left="38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Change in Unrealized Appreciation on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Common Shares 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Capital Share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(Decrease) in Net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Assets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Assets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Share Activity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Shares Outstanding at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Financial Statements.</w:t>
      </w:r>
    </w:p>
    <w:p>
      <w:pPr>
        <w:spacing w:after="0" w:line="200" w:lineRule="exact"/>
        <w:rPr>
          <w:sz w:val="20"/>
          <w:szCs w:val="20"/>
          <w:color w:val="auto"/>
        </w:rPr>
      </w:pP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For the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from January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Three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2011 (date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ended 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2011</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(1,094,002)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(110,808)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1,011,195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(110,808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96,255,000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(326,077)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95,928,923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95,845,860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(109,308)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71,503,248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167,349,108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(109,308</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6,900,000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5,520,100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620" w:space="500"/>
            <w:col w:w="3260"/>
          </w:cols>
          <w:pgMar w:left="240" w:top="931"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period</w:t>
            </w:r>
          </w:p>
        </w:tc>
      </w:tr>
      <w:tr>
        <w:trPr>
          <w:trHeight w:val="216"/>
        </w:trPr>
        <w:tc>
          <w:tcPr>
            <w:tcW w:w="6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from January 6,</w:t>
            </w:r>
          </w:p>
        </w:tc>
      </w:tr>
      <w:tr>
        <w:trPr>
          <w:trHeight w:val="216"/>
        </w:trPr>
        <w:tc>
          <w:tcPr>
            <w:tcW w:w="6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21"/>
        </w:trPr>
        <w:tc>
          <w:tcPr>
            <w:tcW w:w="6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Three months</w:t>
            </w:r>
          </w:p>
        </w:tc>
        <w:tc>
          <w:tcPr>
            <w:tcW w:w="8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r>
      <w:tr>
        <w:trPr>
          <w:trHeight w:val="216"/>
        </w:trPr>
        <w:tc>
          <w:tcPr>
            <w:tcW w:w="6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ended 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 March 31,</w:t>
            </w:r>
          </w:p>
        </w:tc>
      </w:tr>
      <w:tr>
        <w:trPr>
          <w:trHeight w:val="270"/>
        </w:trPr>
        <w:tc>
          <w:tcPr>
            <w:tcW w:w="6420" w:type="dxa"/>
            <w:vAlign w:val="bottom"/>
            <w:tcBorders>
              <w:bottom w:val="single" w:sz="8" w:color="CCFFCC"/>
            </w:tcBorders>
          </w:tcPr>
          <w:p>
            <w:pPr>
              <w:spacing w:after="0"/>
              <w:rPr>
                <w:sz w:val="23"/>
                <w:szCs w:val="23"/>
                <w:color w:val="auto"/>
              </w:rPr>
            </w:pPr>
          </w:p>
        </w:tc>
        <w:tc>
          <w:tcPr>
            <w:tcW w:w="1700" w:type="dxa"/>
            <w:vAlign w:val="bottom"/>
            <w:tcBorders>
              <w:bottom w:val="single" w:sz="8" w:color="CCFFC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bottom w:val="single" w:sz="8" w:color="CCFFCC"/>
            </w:tcBorders>
          </w:tcPr>
          <w:p>
            <w:pPr>
              <w:spacing w:after="0"/>
              <w:rPr>
                <w:sz w:val="23"/>
                <w:szCs w:val="23"/>
                <w:color w:val="auto"/>
              </w:rPr>
            </w:pPr>
          </w:p>
        </w:tc>
        <w:tc>
          <w:tcPr>
            <w:tcW w:w="80" w:type="dxa"/>
            <w:vAlign w:val="bottom"/>
            <w:tcBorders>
              <w:bottom w:val="single" w:sz="8" w:color="CCFFC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370"/>
              <w:spacing w:after="0" w:line="269"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30"/>
                <w:szCs w:val="30"/>
                <w:b w:val="1"/>
                <w:bCs w:val="1"/>
                <w:color w:val="auto"/>
                <w:vertAlign w:val="superscript"/>
              </w:rPr>
              <w:t>(1)</w:t>
            </w:r>
          </w:p>
        </w:tc>
        <w:tc>
          <w:tcPr>
            <w:tcW w:w="100" w:type="dxa"/>
            <w:vAlign w:val="bottom"/>
            <w:tcBorders>
              <w:bottom w:val="single" w:sz="8" w:color="CCFFCC"/>
            </w:tcBorders>
          </w:tcPr>
          <w:p>
            <w:pPr>
              <w:spacing w:after="0"/>
              <w:rPr>
                <w:sz w:val="23"/>
                <w:szCs w:val="23"/>
                <w:color w:val="auto"/>
              </w:rPr>
            </w:pPr>
          </w:p>
        </w:tc>
      </w:tr>
      <w:tr>
        <w:trPr>
          <w:trHeight w:val="210"/>
        </w:trPr>
        <w:tc>
          <w:tcPr>
            <w:tcW w:w="6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(83,063)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(110,808)</w:t>
            </w:r>
          </w:p>
        </w:tc>
      </w:tr>
      <w:tr>
        <w:trPr>
          <w:trHeight w:val="216"/>
        </w:trPr>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decrease in net assets resulting from</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operations to net cash provided by (used in) operating activities: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realized loss on investments</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Net change in unrealized appreciation on investments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(1,011,195)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Purchases of investments in:</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Non-control/non-affiliated securities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(10,666,649)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United States treasury bill</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(19,999,128)</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Proceeds from sales of investments in:</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United States treasury bill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19,998,872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Money market funds</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Due from GSV Asset Management</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Due from portfolio company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(60,896)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interest</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(100,350)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74,538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Dividend receivable</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Due to GSV Asset Management</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(61,903)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Due to other affiliates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(5,113)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95,225</w:t>
            </w:r>
          </w:p>
        </w:tc>
      </w:tr>
      <w:tr>
        <w:trPr>
          <w:trHeight w:val="216"/>
        </w:trPr>
        <w:tc>
          <w:tcPr>
            <w:tcW w:w="6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Accounts payable</w:t>
            </w:r>
          </w:p>
        </w:tc>
        <w:tc>
          <w:tcPr>
            <w:tcW w:w="1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47,987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9,426</w:t>
            </w: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69,269</w:t>
            </w:r>
          </w:p>
        </w:tc>
      </w:tr>
      <w:tr>
        <w:trPr>
          <w:trHeight w:val="210"/>
        </w:trPr>
        <w:tc>
          <w:tcPr>
            <w:tcW w:w="6420" w:type="dxa"/>
            <w:vAlign w:val="bottom"/>
            <w:tcBorders>
              <w:top w:val="single" w:sz="8" w:color="CCFFCC"/>
            </w:tcBorders>
            <w:shd w:val="clear" w:color="auto" w:fill="CCFFCC"/>
          </w:tcPr>
          <w:p>
            <w:pPr>
              <w:ind w:left="3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7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(20,923,574</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63,682</w:t>
            </w:r>
          </w:p>
        </w:tc>
        <w:tc>
          <w:tcPr>
            <w:tcW w:w="100" w:type="dxa"/>
            <w:vAlign w:val="bottom"/>
            <w:tcBorders>
              <w:top w:val="single" w:sz="8" w:color="CCFFCC"/>
            </w:tcBorders>
            <w:shd w:val="clear" w:color="auto" w:fill="CCFFCC"/>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715"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common shares 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Cash Balance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Cash 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96,255,000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(326,077)</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(63,800)</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95,928,923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2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75,005,349</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385,995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75,391,344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715"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720" w:type="dxa"/>
            <w:vAlign w:val="bottom"/>
            <w:shd w:val="clear" w:color="auto" w:fill="CCFFCC"/>
          </w:tcPr>
          <w:p>
            <w:pPr>
              <w:spacing w:after="0"/>
              <w:rPr>
                <w:sz w:val="17"/>
                <w:szCs w:val="17"/>
                <w:color w:val="auto"/>
              </w:rPr>
            </w:pPr>
          </w:p>
        </w:tc>
        <w:tc>
          <w:tcPr>
            <w:tcW w:w="29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Non-Cash Items</w:t>
            </w:r>
          </w:p>
        </w:tc>
        <w:tc>
          <w:tcPr>
            <w:tcW w:w="2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Increase in deferred offering costs</w:t>
            </w:r>
          </w:p>
        </w:tc>
        <w:tc>
          <w:tcPr>
            <w:tcW w:w="29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(62,536)</w:t>
            </w:r>
          </w:p>
        </w:tc>
        <w:tc>
          <w:tcPr>
            <w:tcW w:w="5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(242,180)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Increase in accrued expenses</w:t>
            </w:r>
          </w:p>
        </w:tc>
        <w:tc>
          <w:tcPr>
            <w:tcW w:w="2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122,093</w:t>
            </w:r>
          </w:p>
        </w:tc>
      </w:tr>
      <w:tr>
        <w:trPr>
          <w:trHeight w:val="216"/>
        </w:trPr>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Increase in accounts payable</w:t>
            </w:r>
          </w:p>
        </w:tc>
        <w:tc>
          <w:tcPr>
            <w:tcW w:w="29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62,536</w:t>
            </w:r>
          </w:p>
        </w:tc>
        <w:tc>
          <w:tcPr>
            <w:tcW w:w="5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120,087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Structured notes converted to preferred shares</w:t>
            </w:r>
          </w:p>
        </w:tc>
        <w:tc>
          <w:tcPr>
            <w:tcW w:w="29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674,651</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FFCC"/>
          </w:tcPr>
          <w:p>
            <w:pPr>
              <w:spacing w:after="0"/>
              <w:rPr>
                <w:sz w:val="20"/>
                <w:szCs w:val="20"/>
                <w:color w:val="auto"/>
              </w:rPr>
            </w:pPr>
            <w:r>
              <w:rPr>
                <w:rFonts w:ascii="Arial" w:cs="Arial" w:eastAsia="Arial" w:hAnsi="Arial"/>
                <w:sz w:val="18"/>
                <w:szCs w:val="18"/>
                <w:color w:val="auto"/>
              </w:rPr>
              <w:t>Warrants exercised for preferred shares</w:t>
            </w:r>
          </w:p>
        </w:tc>
        <w:tc>
          <w:tcPr>
            <w:tcW w:w="29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53,665</w:t>
            </w:r>
          </w:p>
        </w:tc>
        <w:tc>
          <w:tcPr>
            <w:tcW w:w="5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320" w:val="left"/>
        </w:tabs>
        <w:rPr>
          <w:sz w:val="20"/>
          <w:szCs w:val="20"/>
          <w:color w:val="auto"/>
        </w:rPr>
      </w:pPr>
      <w:r>
        <w:rPr>
          <w:rFonts w:ascii="Arial" w:cs="Arial" w:eastAsia="Arial" w:hAnsi="Arial"/>
          <w:sz w:val="30"/>
          <w:szCs w:val="30"/>
          <w:b w:val="1"/>
          <w:bCs w:val="1"/>
          <w:color w:val="auto"/>
          <w:vertAlign w:val="superscript"/>
        </w:rPr>
        <w:t>(1)</w:t>
      </w:r>
      <w:r>
        <w:rPr>
          <w:sz w:val="20"/>
          <w:szCs w:val="20"/>
          <w:color w:val="auto"/>
        </w:rPr>
        <w:tab/>
      </w:r>
      <w:r>
        <w:rPr>
          <w:rFonts w:ascii="Arial" w:cs="Arial" w:eastAsia="Arial" w:hAnsi="Arial"/>
          <w:sz w:val="16"/>
          <w:szCs w:val="16"/>
          <w:color w:val="auto"/>
        </w:rPr>
        <w:t>Certain amounts have been reclassified to conform to the current period’s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GSV Capital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jc w:val="center"/>
        <w:spacing w:after="0" w:line="236" w:lineRule="auto"/>
        <w:rPr>
          <w:sz w:val="20"/>
          <w:szCs w:val="20"/>
          <w:color w:val="auto"/>
        </w:rPr>
      </w:pPr>
      <w:r>
        <w:rPr>
          <w:rFonts w:ascii="Arial" w:cs="Arial" w:eastAsia="Arial" w:hAnsi="Arial"/>
          <w:sz w:val="22"/>
          <w:szCs w:val="22"/>
          <w:b w:val="1"/>
          <w:bCs w:val="1"/>
          <w:color w:val="auto"/>
        </w:rPr>
        <w:t>March 31, 2012</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 / Par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gridSpan w:val="6"/>
          </w:tcPr>
          <w:p>
            <w:pPr>
              <w:ind w:left="40"/>
              <w:spacing w:after="0"/>
              <w:rPr>
                <w:sz w:val="20"/>
                <w:szCs w:val="20"/>
                <w:color w:val="auto"/>
              </w:rPr>
            </w:pPr>
            <w:r>
              <w:rPr>
                <w:rFonts w:ascii="Arial" w:cs="Arial" w:eastAsia="Arial" w:hAnsi="Arial"/>
                <w:sz w:val="18"/>
                <w:szCs w:val="18"/>
                <w:b w:val="1"/>
                <w:bCs w:val="1"/>
                <w:color w:val="auto"/>
              </w:rPr>
              <w:t>Portfolio Investments*</w:t>
            </w:r>
          </w:p>
        </w:tc>
        <w:tc>
          <w:tcPr>
            <w:tcW w:w="236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Headquarters / Industry</w:t>
            </w: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Amount</w:t>
            </w:r>
          </w:p>
        </w:tc>
        <w:tc>
          <w:tcPr>
            <w:tcW w:w="120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AltEgo, LLC</w:t>
            </w:r>
          </w:p>
        </w:tc>
        <w:tc>
          <w:tcPr>
            <w:tcW w:w="2360" w:type="dxa"/>
            <w:vAlign w:val="bottom"/>
            <w:shd w:val="clear" w:color="auto" w:fill="CCFFCC"/>
          </w:tcPr>
          <w:p>
            <w:pPr>
              <w:jc w:val="center"/>
              <w:ind w:left="110"/>
              <w:spacing w:after="0" w:line="176" w:lineRule="exact"/>
              <w:rPr>
                <w:sz w:val="20"/>
                <w:szCs w:val="20"/>
                <w:color w:val="auto"/>
              </w:rPr>
            </w:pPr>
            <w:r>
              <w:rPr>
                <w:rFonts w:ascii="Arial" w:cs="Arial" w:eastAsia="Arial" w:hAnsi="Arial"/>
                <w:sz w:val="18"/>
                <w:szCs w:val="18"/>
                <w:color w:val="auto"/>
                <w:w w:val="90"/>
              </w:rPr>
              <w:t>Santa Monica, CA</w:t>
            </w:r>
          </w:p>
        </w:tc>
        <w:tc>
          <w:tcPr>
            <w:tcW w:w="15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236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gridSpan w:val="14"/>
          </w:tcPr>
          <w:p>
            <w:pPr>
              <w:spacing w:after="0" w:line="201" w:lineRule="exact"/>
              <w:rPr>
                <w:sz w:val="20"/>
                <w:szCs w:val="20"/>
                <w:color w:val="auto"/>
              </w:rPr>
            </w:pPr>
            <w:r>
              <w:rPr>
                <w:rFonts w:ascii="Arial" w:cs="Arial" w:eastAsia="Arial" w:hAnsi="Arial"/>
                <w:sz w:val="18"/>
                <w:szCs w:val="18"/>
                <w:color w:val="auto"/>
              </w:rPr>
              <w:t>Preferred shares, Series B-2</w:t>
            </w:r>
          </w:p>
        </w:tc>
        <w:tc>
          <w:tcPr>
            <w:tcW w:w="2360" w:type="dxa"/>
            <w:vAlign w:val="bottom"/>
          </w:tcPr>
          <w:p>
            <w:pPr>
              <w:jc w:val="center"/>
              <w:ind w:left="110"/>
              <w:spacing w:after="0" w:line="201" w:lineRule="exact"/>
              <w:rPr>
                <w:sz w:val="20"/>
                <w:szCs w:val="20"/>
                <w:color w:val="auto"/>
              </w:rPr>
            </w:pPr>
            <w:r>
              <w:rPr>
                <w:rFonts w:ascii="Arial" w:cs="Arial" w:eastAsia="Arial" w:hAnsi="Arial"/>
                <w:sz w:val="18"/>
                <w:szCs w:val="18"/>
                <w:color w:val="auto"/>
                <w:w w:val="92"/>
              </w:rPr>
              <w:t>Social Media Online</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Pr>
          <w:p>
            <w:pPr>
              <w:jc w:val="center"/>
              <w:ind w:left="90"/>
              <w:spacing w:after="0"/>
              <w:rPr>
                <w:sz w:val="20"/>
                <w:szCs w:val="20"/>
                <w:color w:val="auto"/>
              </w:rPr>
            </w:pPr>
            <w:r>
              <w:rPr>
                <w:rFonts w:ascii="Arial" w:cs="Arial" w:eastAsia="Arial" w:hAnsi="Arial"/>
                <w:sz w:val="18"/>
                <w:szCs w:val="18"/>
                <w:color w:val="auto"/>
                <w:w w:val="91"/>
              </w:rPr>
              <w:t>Gaming</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500,000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$510,473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$500,000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AlwaysOn, LLC </w:t>
            </w:r>
            <w:r>
              <w:rPr>
                <w:rFonts w:ascii="Arial" w:cs="Arial" w:eastAsia="Arial" w:hAnsi="Arial"/>
                <w:sz w:val="25"/>
                <w:szCs w:val="25"/>
                <w:b w:val="1"/>
                <w:bCs w:val="1"/>
                <w:color w:val="auto"/>
                <w:vertAlign w:val="superscript"/>
              </w:rPr>
              <w:t>(1)</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0"/>
              </w:rPr>
              <w:t>Woodside, CA</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gridSpan w:val="14"/>
            <w:shd w:val="clear" w:color="auto" w:fill="CCFFCC"/>
          </w:tcPr>
          <w:p>
            <w:pPr>
              <w:spacing w:after="0" w:line="201" w:lineRule="exact"/>
              <w:rPr>
                <w:sz w:val="20"/>
                <w:szCs w:val="20"/>
                <w:color w:val="auto"/>
              </w:rPr>
            </w:pPr>
            <w:r>
              <w:rPr>
                <w:rFonts w:ascii="Arial" w:cs="Arial" w:eastAsia="Arial" w:hAnsi="Arial"/>
                <w:sz w:val="18"/>
                <w:szCs w:val="18"/>
                <w:color w:val="auto"/>
                <w:w w:val="98"/>
              </w:rPr>
              <w:t>Structured note, 10%, due 1/9/2013 and warrant</w:t>
            </w:r>
          </w:p>
        </w:tc>
        <w:tc>
          <w:tcPr>
            <w:tcW w:w="2360" w:type="dxa"/>
            <w:vAlign w:val="bottom"/>
            <w:shd w:val="clear" w:color="auto" w:fill="CCFFCC"/>
          </w:tcPr>
          <w:p>
            <w:pPr>
              <w:jc w:val="center"/>
              <w:ind w:left="110"/>
              <w:spacing w:after="0" w:line="201" w:lineRule="exact"/>
              <w:rPr>
                <w:sz w:val="20"/>
                <w:szCs w:val="20"/>
                <w:color w:val="auto"/>
              </w:rPr>
            </w:pPr>
            <w:r>
              <w:rPr>
                <w:rFonts w:ascii="Arial" w:cs="Arial" w:eastAsia="Arial" w:hAnsi="Arial"/>
                <w:sz w:val="18"/>
                <w:szCs w:val="18"/>
                <w:color w:val="auto"/>
                <w:w w:val="89"/>
              </w:rPr>
              <w:t>Social</w:t>
            </w:r>
          </w:p>
        </w:tc>
        <w:tc>
          <w:tcPr>
            <w:tcW w:w="15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700" w:type="dxa"/>
            <w:vAlign w:val="bottom"/>
            <w:shd w:val="clear" w:color="auto" w:fill="CCFFCC"/>
          </w:tcPr>
          <w:p>
            <w:pPr>
              <w:spacing w:after="0"/>
              <w:rPr>
                <w:sz w:val="20"/>
                <w:szCs w:val="20"/>
                <w:color w:val="auto"/>
              </w:rPr>
            </w:pPr>
          </w:p>
        </w:tc>
        <w:tc>
          <w:tcPr>
            <w:tcW w:w="236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93"/>
              </w:rPr>
              <w:t>Media</w:t>
            </w:r>
          </w:p>
        </w:tc>
        <w:tc>
          <w:tcPr>
            <w:tcW w:w="1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$250,000</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250,000</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250,000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Bloom Energy Corporation</w:t>
            </w:r>
          </w:p>
        </w:tc>
        <w:tc>
          <w:tcPr>
            <w:tcW w:w="1700" w:type="dxa"/>
            <w:vAlign w:val="bottom"/>
            <w:tcBorders>
              <w:bottom w:val="single" w:sz="8" w:color="CCFFCC"/>
            </w:tcBorders>
            <w:shd w:val="clear" w:color="auto" w:fill="CCFFCC"/>
          </w:tcPr>
          <w:p>
            <w:pPr>
              <w:spacing w:after="0"/>
              <w:rPr>
                <w:sz w:val="17"/>
                <w:szCs w:val="17"/>
                <w:color w:val="auto"/>
              </w:rPr>
            </w:pPr>
          </w:p>
        </w:tc>
        <w:tc>
          <w:tcPr>
            <w:tcW w:w="2360" w:type="dxa"/>
            <w:vAlign w:val="bottom"/>
            <w:tcBorders>
              <w:bottom w:val="single" w:sz="8" w:color="CCFFCC"/>
            </w:tcBorders>
            <w:shd w:val="clear" w:color="auto" w:fill="CCFFCC"/>
          </w:tcPr>
          <w:p>
            <w:pPr>
              <w:jc w:val="center"/>
              <w:ind w:left="90"/>
              <w:spacing w:after="0" w:line="176" w:lineRule="exact"/>
              <w:rPr>
                <w:sz w:val="20"/>
                <w:szCs w:val="20"/>
                <w:color w:val="auto"/>
              </w:rPr>
            </w:pPr>
            <w:r>
              <w:rPr>
                <w:rFonts w:ascii="Arial" w:cs="Arial" w:eastAsia="Arial" w:hAnsi="Arial"/>
                <w:sz w:val="18"/>
                <w:szCs w:val="18"/>
                <w:color w:val="auto"/>
                <w:w w:val="92"/>
              </w:rPr>
              <w:t>Sunnyvale, CA</w:t>
            </w:r>
          </w:p>
        </w:tc>
        <w:tc>
          <w:tcPr>
            <w:tcW w:w="15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3"/>
              </w:rPr>
              <w:t>Fuel Cell Energy</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141,389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2,705,118</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2,626,335</w:t>
            </w: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Chegg, Inc.</w:t>
            </w:r>
          </w:p>
        </w:tc>
        <w:tc>
          <w:tcPr>
            <w:tcW w:w="236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89"/>
              </w:rPr>
              <w:t>Santa Clara, CA</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36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w w:val="91"/>
              </w:rPr>
              <w:t>Textbook Rental</w:t>
            </w:r>
          </w:p>
        </w:tc>
        <w:tc>
          <w:tcPr>
            <w:tcW w:w="1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774,193</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6,003,694</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5,999,996</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14"/>
          </w:tcPr>
          <w:p>
            <w:pPr>
              <w:spacing w:after="0"/>
              <w:rPr>
                <w:sz w:val="20"/>
                <w:szCs w:val="20"/>
                <w:color w:val="auto"/>
              </w:rPr>
            </w:pPr>
            <w:r>
              <w:rPr>
                <w:rFonts w:ascii="Arial" w:cs="Arial" w:eastAsia="Arial" w:hAnsi="Arial"/>
                <w:sz w:val="18"/>
                <w:szCs w:val="18"/>
                <w:color w:val="auto"/>
              </w:rPr>
              <w:t>Preferred shares, Series F</w:t>
            </w:r>
          </w:p>
        </w:tc>
        <w:tc>
          <w:tcPr>
            <w:tcW w:w="236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500,000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4,007,749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4,000,000</w:t>
            </w:r>
          </w:p>
        </w:tc>
        <w:tc>
          <w:tcPr>
            <w:tcW w:w="122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FFCC"/>
            </w:tcBorders>
            <w:gridSpan w:val="14"/>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tcBorders>
              <w:top w:val="single" w:sz="8" w:color="CCFFCC"/>
            </w:tcBorders>
            <w:shd w:val="clear" w:color="auto" w:fill="CCFFCC"/>
          </w:tcPr>
          <w:p>
            <w:pPr>
              <w:spacing w:after="0"/>
              <w:rPr>
                <w:sz w:val="18"/>
                <w:szCs w:val="18"/>
                <w:color w:val="auto"/>
              </w:rPr>
            </w:pPr>
          </w:p>
        </w:tc>
        <w:tc>
          <w:tcPr>
            <w:tcW w:w="15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10,011,443</w:t>
            </w:r>
          </w:p>
        </w:tc>
        <w:tc>
          <w:tcPr>
            <w:tcW w:w="20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9,999,996</w:t>
            </w:r>
          </w:p>
        </w:tc>
        <w:tc>
          <w:tcPr>
            <w:tcW w:w="2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gridSpan w:val="11"/>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Control4 Corporation</w:t>
            </w:r>
          </w:p>
        </w:tc>
        <w:tc>
          <w:tcPr>
            <w:tcW w:w="2120" w:type="dxa"/>
            <w:vAlign w:val="bottom"/>
            <w:tcBorders>
              <w:bottom w:val="single" w:sz="8" w:color="CCFFCC"/>
            </w:tcBorders>
            <w:gridSpan w:val="3"/>
            <w:shd w:val="clear" w:color="auto" w:fill="CCFFCC"/>
          </w:tcPr>
          <w:p>
            <w:pPr>
              <w:spacing w:after="0"/>
              <w:rPr>
                <w:sz w:val="17"/>
                <w:szCs w:val="17"/>
                <w:color w:val="auto"/>
              </w:rPr>
            </w:pPr>
          </w:p>
        </w:tc>
        <w:tc>
          <w:tcPr>
            <w:tcW w:w="2360" w:type="dxa"/>
            <w:vAlign w:val="bottom"/>
            <w:tcBorders>
              <w:bottom w:val="single" w:sz="8" w:color="CCFFCC"/>
            </w:tcBorders>
            <w:shd w:val="clear" w:color="auto" w:fill="CCFFCC"/>
          </w:tcPr>
          <w:p>
            <w:pPr>
              <w:jc w:val="center"/>
              <w:ind w:left="110"/>
              <w:spacing w:after="0" w:line="176" w:lineRule="exact"/>
              <w:rPr>
                <w:sz w:val="20"/>
                <w:szCs w:val="20"/>
                <w:color w:val="auto"/>
              </w:rPr>
            </w:pPr>
            <w:r>
              <w:rPr>
                <w:rFonts w:ascii="Arial" w:cs="Arial" w:eastAsia="Arial" w:hAnsi="Arial"/>
                <w:sz w:val="18"/>
                <w:szCs w:val="18"/>
                <w:color w:val="auto"/>
                <w:w w:val="93"/>
              </w:rPr>
              <w:t>Salt Lake City, UT</w:t>
            </w:r>
          </w:p>
        </w:tc>
        <w:tc>
          <w:tcPr>
            <w:tcW w:w="15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4"/>
              </w:rPr>
              <w:t>Home Automation</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666,667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1,035,961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CUX, Inc.</w:t>
            </w:r>
          </w:p>
        </w:tc>
        <w:tc>
          <w:tcPr>
            <w:tcW w:w="236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89"/>
              </w:rPr>
              <w:t>Mechanicsburg, PA</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36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w w:val="89"/>
              </w:rPr>
              <w:t>Corporate Education</w:t>
            </w:r>
          </w:p>
        </w:tc>
        <w:tc>
          <w:tcPr>
            <w:tcW w:w="1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246,305</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2,000,000</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2,000,000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60" w:type="dxa"/>
            <w:vAlign w:val="bottom"/>
            <w:tcBorders>
              <w:bottom w:val="single" w:sz="8" w:color="auto"/>
            </w:tcBorders>
            <w:gridSpan w:val="12"/>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DreamBox Learning, Inc.</w:t>
            </w:r>
          </w:p>
        </w:tc>
        <w:tc>
          <w:tcPr>
            <w:tcW w:w="1840" w:type="dxa"/>
            <w:vAlign w:val="bottom"/>
            <w:tcBorders>
              <w:bottom w:val="single" w:sz="8" w:color="CCFFCC"/>
            </w:tcBorders>
            <w:gridSpan w:val="2"/>
            <w:shd w:val="clear" w:color="auto" w:fill="CCFFCC"/>
          </w:tcPr>
          <w:p>
            <w:pPr>
              <w:spacing w:after="0"/>
              <w:rPr>
                <w:sz w:val="17"/>
                <w:szCs w:val="17"/>
                <w:color w:val="auto"/>
              </w:rPr>
            </w:pPr>
          </w:p>
        </w:tc>
        <w:tc>
          <w:tcPr>
            <w:tcW w:w="2360" w:type="dxa"/>
            <w:vAlign w:val="bottom"/>
            <w:tcBorders>
              <w:bottom w:val="single" w:sz="8" w:color="CCFFCC"/>
            </w:tcBorders>
            <w:shd w:val="clear" w:color="auto" w:fill="CCFFCC"/>
          </w:tcPr>
          <w:p>
            <w:pPr>
              <w:jc w:val="center"/>
              <w:ind w:left="110"/>
              <w:spacing w:after="0" w:line="176" w:lineRule="exact"/>
              <w:rPr>
                <w:sz w:val="20"/>
                <w:szCs w:val="20"/>
                <w:color w:val="auto"/>
              </w:rPr>
            </w:pPr>
            <w:r>
              <w:rPr>
                <w:rFonts w:ascii="Arial" w:cs="Arial" w:eastAsia="Arial" w:hAnsi="Arial"/>
                <w:sz w:val="18"/>
                <w:szCs w:val="18"/>
                <w:color w:val="auto"/>
                <w:w w:val="92"/>
              </w:rPr>
              <w:t>Bellevue, WA</w:t>
            </w:r>
          </w:p>
        </w:tc>
        <w:tc>
          <w:tcPr>
            <w:tcW w:w="15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14"/>
          </w:tcPr>
          <w:p>
            <w:pPr>
              <w:spacing w:after="0"/>
              <w:rPr>
                <w:sz w:val="20"/>
                <w:szCs w:val="20"/>
                <w:color w:val="auto"/>
              </w:rPr>
            </w:pPr>
            <w:r>
              <w:rPr>
                <w:rFonts w:ascii="Arial" w:cs="Arial" w:eastAsia="Arial" w:hAnsi="Arial"/>
                <w:sz w:val="18"/>
                <w:szCs w:val="18"/>
                <w:color w:val="auto"/>
              </w:rPr>
              <w:t>Preferred shares, Series A</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2"/>
              </w:rPr>
              <w:t>Education Technology</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3,579,610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758,017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1220" w:type="dxa"/>
            <w:vAlign w:val="bottom"/>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Dropbox, Inc.</w:t>
            </w:r>
          </w:p>
        </w:tc>
        <w:tc>
          <w:tcPr>
            <w:tcW w:w="236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0"/>
              </w:rPr>
              <w:t>San Francisco, CA</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36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w w:val="89"/>
              </w:rPr>
              <w:t>Online Storage</w:t>
            </w:r>
          </w:p>
        </w:tc>
        <w:tc>
          <w:tcPr>
            <w:tcW w:w="1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552,486</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5,015,333</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4,999,998</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Facebook, Inc. </w:t>
            </w:r>
            <w:r>
              <w:rPr>
                <w:rFonts w:ascii="Arial" w:cs="Arial" w:eastAsia="Arial" w:hAnsi="Arial"/>
                <w:sz w:val="25"/>
                <w:szCs w:val="25"/>
                <w:b w:val="1"/>
                <w:bCs w:val="1"/>
                <w:color w:val="auto"/>
                <w:vertAlign w:val="superscript"/>
              </w:rPr>
              <w:t>(2)</w:t>
            </w:r>
          </w:p>
        </w:tc>
        <w:tc>
          <w:tcPr>
            <w:tcW w:w="236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w w:val="97"/>
              </w:rPr>
              <w:t>Palo Alto, CA</w:t>
            </w:r>
          </w:p>
        </w:tc>
        <w:tc>
          <w:tcPr>
            <w:tcW w:w="1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236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tcPr>
          <w:p>
            <w:pPr>
              <w:spacing w:after="0"/>
              <w:rPr>
                <w:sz w:val="20"/>
                <w:szCs w:val="20"/>
                <w:color w:val="auto"/>
              </w:rPr>
            </w:pPr>
            <w:r>
              <w:rPr>
                <w:rFonts w:ascii="Arial" w:cs="Arial" w:eastAsia="Arial" w:hAnsi="Arial"/>
                <w:sz w:val="18"/>
                <w:szCs w:val="18"/>
                <w:color w:val="auto"/>
              </w:rPr>
              <w:t>Common shares, Class B</w:t>
            </w: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4"/>
              </w:rPr>
              <w:t>Social Networking</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350,000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10,472,294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11,200,000</w:t>
            </w:r>
          </w:p>
        </w:tc>
        <w:tc>
          <w:tcPr>
            <w:tcW w:w="122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Gilt Groupe, Inc.</w:t>
            </w:r>
          </w:p>
        </w:tc>
        <w:tc>
          <w:tcPr>
            <w:tcW w:w="236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5"/>
              </w:rPr>
              <w:t>New York, NY</w:t>
            </w: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gridSpan w:val="14"/>
            <w:shd w:val="clear" w:color="auto" w:fill="CCFFCC"/>
          </w:tcPr>
          <w:p>
            <w:pPr>
              <w:spacing w:after="0" w:line="201" w:lineRule="exact"/>
              <w:rPr>
                <w:sz w:val="20"/>
                <w:szCs w:val="20"/>
                <w:color w:val="auto"/>
              </w:rPr>
            </w:pPr>
            <w:r>
              <w:rPr>
                <w:rFonts w:ascii="Arial" w:cs="Arial" w:eastAsia="Arial" w:hAnsi="Arial"/>
                <w:sz w:val="18"/>
                <w:szCs w:val="18"/>
                <w:color w:val="auto"/>
              </w:rPr>
              <w:t>Common shares</w:t>
            </w:r>
          </w:p>
        </w:tc>
        <w:tc>
          <w:tcPr>
            <w:tcW w:w="2360" w:type="dxa"/>
            <w:vAlign w:val="bottom"/>
            <w:shd w:val="clear" w:color="auto" w:fill="CCFFCC"/>
          </w:tcPr>
          <w:p>
            <w:pPr>
              <w:jc w:val="center"/>
              <w:ind w:left="110"/>
              <w:spacing w:after="0" w:line="201" w:lineRule="exact"/>
              <w:rPr>
                <w:sz w:val="20"/>
                <w:szCs w:val="20"/>
                <w:color w:val="auto"/>
              </w:rPr>
            </w:pPr>
            <w:r>
              <w:rPr>
                <w:rFonts w:ascii="Arial" w:cs="Arial" w:eastAsia="Arial" w:hAnsi="Arial"/>
                <w:sz w:val="18"/>
                <w:szCs w:val="18"/>
                <w:color w:val="auto"/>
                <w:w w:val="88"/>
              </w:rPr>
              <w:t>e-Commerce</w:t>
            </w:r>
          </w:p>
        </w:tc>
        <w:tc>
          <w:tcPr>
            <w:tcW w:w="15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700" w:type="dxa"/>
            <w:vAlign w:val="bottom"/>
            <w:shd w:val="clear" w:color="auto" w:fill="CCFFCC"/>
          </w:tcPr>
          <w:p>
            <w:pPr>
              <w:spacing w:after="0"/>
              <w:rPr>
                <w:sz w:val="20"/>
                <w:szCs w:val="20"/>
                <w:color w:val="auto"/>
              </w:rPr>
            </w:pPr>
          </w:p>
        </w:tc>
        <w:tc>
          <w:tcPr>
            <w:tcW w:w="236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w w:val="85"/>
              </w:rPr>
              <w:t>Flash Sales</w:t>
            </w:r>
          </w:p>
        </w:tc>
        <w:tc>
          <w:tcPr>
            <w:tcW w:w="1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203,100</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5,576,979</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5,499,250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Grockit, Inc.</w:t>
            </w:r>
          </w:p>
        </w:tc>
        <w:tc>
          <w:tcPr>
            <w:tcW w:w="2360" w:type="dxa"/>
            <w:vAlign w:val="bottom"/>
            <w:shd w:val="clear" w:color="auto" w:fill="CCFFCC"/>
          </w:tcPr>
          <w:p>
            <w:pPr>
              <w:jc w:val="center"/>
              <w:ind w:left="110"/>
              <w:spacing w:after="0" w:line="176" w:lineRule="exact"/>
              <w:rPr>
                <w:sz w:val="20"/>
                <w:szCs w:val="20"/>
                <w:color w:val="auto"/>
              </w:rPr>
            </w:pPr>
            <w:r>
              <w:rPr>
                <w:rFonts w:ascii="Arial" w:cs="Arial" w:eastAsia="Arial" w:hAnsi="Arial"/>
                <w:sz w:val="18"/>
                <w:szCs w:val="18"/>
                <w:color w:val="auto"/>
                <w:w w:val="90"/>
              </w:rPr>
              <w:t>San Francisco, CA</w:t>
            </w:r>
          </w:p>
        </w:tc>
        <w:tc>
          <w:tcPr>
            <w:tcW w:w="15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236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gridSpan w:val="14"/>
          </w:tcPr>
          <w:p>
            <w:pPr>
              <w:spacing w:after="0" w:line="201" w:lineRule="exact"/>
              <w:rPr>
                <w:sz w:val="20"/>
                <w:szCs w:val="20"/>
                <w:color w:val="auto"/>
              </w:rPr>
            </w:pPr>
            <w:r>
              <w:rPr>
                <w:rFonts w:ascii="Arial" w:cs="Arial" w:eastAsia="Arial" w:hAnsi="Arial"/>
                <w:sz w:val="18"/>
                <w:szCs w:val="18"/>
                <w:color w:val="auto"/>
              </w:rPr>
              <w:t>Preferred shares, Series D</w:t>
            </w:r>
          </w:p>
        </w:tc>
        <w:tc>
          <w:tcPr>
            <w:tcW w:w="2360" w:type="dxa"/>
            <w:vAlign w:val="bottom"/>
          </w:tcPr>
          <w:p>
            <w:pPr>
              <w:jc w:val="center"/>
              <w:ind w:left="110"/>
              <w:spacing w:after="0" w:line="201" w:lineRule="exact"/>
              <w:rPr>
                <w:sz w:val="20"/>
                <w:szCs w:val="20"/>
                <w:color w:val="auto"/>
              </w:rPr>
            </w:pPr>
            <w:r>
              <w:rPr>
                <w:rFonts w:ascii="Arial" w:cs="Arial" w:eastAsia="Arial" w:hAnsi="Arial"/>
                <w:sz w:val="18"/>
                <w:szCs w:val="18"/>
                <w:color w:val="auto"/>
                <w:w w:val="91"/>
              </w:rPr>
              <w:t>Online Test</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Pr>
          <w:p>
            <w:pPr>
              <w:jc w:val="center"/>
              <w:ind w:left="110"/>
              <w:spacing w:after="0"/>
              <w:rPr>
                <w:sz w:val="20"/>
                <w:szCs w:val="20"/>
                <w:color w:val="auto"/>
              </w:rPr>
            </w:pPr>
            <w:r>
              <w:rPr>
                <w:rFonts w:ascii="Arial" w:cs="Arial" w:eastAsia="Arial" w:hAnsi="Arial"/>
                <w:sz w:val="18"/>
                <w:szCs w:val="18"/>
                <w:color w:val="auto"/>
                <w:w w:val="90"/>
              </w:rPr>
              <w:t>Preparation</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2,728,252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2,005,945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2,000,000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2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Groupon, Inc. </w:t>
            </w:r>
            <w:r>
              <w:rPr>
                <w:rFonts w:ascii="Arial" w:cs="Arial" w:eastAsia="Arial" w:hAnsi="Arial"/>
                <w:sz w:val="25"/>
                <w:szCs w:val="25"/>
                <w:b w:val="1"/>
                <w:bCs w:val="1"/>
                <w:color w:val="auto"/>
                <w:vertAlign w:val="superscript"/>
              </w:rPr>
              <w:t>(3)</w:t>
            </w:r>
          </w:p>
        </w:tc>
        <w:tc>
          <w:tcPr>
            <w:tcW w:w="2360" w:type="dxa"/>
            <w:vAlign w:val="bottom"/>
          </w:tcPr>
          <w:p>
            <w:pPr>
              <w:jc w:val="center"/>
              <w:ind w:left="90"/>
              <w:spacing w:after="0"/>
              <w:rPr>
                <w:sz w:val="20"/>
                <w:szCs w:val="20"/>
                <w:color w:val="auto"/>
              </w:rPr>
            </w:pPr>
            <w:r>
              <w:rPr>
                <w:rFonts w:ascii="Arial" w:cs="Arial" w:eastAsia="Arial" w:hAnsi="Arial"/>
                <w:sz w:val="18"/>
                <w:szCs w:val="18"/>
                <w:color w:val="auto"/>
                <w:w w:val="94"/>
              </w:rPr>
              <w:t>Chicago, IL</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36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w w:val="93"/>
              </w:rPr>
              <w:t>Online Deals</w:t>
            </w:r>
          </w:p>
        </w:tc>
        <w:tc>
          <w:tcPr>
            <w:tcW w:w="1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80,000</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2,128,585</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1,367,472</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Kno, Inc.</w:t>
            </w:r>
          </w:p>
        </w:tc>
        <w:tc>
          <w:tcPr>
            <w:tcW w:w="2360" w:type="dxa"/>
            <w:vAlign w:val="bottom"/>
            <w:shd w:val="clear" w:color="auto" w:fill="CCFFCC"/>
          </w:tcPr>
          <w:p>
            <w:pPr>
              <w:jc w:val="center"/>
              <w:ind w:left="110"/>
              <w:spacing w:after="0" w:line="176" w:lineRule="exact"/>
              <w:rPr>
                <w:sz w:val="20"/>
                <w:szCs w:val="20"/>
                <w:color w:val="auto"/>
              </w:rPr>
            </w:pPr>
            <w:r>
              <w:rPr>
                <w:rFonts w:ascii="Arial" w:cs="Arial" w:eastAsia="Arial" w:hAnsi="Arial"/>
                <w:sz w:val="18"/>
                <w:szCs w:val="18"/>
                <w:color w:val="auto"/>
                <w:w w:val="89"/>
              </w:rPr>
              <w:t>Santa Clara, CA</w:t>
            </w:r>
          </w:p>
        </w:tc>
        <w:tc>
          <w:tcPr>
            <w:tcW w:w="15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700" w:type="dxa"/>
            <w:vAlign w:val="bottom"/>
            <w:tcBorders>
              <w:top w:val="single" w:sz="8" w:color="CCFFCC"/>
            </w:tcBorders>
            <w:shd w:val="clear" w:color="auto" w:fill="CCFFCC"/>
          </w:tcPr>
          <w:p>
            <w:pPr>
              <w:spacing w:after="0" w:line="20" w:lineRule="exact"/>
              <w:rPr>
                <w:sz w:val="1"/>
                <w:szCs w:val="1"/>
                <w:color w:val="auto"/>
              </w:rPr>
            </w:pPr>
          </w:p>
        </w:tc>
        <w:tc>
          <w:tcPr>
            <w:tcW w:w="2360" w:type="dxa"/>
            <w:vAlign w:val="bottom"/>
            <w:tcBorders>
              <w:top w:val="single" w:sz="8" w:color="CCFFCC"/>
            </w:tcBorders>
            <w:shd w:val="clear" w:color="auto" w:fill="CCFFCC"/>
          </w:tcPr>
          <w:p>
            <w:pPr>
              <w:spacing w:after="0" w:line="20" w:lineRule="exact"/>
              <w:rPr>
                <w:sz w:val="1"/>
                <w:szCs w:val="1"/>
                <w:color w:val="auto"/>
              </w:rPr>
            </w:pPr>
          </w:p>
        </w:tc>
        <w:tc>
          <w:tcPr>
            <w:tcW w:w="15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14"/>
          </w:tcPr>
          <w:p>
            <w:pPr>
              <w:spacing w:after="0"/>
              <w:rPr>
                <w:sz w:val="20"/>
                <w:szCs w:val="20"/>
                <w:color w:val="auto"/>
              </w:rPr>
            </w:pPr>
            <w:r>
              <w:rPr>
                <w:rFonts w:ascii="Arial" w:cs="Arial" w:eastAsia="Arial" w:hAnsi="Arial"/>
                <w:sz w:val="18"/>
                <w:szCs w:val="18"/>
                <w:color w:val="auto"/>
              </w:rPr>
              <w:t>Preferred shares, Series C</w:t>
            </w:r>
          </w:p>
        </w:tc>
        <w:tc>
          <w:tcPr>
            <w:tcW w:w="2360" w:type="dxa"/>
            <w:vAlign w:val="bottom"/>
          </w:tcPr>
          <w:p>
            <w:pPr>
              <w:jc w:val="center"/>
              <w:ind w:left="90"/>
              <w:spacing w:after="0"/>
              <w:rPr>
                <w:sz w:val="20"/>
                <w:szCs w:val="20"/>
                <w:color w:val="auto"/>
              </w:rPr>
            </w:pPr>
            <w:r>
              <w:rPr>
                <w:rFonts w:ascii="Arial" w:cs="Arial" w:eastAsia="Arial" w:hAnsi="Arial"/>
                <w:sz w:val="18"/>
                <w:szCs w:val="18"/>
                <w:color w:val="auto"/>
                <w:w w:val="99"/>
              </w:rPr>
              <w:t>Digital</w:t>
            </w: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440,313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2,262,006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2,250,000</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36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w w:val="91"/>
              </w:rPr>
              <w:t>Textbooks</w:t>
            </w:r>
          </w:p>
        </w:tc>
        <w:tc>
          <w:tcPr>
            <w:tcW w:w="1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214,681</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205,000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14"/>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2,476,687</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2,455,000</w:t>
            </w:r>
          </w:p>
        </w:tc>
        <w:tc>
          <w:tcPr>
            <w:tcW w:w="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Notes to the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 / Par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8"/>
          </w:tcPr>
          <w:p>
            <w:pPr>
              <w:ind w:left="20"/>
              <w:spacing w:after="0"/>
              <w:rPr>
                <w:sz w:val="20"/>
                <w:szCs w:val="20"/>
                <w:color w:val="auto"/>
              </w:rPr>
            </w:pPr>
            <w:r>
              <w:rPr>
                <w:rFonts w:ascii="Arial" w:cs="Arial" w:eastAsia="Arial" w:hAnsi="Arial"/>
                <w:sz w:val="18"/>
                <w:szCs w:val="18"/>
                <w:b w:val="1"/>
                <w:bCs w:val="1"/>
                <w:color w:val="auto"/>
              </w:rPr>
              <w:t>Portfolio Investments*</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 Industry</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gridSpan w:val="7"/>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9"/>
              </w:rPr>
              <w:t>Maven Research, Inc.</w:t>
            </w:r>
          </w:p>
        </w:tc>
        <w:tc>
          <w:tcPr>
            <w:tcW w:w="2480" w:type="dxa"/>
            <w:vAlign w:val="bottom"/>
            <w:tcBorders>
              <w:bottom w:val="single" w:sz="8" w:color="CCFFCC"/>
            </w:tcBorders>
            <w:gridSpan w:val="4"/>
            <w:shd w:val="clear" w:color="auto" w:fill="CCFFCC"/>
          </w:tcPr>
          <w:p>
            <w:pPr>
              <w:spacing w:after="0"/>
              <w:rPr>
                <w:sz w:val="17"/>
                <w:szCs w:val="17"/>
                <w:color w:val="auto"/>
              </w:rPr>
            </w:pPr>
          </w:p>
        </w:tc>
        <w:tc>
          <w:tcPr>
            <w:tcW w:w="21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Scottsdale, AZ</w:t>
            </w:r>
          </w:p>
        </w:tc>
        <w:tc>
          <w:tcPr>
            <w:tcW w:w="146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11"/>
          </w:tcPr>
          <w:p>
            <w:pPr>
              <w:spacing w:after="0"/>
              <w:rPr>
                <w:sz w:val="20"/>
                <w:szCs w:val="20"/>
                <w:color w:val="auto"/>
              </w:rPr>
            </w:pPr>
            <w:r>
              <w:rPr>
                <w:rFonts w:ascii="Arial" w:cs="Arial" w:eastAsia="Arial" w:hAnsi="Arial"/>
                <w:sz w:val="18"/>
                <w:szCs w:val="18"/>
                <w:color w:val="auto"/>
              </w:rPr>
              <w:t>Preferred shares, Series B</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Consulting</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49,505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$217,206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$200,000</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11"/>
          </w:tcPr>
          <w:p>
            <w:pPr>
              <w:spacing w:after="0" w:line="216" w:lineRule="exact"/>
              <w:rPr>
                <w:sz w:val="20"/>
                <w:szCs w:val="20"/>
                <w:color w:val="auto"/>
              </w:rPr>
            </w:pPr>
            <w:r>
              <w:rPr>
                <w:rFonts w:ascii="Arial" w:cs="Arial" w:eastAsia="Arial" w:hAnsi="Arial"/>
                <w:sz w:val="16"/>
                <w:szCs w:val="16"/>
                <w:b w:val="1"/>
                <w:bCs w:val="1"/>
                <w:color w:val="auto"/>
              </w:rPr>
              <w:t xml:space="preserve">PJB Fund LLC </w:t>
            </w:r>
            <w:r>
              <w:rPr>
                <w:rFonts w:ascii="Arial" w:cs="Arial" w:eastAsia="Arial" w:hAnsi="Arial"/>
                <w:sz w:val="25"/>
                <w:szCs w:val="25"/>
                <w:b w:val="1"/>
                <w:bCs w:val="1"/>
                <w:color w:val="auto"/>
                <w:vertAlign w:val="superscript"/>
              </w:rPr>
              <w:t>(1) (4)</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San Francisco, CA</w:t>
            </w: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Structured note, 10%, due 8/15/2012</w:t>
            </w:r>
          </w:p>
        </w:tc>
        <w:tc>
          <w:tcPr>
            <w:tcW w:w="2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Social Gaming</w:t>
            </w:r>
          </w:p>
        </w:tc>
        <w:tc>
          <w:tcPr>
            <w:tcW w:w="1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$4,000,000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4,029,259</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auto"/>
            </w:tcBorders>
            <w:gridSpan w:val="6"/>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7"/>
              </w:rPr>
              <w:t>Serious Energy, Inc.</w:t>
            </w:r>
          </w:p>
        </w:tc>
        <w:tc>
          <w:tcPr>
            <w:tcW w:w="2600" w:type="dxa"/>
            <w:vAlign w:val="bottom"/>
            <w:tcBorders>
              <w:bottom w:val="single" w:sz="8" w:color="CCFFCC"/>
            </w:tcBorders>
            <w:gridSpan w:val="5"/>
            <w:shd w:val="clear" w:color="auto" w:fill="CCFFCC"/>
          </w:tcPr>
          <w:p>
            <w:pPr>
              <w:spacing w:after="0"/>
              <w:rPr>
                <w:sz w:val="17"/>
                <w:szCs w:val="17"/>
                <w:color w:val="auto"/>
              </w:rPr>
            </w:pPr>
          </w:p>
        </w:tc>
        <w:tc>
          <w:tcPr>
            <w:tcW w:w="21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2"/>
              </w:rPr>
              <w:t>Sunnyvale, CA</w:t>
            </w:r>
          </w:p>
        </w:tc>
        <w:tc>
          <w:tcPr>
            <w:tcW w:w="146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Green Materials</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178,095</w:t>
            </w:r>
          </w:p>
        </w:tc>
        <w:tc>
          <w:tcPr>
            <w:tcW w:w="1000" w:type="dxa"/>
            <w:vAlign w:val="bottom"/>
          </w:tcPr>
          <w:p>
            <w:pPr>
              <w:jc w:val="right"/>
              <w:spacing w:after="0"/>
              <w:rPr>
                <w:sz w:val="20"/>
                <w:szCs w:val="20"/>
                <w:color w:val="auto"/>
              </w:rPr>
            </w:pPr>
            <w:r>
              <w:rPr>
                <w:rFonts w:ascii="Arial" w:cs="Arial" w:eastAsia="Arial" w:hAnsi="Arial"/>
                <w:sz w:val="18"/>
                <w:szCs w:val="18"/>
                <w:color w:val="auto"/>
              </w:rPr>
              <w:t>739,130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712,380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SharesPost, Inc.</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1"/>
              </w:rPr>
              <w:t>San Bruno, CA</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Online</w:t>
            </w:r>
          </w:p>
        </w:tc>
        <w:tc>
          <w:tcPr>
            <w:tcW w:w="1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1,771,653</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2,257,984</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2,256,752</w:t>
            </w: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11"/>
          </w:tcPr>
          <w:p>
            <w:pPr>
              <w:spacing w:after="0" w:line="201" w:lineRule="exact"/>
              <w:rPr>
                <w:sz w:val="20"/>
                <w:szCs w:val="20"/>
                <w:color w:val="auto"/>
              </w:rPr>
            </w:pPr>
            <w:r>
              <w:rPr>
                <w:rFonts w:ascii="Arial" w:cs="Arial" w:eastAsia="Arial" w:hAnsi="Arial"/>
                <w:sz w:val="18"/>
                <w:szCs w:val="18"/>
                <w:color w:val="auto"/>
                <w:w w:val="94"/>
              </w:rPr>
              <w:t>Common warrants, $0.13 strike price, expire 6/15/2018</w:t>
            </w:r>
          </w:p>
        </w:tc>
        <w:tc>
          <w:tcPr>
            <w:tcW w:w="2120" w:type="dxa"/>
            <w:vAlign w:val="bottom"/>
          </w:tcPr>
          <w:p>
            <w:pPr>
              <w:jc w:val="center"/>
              <w:spacing w:after="0" w:line="201" w:lineRule="exact"/>
              <w:rPr>
                <w:sz w:val="20"/>
                <w:szCs w:val="20"/>
                <w:color w:val="auto"/>
              </w:rPr>
            </w:pPr>
            <w:r>
              <w:rPr>
                <w:rFonts w:ascii="Arial" w:cs="Arial" w:eastAsia="Arial" w:hAnsi="Arial"/>
                <w:sz w:val="18"/>
                <w:szCs w:val="18"/>
                <w:color w:val="auto"/>
                <w:w w:val="91"/>
              </w:rPr>
              <w:t>Marketplace</w:t>
            </w: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(Finance)</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770,934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23,128</w:t>
            </w:r>
          </w:p>
        </w:tc>
        <w:tc>
          <w:tcPr>
            <w:tcW w:w="1100" w:type="dxa"/>
            <w:vAlign w:val="bottom"/>
          </w:tcPr>
          <w:p>
            <w:pPr>
              <w:jc w:val="right"/>
              <w:spacing w:after="0"/>
              <w:rPr>
                <w:sz w:val="20"/>
                <w:szCs w:val="20"/>
                <w:color w:val="auto"/>
              </w:rPr>
            </w:pPr>
            <w:r>
              <w:rPr>
                <w:rFonts w:ascii="Arial" w:cs="Arial" w:eastAsia="Arial" w:hAnsi="Arial"/>
                <w:sz w:val="18"/>
                <w:szCs w:val="18"/>
                <w:color w:val="auto"/>
              </w:rPr>
              <w:t>9,251</w:t>
            </w: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FFCC"/>
            </w:tcBorders>
            <w:gridSpan w:val="11"/>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2,281,112</w:t>
            </w: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2,266,003</w:t>
            </w:r>
          </w:p>
        </w:tc>
        <w:tc>
          <w:tcPr>
            <w:tcW w:w="18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auto"/>
            </w:tcBorders>
            <w:gridSpan w:val="10"/>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Silver Spring Networks, Inc.</w:t>
            </w:r>
          </w:p>
        </w:tc>
        <w:tc>
          <w:tcPr>
            <w:tcW w:w="1960" w:type="dxa"/>
            <w:vAlign w:val="bottom"/>
            <w:tcBorders>
              <w:bottom w:val="single" w:sz="8" w:color="CCFFCC"/>
            </w:tcBorders>
            <w:shd w:val="clear" w:color="auto" w:fill="CCFFCC"/>
          </w:tcPr>
          <w:p>
            <w:pPr>
              <w:spacing w:after="0"/>
              <w:rPr>
                <w:sz w:val="17"/>
                <w:szCs w:val="17"/>
                <w:color w:val="auto"/>
              </w:rPr>
            </w:pPr>
          </w:p>
        </w:tc>
        <w:tc>
          <w:tcPr>
            <w:tcW w:w="21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3"/>
              </w:rPr>
              <w:t>Redwood City, CA</w:t>
            </w:r>
          </w:p>
        </w:tc>
        <w:tc>
          <w:tcPr>
            <w:tcW w:w="146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11"/>
          </w:tcPr>
          <w:p>
            <w:pPr>
              <w:spacing w:after="0"/>
              <w:rPr>
                <w:sz w:val="20"/>
                <w:szCs w:val="20"/>
                <w:color w:val="auto"/>
              </w:rPr>
            </w:pPr>
            <w:r>
              <w:rPr>
                <w:rFonts w:ascii="Arial" w:cs="Arial" w:eastAsia="Arial" w:hAnsi="Arial"/>
                <w:sz w:val="18"/>
                <w:szCs w:val="18"/>
                <w:color w:val="auto"/>
              </w:rPr>
              <w:t>Common shares</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Smart Grid</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110,143</w:t>
            </w:r>
          </w:p>
        </w:tc>
        <w:tc>
          <w:tcPr>
            <w:tcW w:w="1000" w:type="dxa"/>
            <w:vAlign w:val="bottom"/>
          </w:tcPr>
          <w:p>
            <w:pPr>
              <w:jc w:val="right"/>
              <w:spacing w:after="0"/>
              <w:rPr>
                <w:sz w:val="20"/>
                <w:szCs w:val="20"/>
                <w:color w:val="auto"/>
              </w:rPr>
            </w:pPr>
            <w:r>
              <w:rPr>
                <w:rFonts w:ascii="Arial" w:cs="Arial" w:eastAsia="Arial" w:hAnsi="Arial"/>
                <w:sz w:val="18"/>
                <w:szCs w:val="18"/>
                <w:color w:val="auto"/>
              </w:rPr>
              <w:t>1,155,271</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1,101,430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StormWind, LLC</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0"/>
              </w:rPr>
              <w:t>Scottsdale, AZ</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11"/>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Electronic</w:t>
            </w:r>
          </w:p>
        </w:tc>
        <w:tc>
          <w:tcPr>
            <w:tcW w:w="1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3,279,629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2,019,687</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2,000,000</w:t>
            </w: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11"/>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The Echo System Corp. </w:t>
            </w:r>
            <w:r>
              <w:rPr>
                <w:rFonts w:ascii="Arial" w:cs="Arial" w:eastAsia="Arial" w:hAnsi="Arial"/>
                <w:sz w:val="25"/>
                <w:szCs w:val="25"/>
                <w:b w:val="1"/>
                <w:bCs w:val="1"/>
                <w:color w:val="auto"/>
                <w:vertAlign w:val="superscript"/>
              </w:rPr>
              <w:t>(1)</w:t>
            </w:r>
          </w:p>
        </w:tc>
        <w:tc>
          <w:tcPr>
            <w:tcW w:w="2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5"/>
              </w:rPr>
              <w:t>New York, NY</w:t>
            </w:r>
          </w:p>
        </w:tc>
        <w:tc>
          <w:tcPr>
            <w:tcW w:w="1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960" w:type="dxa"/>
            <w:vAlign w:val="bottom"/>
            <w:tcBorders>
              <w:top w:val="single" w:sz="8" w:color="CCFFCC"/>
            </w:tcBorders>
            <w:shd w:val="clear" w:color="auto" w:fill="CCFFCC"/>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11"/>
          </w:tcPr>
          <w:p>
            <w:pPr>
              <w:spacing w:after="0"/>
              <w:rPr>
                <w:sz w:val="20"/>
                <w:szCs w:val="20"/>
                <w:color w:val="auto"/>
              </w:rPr>
            </w:pPr>
            <w:r>
              <w:rPr>
                <w:rFonts w:ascii="Arial" w:cs="Arial" w:eastAsia="Arial" w:hAnsi="Arial"/>
                <w:sz w:val="18"/>
                <w:szCs w:val="18"/>
                <w:color w:val="auto"/>
              </w:rPr>
              <w:t>Preferred shares, Series A</w:t>
            </w: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Social Analytics</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512,365</w:t>
            </w:r>
          </w:p>
        </w:tc>
        <w:tc>
          <w:tcPr>
            <w:tcW w:w="1000" w:type="dxa"/>
            <w:vAlign w:val="bottom"/>
          </w:tcPr>
          <w:p>
            <w:pPr>
              <w:jc w:val="right"/>
              <w:spacing w:after="0"/>
              <w:rPr>
                <w:sz w:val="20"/>
                <w:szCs w:val="20"/>
                <w:color w:val="auto"/>
              </w:rPr>
            </w:pPr>
            <w:r>
              <w:rPr>
                <w:rFonts w:ascii="Arial" w:cs="Arial" w:eastAsia="Arial" w:hAnsi="Arial"/>
                <w:sz w:val="18"/>
                <w:szCs w:val="18"/>
                <w:color w:val="auto"/>
              </w:rPr>
              <w:t>1,436,404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1,639,568</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11"/>
            <w:shd w:val="clear" w:color="auto" w:fill="CCFFCC"/>
          </w:tcPr>
          <w:p>
            <w:pPr>
              <w:spacing w:after="0"/>
              <w:rPr>
                <w:sz w:val="20"/>
                <w:szCs w:val="20"/>
                <w:color w:val="auto"/>
              </w:rPr>
            </w:pPr>
            <w:r>
              <w:rPr>
                <w:rFonts w:ascii="Arial" w:cs="Arial" w:eastAsia="Arial" w:hAnsi="Arial"/>
                <w:sz w:val="18"/>
                <w:szCs w:val="18"/>
                <w:color w:val="auto"/>
                <w:w w:val="91"/>
              </w:rPr>
              <w:t>Preferred warrants, $0.20 strike price, expire 11/14/2016</w:t>
            </w:r>
          </w:p>
        </w:tc>
        <w:tc>
          <w:tcPr>
            <w:tcW w:w="2120" w:type="dxa"/>
            <w:vAlign w:val="bottom"/>
            <w:shd w:val="clear" w:color="auto" w:fill="CCFFCC"/>
          </w:tcPr>
          <w:p>
            <w:pPr>
              <w:spacing w:after="0"/>
              <w:rPr>
                <w:sz w:val="18"/>
                <w:szCs w:val="18"/>
                <w:color w:val="auto"/>
              </w:rPr>
            </w:pPr>
          </w:p>
        </w:tc>
        <w:tc>
          <w:tcPr>
            <w:tcW w:w="1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68,359</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75,988</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75,988</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FFCC"/>
            </w:tcBorders>
            <w:gridSpan w:val="11"/>
          </w:tcPr>
          <w:p>
            <w:pPr>
              <w:ind w:left="34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CCFFCC"/>
            </w:tcBorders>
          </w:tcPr>
          <w:p>
            <w:pPr>
              <w:spacing w:after="0"/>
              <w:rPr>
                <w:sz w:val="18"/>
                <w:szCs w:val="18"/>
                <w:color w:val="auto"/>
              </w:rPr>
            </w:pPr>
          </w:p>
        </w:tc>
        <w:tc>
          <w:tcPr>
            <w:tcW w:w="146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1,512,392</w:t>
            </w:r>
          </w:p>
        </w:tc>
        <w:tc>
          <w:tcPr>
            <w:tcW w:w="180" w:type="dxa"/>
            <w:vAlign w:val="bottom"/>
            <w:tcBorders>
              <w:bottom w:val="single" w:sz="8" w:color="CCFFC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1,715,556</w:t>
            </w:r>
          </w:p>
        </w:tc>
        <w:tc>
          <w:tcPr>
            <w:tcW w:w="18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The rSmart Group, Inc.</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0"/>
              </w:rPr>
              <w:t>Scottsdale, AZ</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gridSpan w:val="11"/>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B</w:t>
            </w:r>
          </w:p>
        </w:tc>
        <w:tc>
          <w:tcPr>
            <w:tcW w:w="21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2"/>
              </w:rPr>
              <w:t>Higher Education</w:t>
            </w:r>
          </w:p>
        </w:tc>
        <w:tc>
          <w:tcPr>
            <w:tcW w:w="1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960" w:type="dxa"/>
            <w:vAlign w:val="bottom"/>
            <w:shd w:val="clear" w:color="auto" w:fill="CCFFCC"/>
          </w:tcPr>
          <w:p>
            <w:pPr>
              <w:spacing w:after="0"/>
              <w:rPr>
                <w:sz w:val="20"/>
                <w:szCs w:val="20"/>
                <w:color w:val="auto"/>
              </w:rPr>
            </w:pPr>
          </w:p>
        </w:tc>
        <w:tc>
          <w:tcPr>
            <w:tcW w:w="2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Learning Platform</w:t>
            </w:r>
          </w:p>
        </w:tc>
        <w:tc>
          <w:tcPr>
            <w:tcW w:w="1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1,201,923</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1,264,927</w:t>
            </w:r>
          </w:p>
        </w:tc>
        <w:tc>
          <w:tcPr>
            <w:tcW w:w="18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1,250,000</w:t>
            </w:r>
          </w:p>
        </w:tc>
        <w:tc>
          <w:tcPr>
            <w:tcW w:w="18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1"/>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TrueCar, Inc.</w:t>
            </w:r>
          </w:p>
        </w:tc>
        <w:tc>
          <w:tcPr>
            <w:tcW w:w="21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2"/>
              </w:rPr>
              <w:t>Santa Monica, CA</w:t>
            </w:r>
          </w:p>
        </w:tc>
        <w:tc>
          <w:tcPr>
            <w:tcW w:w="14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960" w:type="dxa"/>
            <w:vAlign w:val="bottom"/>
            <w:tcBorders>
              <w:top w:val="single" w:sz="8" w:color="CCFFCC"/>
            </w:tcBorders>
            <w:shd w:val="clear" w:color="auto" w:fill="CCFFCC"/>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gridSpan w:val="11"/>
          </w:tcPr>
          <w:p>
            <w:pPr>
              <w:spacing w:after="0" w:line="201" w:lineRule="exact"/>
              <w:rPr>
                <w:sz w:val="20"/>
                <w:szCs w:val="20"/>
                <w:color w:val="auto"/>
              </w:rPr>
            </w:pPr>
            <w:r>
              <w:rPr>
                <w:rFonts w:ascii="Arial" w:cs="Arial" w:eastAsia="Arial" w:hAnsi="Arial"/>
                <w:sz w:val="18"/>
                <w:szCs w:val="18"/>
                <w:color w:val="auto"/>
              </w:rPr>
              <w:t>Common shares</w:t>
            </w:r>
          </w:p>
        </w:tc>
        <w:tc>
          <w:tcPr>
            <w:tcW w:w="2120" w:type="dxa"/>
            <w:vAlign w:val="bottom"/>
          </w:tcPr>
          <w:p>
            <w:pPr>
              <w:jc w:val="center"/>
              <w:spacing w:after="0" w:line="201" w:lineRule="exact"/>
              <w:rPr>
                <w:sz w:val="20"/>
                <w:szCs w:val="20"/>
                <w:color w:val="auto"/>
              </w:rPr>
            </w:pPr>
            <w:r>
              <w:rPr>
                <w:rFonts w:ascii="Arial" w:cs="Arial" w:eastAsia="Arial" w:hAnsi="Arial"/>
                <w:sz w:val="18"/>
                <w:szCs w:val="18"/>
                <w:color w:val="auto"/>
                <w:w w:val="96"/>
              </w:rPr>
              <w:t>Online</w:t>
            </w: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Marketplace (Cars)</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377,358</w:t>
            </w:r>
          </w:p>
        </w:tc>
        <w:tc>
          <w:tcPr>
            <w:tcW w:w="1000" w:type="dxa"/>
            <w:vAlign w:val="bottom"/>
          </w:tcPr>
          <w:p>
            <w:pPr>
              <w:jc w:val="right"/>
              <w:spacing w:after="0"/>
              <w:rPr>
                <w:sz w:val="20"/>
                <w:szCs w:val="20"/>
                <w:color w:val="auto"/>
              </w:rPr>
            </w:pPr>
            <w:r>
              <w:rPr>
                <w:rFonts w:ascii="Arial" w:cs="Arial" w:eastAsia="Arial" w:hAnsi="Arial"/>
                <w:sz w:val="18"/>
                <w:szCs w:val="18"/>
                <w:color w:val="auto"/>
              </w:rPr>
              <w:t>2,014,863</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1,999,997</w:t>
            </w: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11"/>
          </w:tcPr>
          <w:p>
            <w:pPr>
              <w:spacing w:after="0" w:line="176" w:lineRule="exact"/>
              <w:rPr>
                <w:sz w:val="20"/>
                <w:szCs w:val="20"/>
                <w:color w:val="auto"/>
              </w:rPr>
            </w:pPr>
            <w:r>
              <w:rPr>
                <w:rFonts w:ascii="Arial" w:cs="Arial" w:eastAsia="Arial" w:hAnsi="Arial"/>
                <w:sz w:val="18"/>
                <w:szCs w:val="18"/>
                <w:b w:val="1"/>
                <w:bCs w:val="1"/>
                <w:color w:val="auto"/>
              </w:rPr>
              <w:t>Twitter, Inc.</w:t>
            </w:r>
          </w:p>
        </w:tc>
        <w:tc>
          <w:tcPr>
            <w:tcW w:w="2120" w:type="dxa"/>
            <w:vAlign w:val="bottom"/>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gridSpan w:val="11"/>
            <w:shd w:val="clear" w:color="auto" w:fill="CCFFCC"/>
          </w:tcPr>
          <w:p>
            <w:pPr>
              <w:spacing w:after="0" w:line="201" w:lineRule="exact"/>
              <w:rPr>
                <w:sz w:val="20"/>
                <w:szCs w:val="20"/>
                <w:color w:val="auto"/>
              </w:rPr>
            </w:pPr>
            <w:r>
              <w:rPr>
                <w:rFonts w:ascii="Arial" w:cs="Arial" w:eastAsia="Arial" w:hAnsi="Arial"/>
                <w:sz w:val="18"/>
                <w:szCs w:val="18"/>
                <w:color w:val="auto"/>
              </w:rPr>
              <w:t>Common shares</w:t>
            </w:r>
          </w:p>
        </w:tc>
        <w:tc>
          <w:tcPr>
            <w:tcW w:w="21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3"/>
              </w:rPr>
              <w:t>Social</w:t>
            </w:r>
          </w:p>
        </w:tc>
        <w:tc>
          <w:tcPr>
            <w:tcW w:w="1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960" w:type="dxa"/>
            <w:vAlign w:val="bottom"/>
            <w:shd w:val="clear" w:color="auto" w:fill="CCFFCC"/>
          </w:tcPr>
          <w:p>
            <w:pPr>
              <w:spacing w:after="0"/>
              <w:rPr>
                <w:sz w:val="20"/>
                <w:szCs w:val="20"/>
                <w:color w:val="auto"/>
              </w:rPr>
            </w:pPr>
          </w:p>
        </w:tc>
        <w:tc>
          <w:tcPr>
            <w:tcW w:w="2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Communication</w:t>
            </w:r>
          </w:p>
        </w:tc>
        <w:tc>
          <w:tcPr>
            <w:tcW w:w="1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735,600</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12,321,179</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12,113,493</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8"/>
              </w:rPr>
              <w:t>ZocDoc Inc.</w:t>
            </w:r>
          </w:p>
        </w:tc>
        <w:tc>
          <w:tcPr>
            <w:tcW w:w="3220" w:type="dxa"/>
            <w:vAlign w:val="bottom"/>
            <w:tcBorders>
              <w:bottom w:val="single" w:sz="8" w:color="CCFFCC"/>
            </w:tcBorders>
            <w:gridSpan w:val="10"/>
            <w:shd w:val="clear" w:color="auto" w:fill="CCFFCC"/>
          </w:tcPr>
          <w:p>
            <w:pPr>
              <w:spacing w:after="0"/>
              <w:rPr>
                <w:sz w:val="17"/>
                <w:szCs w:val="17"/>
                <w:color w:val="auto"/>
              </w:rPr>
            </w:pPr>
          </w:p>
        </w:tc>
        <w:tc>
          <w:tcPr>
            <w:tcW w:w="21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5"/>
              </w:rPr>
              <w:t>New York, NY</w:t>
            </w:r>
          </w:p>
        </w:tc>
        <w:tc>
          <w:tcPr>
            <w:tcW w:w="146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11"/>
          </w:tcPr>
          <w:p>
            <w:pPr>
              <w:spacing w:after="0" w:line="201" w:lineRule="exact"/>
              <w:rPr>
                <w:sz w:val="20"/>
                <w:szCs w:val="20"/>
                <w:color w:val="auto"/>
              </w:rPr>
            </w:pPr>
            <w:r>
              <w:rPr>
                <w:rFonts w:ascii="Arial" w:cs="Arial" w:eastAsia="Arial" w:hAnsi="Arial"/>
                <w:sz w:val="18"/>
                <w:szCs w:val="18"/>
                <w:color w:val="auto"/>
              </w:rPr>
              <w:t>Preferred shares, Series A</w:t>
            </w:r>
          </w:p>
        </w:tc>
        <w:tc>
          <w:tcPr>
            <w:tcW w:w="2120" w:type="dxa"/>
            <w:vAlign w:val="bottom"/>
          </w:tcPr>
          <w:p>
            <w:pPr>
              <w:jc w:val="center"/>
              <w:spacing w:after="0" w:line="201" w:lineRule="exact"/>
              <w:rPr>
                <w:sz w:val="20"/>
                <w:szCs w:val="20"/>
                <w:color w:val="auto"/>
              </w:rPr>
            </w:pPr>
            <w:r>
              <w:rPr>
                <w:rFonts w:ascii="Arial" w:cs="Arial" w:eastAsia="Arial" w:hAnsi="Arial"/>
                <w:sz w:val="18"/>
                <w:szCs w:val="18"/>
                <w:color w:val="auto"/>
                <w:w w:val="94"/>
              </w:rPr>
              <w:t>Online Medical</w:t>
            </w: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Scheduling</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200,000</w:t>
            </w:r>
          </w:p>
        </w:tc>
        <w:tc>
          <w:tcPr>
            <w:tcW w:w="1000" w:type="dxa"/>
            <w:vAlign w:val="bottom"/>
          </w:tcPr>
          <w:p>
            <w:pPr>
              <w:jc w:val="right"/>
              <w:spacing w:after="0"/>
              <w:rPr>
                <w:sz w:val="20"/>
                <w:szCs w:val="20"/>
                <w:color w:val="auto"/>
              </w:rPr>
            </w:pPr>
            <w:r>
              <w:rPr>
                <w:rFonts w:ascii="Arial" w:cs="Arial" w:eastAsia="Arial" w:hAnsi="Arial"/>
                <w:sz w:val="18"/>
                <w:szCs w:val="18"/>
                <w:color w:val="auto"/>
              </w:rPr>
              <w:t>3,563,178</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3,500,000</w:t>
            </w: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Shares / Par</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80" w:type="dxa"/>
            <w:vAlign w:val="bottom"/>
            <w:gridSpan w:val="2"/>
          </w:tcPr>
          <w:p>
            <w:pPr>
              <w:ind w:left="120"/>
              <w:spacing w:after="0"/>
              <w:rPr>
                <w:sz w:val="20"/>
                <w:szCs w:val="20"/>
                <w:color w:val="auto"/>
              </w:rPr>
            </w:pPr>
            <w:r>
              <w:rPr>
                <w:rFonts w:ascii="Arial" w:cs="Arial" w:eastAsia="Arial" w:hAnsi="Arial"/>
                <w:sz w:val="18"/>
                <w:szCs w:val="18"/>
                <w:b w:val="1"/>
                <w:bCs w:val="1"/>
                <w:color w:val="auto"/>
              </w:rPr>
              <w:t>Portfolio Investments*</w:t>
            </w:r>
          </w:p>
        </w:tc>
        <w:tc>
          <w:tcPr>
            <w:tcW w:w="258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Headquarters / Industry</w:t>
            </w: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Cost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4"/>
              </w:rPr>
              <w:t>ZoomSystems</w:t>
            </w:r>
          </w:p>
        </w:tc>
        <w:tc>
          <w:tcPr>
            <w:tcW w:w="2580" w:type="dxa"/>
            <w:vAlign w:val="bottom"/>
            <w:tcBorders>
              <w:bottom w:val="single" w:sz="8" w:color="CCFFCC"/>
            </w:tcBorders>
            <w:gridSpan w:val="2"/>
            <w:shd w:val="clear" w:color="auto" w:fill="CCFFCC"/>
          </w:tcPr>
          <w:p>
            <w:pPr>
              <w:spacing w:after="0"/>
              <w:rPr>
                <w:sz w:val="17"/>
                <w:szCs w:val="17"/>
                <w:color w:val="auto"/>
              </w:rPr>
            </w:pPr>
          </w:p>
        </w:tc>
        <w:tc>
          <w:tcPr>
            <w:tcW w:w="2580" w:type="dxa"/>
            <w:vAlign w:val="bottom"/>
            <w:tcBorders>
              <w:bottom w:val="single" w:sz="8" w:color="CCFFCC"/>
            </w:tcBorders>
            <w:shd w:val="clear" w:color="auto" w:fill="CCFFCC"/>
          </w:tcPr>
          <w:p>
            <w:pPr>
              <w:jc w:val="center"/>
              <w:ind w:left="370"/>
              <w:spacing w:after="0" w:line="176" w:lineRule="exact"/>
              <w:rPr>
                <w:sz w:val="20"/>
                <w:szCs w:val="20"/>
                <w:color w:val="auto"/>
              </w:rPr>
            </w:pPr>
            <w:r>
              <w:rPr>
                <w:rFonts w:ascii="Arial" w:cs="Arial" w:eastAsia="Arial" w:hAnsi="Arial"/>
                <w:sz w:val="18"/>
                <w:szCs w:val="18"/>
                <w:color w:val="auto"/>
                <w:w w:val="90"/>
              </w:rPr>
              <w:t>San Francisco, CA</w:t>
            </w:r>
          </w:p>
        </w:tc>
        <w:tc>
          <w:tcPr>
            <w:tcW w:w="144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3"/>
          </w:tcPr>
          <w:p>
            <w:pPr>
              <w:spacing w:after="0" w:line="201" w:lineRule="exact"/>
              <w:rPr>
                <w:sz w:val="20"/>
                <w:szCs w:val="20"/>
                <w:color w:val="auto"/>
              </w:rPr>
            </w:pPr>
            <w:r>
              <w:rPr>
                <w:rFonts w:ascii="Arial" w:cs="Arial" w:eastAsia="Arial" w:hAnsi="Arial"/>
                <w:sz w:val="18"/>
                <w:szCs w:val="18"/>
                <w:color w:val="auto"/>
              </w:rPr>
              <w:t>Preferred shares, Series A</w:t>
            </w:r>
          </w:p>
        </w:tc>
        <w:tc>
          <w:tcPr>
            <w:tcW w:w="2580" w:type="dxa"/>
            <w:vAlign w:val="bottom"/>
          </w:tcPr>
          <w:p>
            <w:pPr>
              <w:jc w:val="center"/>
              <w:ind w:left="370"/>
              <w:spacing w:after="0" w:line="201" w:lineRule="exact"/>
              <w:rPr>
                <w:sz w:val="20"/>
                <w:szCs w:val="20"/>
                <w:color w:val="auto"/>
              </w:rPr>
            </w:pPr>
            <w:r>
              <w:rPr>
                <w:rFonts w:ascii="Arial" w:cs="Arial" w:eastAsia="Arial" w:hAnsi="Arial"/>
                <w:sz w:val="18"/>
                <w:szCs w:val="18"/>
                <w:color w:val="auto"/>
                <w:w w:val="91"/>
              </w:rPr>
              <w:t>Smart e-tail</w:t>
            </w:r>
          </w:p>
        </w:tc>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80" w:type="dxa"/>
            <w:vAlign w:val="bottom"/>
          </w:tcPr>
          <w:p>
            <w:pPr>
              <w:jc w:val="center"/>
              <w:ind w:left="350"/>
              <w:spacing w:after="0"/>
              <w:rPr>
                <w:sz w:val="20"/>
                <w:szCs w:val="20"/>
                <w:color w:val="auto"/>
              </w:rPr>
            </w:pPr>
            <w:r>
              <w:rPr>
                <w:rFonts w:ascii="Arial" w:cs="Arial" w:eastAsia="Arial" w:hAnsi="Arial"/>
                <w:sz w:val="18"/>
                <w:szCs w:val="18"/>
                <w:color w:val="auto"/>
                <w:w w:val="93"/>
              </w:rPr>
              <w:t>(Retail)</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1,250,000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$260,476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bottom w:val="single" w:sz="8" w:color="CCFFCC"/>
            </w:tcBorders>
          </w:tcPr>
          <w:p>
            <w:pPr>
              <w:spacing w:after="0"/>
              <w:rPr>
                <w:sz w:val="18"/>
                <w:szCs w:val="18"/>
                <w:color w:val="auto"/>
              </w:rPr>
            </w:pPr>
          </w:p>
        </w:tc>
        <w:tc>
          <w:tcPr>
            <w:tcW w:w="600" w:type="dxa"/>
            <w:vAlign w:val="bottom"/>
            <w:tcBorders>
              <w:bottom w:val="single" w:sz="8" w:color="CCFFCC"/>
            </w:tcBorders>
          </w:tcPr>
          <w:p>
            <w:pPr>
              <w:spacing w:after="0"/>
              <w:rPr>
                <w:sz w:val="18"/>
                <w:szCs w:val="18"/>
                <w:color w:val="auto"/>
              </w:rPr>
            </w:pPr>
          </w:p>
        </w:tc>
        <w:tc>
          <w:tcPr>
            <w:tcW w:w="1980" w:type="dxa"/>
            <w:vAlign w:val="bottom"/>
            <w:tcBorders>
              <w:bottom w:val="single" w:sz="8" w:color="CCFFCC"/>
            </w:tcBorders>
          </w:tcPr>
          <w:p>
            <w:pPr>
              <w:spacing w:after="0"/>
              <w:rPr>
                <w:sz w:val="18"/>
                <w:szCs w:val="18"/>
                <w:color w:val="auto"/>
              </w:rPr>
            </w:pPr>
          </w:p>
        </w:tc>
        <w:tc>
          <w:tcPr>
            <w:tcW w:w="2580" w:type="dxa"/>
            <w:vAlign w:val="bottom"/>
            <w:tcBorders>
              <w:bottom w:val="single" w:sz="8" w:color="CCFFCC"/>
            </w:tcBorders>
          </w:tcPr>
          <w:p>
            <w:pPr>
              <w:spacing w:after="0"/>
              <w:rPr>
                <w:sz w:val="18"/>
                <w:szCs w:val="18"/>
                <w:color w:val="auto"/>
              </w:rPr>
            </w:pPr>
          </w:p>
        </w:tc>
        <w:tc>
          <w:tcPr>
            <w:tcW w:w="1440" w:type="dxa"/>
            <w:vAlign w:val="bottom"/>
            <w:tcBorders>
              <w:bottom w:val="single" w:sz="8" w:color="CCFFC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Total Portfolio Investments</w:t>
            </w:r>
          </w:p>
        </w:tc>
        <w:tc>
          <w:tcPr>
            <w:tcW w:w="25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76,325,515</w:t>
            </w:r>
          </w:p>
        </w:tc>
        <w:tc>
          <w:tcPr>
            <w:tcW w:w="200" w:type="dxa"/>
            <w:vAlign w:val="bottom"/>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$75,756,910</w:t>
            </w:r>
          </w:p>
        </w:tc>
        <w:tc>
          <w:tcPr>
            <w:tcW w:w="20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Money Market Funds </w:t>
            </w:r>
            <w:r>
              <w:rPr>
                <w:rFonts w:ascii="Arial" w:cs="Arial" w:eastAsia="Arial" w:hAnsi="Arial"/>
                <w:sz w:val="25"/>
                <w:szCs w:val="25"/>
                <w:b w:val="1"/>
                <w:bCs w:val="1"/>
                <w:color w:val="auto"/>
                <w:vertAlign w:val="superscript"/>
              </w:rPr>
              <w:t>(1)</w:t>
            </w:r>
          </w:p>
        </w:tc>
        <w:tc>
          <w:tcPr>
            <w:tcW w:w="25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60" w:type="dxa"/>
            <w:vAlign w:val="bottom"/>
            <w:tcBorders>
              <w:top w:val="single" w:sz="8" w:color="auto"/>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980" w:type="dxa"/>
            <w:vAlign w:val="bottom"/>
            <w:tcBorders>
              <w:top w:val="single" w:sz="8" w:color="CCFFCC"/>
            </w:tcBorders>
            <w:shd w:val="clear" w:color="auto" w:fill="CCFFCC"/>
          </w:tcPr>
          <w:p>
            <w:pPr>
              <w:spacing w:after="0" w:line="20" w:lineRule="exact"/>
              <w:rPr>
                <w:sz w:val="1"/>
                <w:szCs w:val="1"/>
                <w:color w:val="auto"/>
              </w:rPr>
            </w:pPr>
          </w:p>
        </w:tc>
        <w:tc>
          <w:tcPr>
            <w:tcW w:w="258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Fidelity Institutional Money Market Funds</w:t>
            </w:r>
          </w:p>
        </w:tc>
        <w:tc>
          <w:tcPr>
            <w:tcW w:w="2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Money Market Portfolio</w:t>
            </w:r>
          </w:p>
        </w:tc>
        <w:tc>
          <w:tcPr>
            <w:tcW w:w="2580" w:type="dxa"/>
            <w:vAlign w:val="bottom"/>
            <w:shd w:val="clear" w:color="auto" w:fill="CCFFCC"/>
          </w:tcPr>
          <w:p>
            <w:pPr>
              <w:spacing w:after="0"/>
              <w:rPr>
                <w:sz w:val="18"/>
                <w:szCs w:val="18"/>
                <w:color w:val="auto"/>
              </w:rPr>
            </w:pPr>
          </w:p>
        </w:tc>
        <w:tc>
          <w:tcPr>
            <w:tcW w:w="14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8,000,000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8,000,000</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8,000,000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Prime Money Market Portfolio</w:t>
            </w:r>
          </w:p>
        </w:tc>
        <w:tc>
          <w:tcPr>
            <w:tcW w:w="258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8,000,000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220" w:type="dxa"/>
            <w:vAlign w:val="bottom"/>
          </w:tcPr>
          <w:p>
            <w:pPr>
              <w:jc w:val="right"/>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Total Money Market Funds</w:t>
            </w:r>
          </w:p>
        </w:tc>
        <w:tc>
          <w:tcPr>
            <w:tcW w:w="258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20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2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Total Investments</w:t>
            </w:r>
          </w:p>
        </w:tc>
        <w:tc>
          <w:tcPr>
            <w:tcW w:w="258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92,325,515</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$91,756,910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CCFFCC"/>
            </w:tcBorders>
          </w:tcPr>
          <w:p>
            <w:pPr>
              <w:spacing w:after="0" w:line="20" w:lineRule="exact"/>
              <w:rPr>
                <w:sz w:val="1"/>
                <w:szCs w:val="1"/>
                <w:color w:val="auto"/>
              </w:rPr>
            </w:pPr>
          </w:p>
        </w:tc>
        <w:tc>
          <w:tcPr>
            <w:tcW w:w="1980" w:type="dxa"/>
            <w:vAlign w:val="bottom"/>
            <w:tcBorders>
              <w:top w:val="single" w:sz="8" w:color="CCFFCC"/>
            </w:tcBorders>
          </w:tcPr>
          <w:p>
            <w:pPr>
              <w:spacing w:after="0" w:line="20" w:lineRule="exact"/>
              <w:rPr>
                <w:sz w:val="1"/>
                <w:szCs w:val="1"/>
                <w:color w:val="auto"/>
              </w:rPr>
            </w:pPr>
          </w:p>
        </w:tc>
        <w:tc>
          <w:tcPr>
            <w:tcW w:w="2580" w:type="dxa"/>
            <w:vAlign w:val="bottom"/>
            <w:tcBorders>
              <w:top w:val="single" w:sz="8" w:color="CCFFCC"/>
            </w:tcBorders>
          </w:tcPr>
          <w:p>
            <w:pPr>
              <w:spacing w:after="0" w:line="20" w:lineRule="exact"/>
              <w:rPr>
                <w:sz w:val="1"/>
                <w:szCs w:val="1"/>
                <w:color w:val="auto"/>
              </w:rPr>
            </w:pPr>
          </w:p>
        </w:tc>
        <w:tc>
          <w:tcPr>
            <w:tcW w:w="144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142"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6"/>
          <w:szCs w:val="26"/>
          <w:b w:val="1"/>
          <w:bCs w:val="1"/>
          <w:color w:val="auto"/>
          <w:vertAlign w:val="superscript"/>
        </w:rPr>
      </w:pPr>
      <w:r>
        <w:rPr>
          <w:rFonts w:ascii="Arial" w:cs="Arial" w:eastAsia="Arial" w:hAnsi="Arial"/>
          <w:sz w:val="16"/>
          <w:szCs w:val="16"/>
          <w:color w:val="auto"/>
        </w:rPr>
        <w:t>Investment is income producing.</w:t>
      </w:r>
    </w:p>
    <w:p>
      <w:pPr>
        <w:spacing w:after="0" w:line="242" w:lineRule="exact"/>
        <w:rPr>
          <w:rFonts w:ascii="Arial" w:cs="Arial" w:eastAsia="Arial" w:hAnsi="Arial"/>
          <w:sz w:val="26"/>
          <w:szCs w:val="26"/>
          <w:b w:val="1"/>
          <w:bCs w:val="1"/>
          <w:color w:val="auto"/>
          <w:vertAlign w:val="superscript"/>
        </w:rPr>
      </w:pPr>
    </w:p>
    <w:p>
      <w:pPr>
        <w:jc w:val="both"/>
        <w:ind w:firstLine="8"/>
        <w:spacing w:after="0" w:line="238" w:lineRule="auto"/>
        <w:tabs>
          <w:tab w:leader="none" w:pos="220" w:val="left"/>
        </w:tabs>
        <w:numPr>
          <w:ilvl w:val="0"/>
          <w:numId w:val="3"/>
        </w:numPr>
        <w:rPr>
          <w:rFonts w:ascii="Arial" w:cs="Arial" w:eastAsia="Arial" w:hAnsi="Arial"/>
          <w:sz w:val="26"/>
          <w:szCs w:val="26"/>
          <w:b w:val="1"/>
          <w:bCs w:val="1"/>
          <w:color w:val="auto"/>
          <w:vertAlign w:val="superscript"/>
        </w:rPr>
      </w:pPr>
      <w:r>
        <w:rPr>
          <w:rFonts w:ascii="Arial" w:cs="Arial" w:eastAsia="Arial" w:hAnsi="Arial"/>
          <w:sz w:val="16"/>
          <w:szCs w:val="16"/>
          <w:color w:val="auto"/>
        </w:rPr>
        <w:t>On February 1, 2012, Facebook, Inc. filed a registration statement with the SEC in connection with its proposed initial public offering. The Company owns 350,000 shares of Class B common stock of Facebook, Inc., which are presently subject to a lock-up agreement that will expire 181 days after the date of the final prospectus relating to Facebook, Inc.’s initial public offering, if consummated.</w:t>
      </w:r>
    </w:p>
    <w:p>
      <w:pPr>
        <w:spacing w:after="0" w:line="243" w:lineRule="exact"/>
        <w:rPr>
          <w:rFonts w:ascii="Arial" w:cs="Arial" w:eastAsia="Arial" w:hAnsi="Arial"/>
          <w:sz w:val="26"/>
          <w:szCs w:val="26"/>
          <w:b w:val="1"/>
          <w:bCs w:val="1"/>
          <w:color w:val="auto"/>
          <w:vertAlign w:val="superscript"/>
        </w:rPr>
      </w:pPr>
    </w:p>
    <w:p>
      <w:pPr>
        <w:ind w:right="60" w:firstLine="8"/>
        <w:spacing w:after="0" w:line="238" w:lineRule="auto"/>
        <w:tabs>
          <w:tab w:leader="none" w:pos="220" w:val="left"/>
        </w:tabs>
        <w:numPr>
          <w:ilvl w:val="0"/>
          <w:numId w:val="3"/>
        </w:numPr>
        <w:rPr>
          <w:rFonts w:ascii="Arial" w:cs="Arial" w:eastAsia="Arial" w:hAnsi="Arial"/>
          <w:sz w:val="26"/>
          <w:szCs w:val="26"/>
          <w:b w:val="1"/>
          <w:bCs w:val="1"/>
          <w:color w:val="auto"/>
          <w:vertAlign w:val="superscript"/>
        </w:rPr>
      </w:pPr>
      <w:r>
        <w:rPr>
          <w:rFonts w:ascii="Arial" w:cs="Arial" w:eastAsia="Arial" w:hAnsi="Arial"/>
          <w:sz w:val="16"/>
          <w:szCs w:val="16"/>
          <w:color w:val="auto"/>
        </w:rPr>
        <w:t>On November 8, 2011, Groupon, Inc. priced its initial public offering, selling 35,000,000 shares at a price of $20.00 per share. GSV Capital Corp.’s shares in Groupon are subject to a lock-up agreement that expires on May 1, 2012. At March 31, 2012, GSV Capital Corp. valued Groupon based on its March 30, 2012 closing price, less a discount for the lock-up restriction.</w:t>
      </w:r>
    </w:p>
    <w:p>
      <w:pPr>
        <w:spacing w:after="0" w:line="243" w:lineRule="exact"/>
        <w:rPr>
          <w:rFonts w:ascii="Arial" w:cs="Arial" w:eastAsia="Arial" w:hAnsi="Arial"/>
          <w:sz w:val="26"/>
          <w:szCs w:val="26"/>
          <w:b w:val="1"/>
          <w:bCs w:val="1"/>
          <w:color w:val="auto"/>
          <w:vertAlign w:val="superscript"/>
        </w:rPr>
      </w:pPr>
    </w:p>
    <w:p>
      <w:pPr>
        <w:ind w:right="120" w:firstLine="8"/>
        <w:spacing w:after="0" w:line="256" w:lineRule="auto"/>
        <w:tabs>
          <w:tab w:leader="none" w:pos="220" w:val="left"/>
        </w:tabs>
        <w:numPr>
          <w:ilvl w:val="0"/>
          <w:numId w:val="3"/>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a $4 million unsecured promissory note with an interest rate of 10% and maturity date of August 15, 2012 that was issued by PJB Fund LLC that may be repaid, at PJB Fund LLC’s election, either by transfer of a certain number of shares of common stock of Zynga, Inc. or with a cash amount of equivalent value. The amount payable under the note will be equal to the face amount, plus the greater of accrued interest (at a rate of 10%) or a return based on the relative value of Zynga, Inc. To the extent the borrower repays the note in cash, GSV Capital Corp. would have no further direct or indirect interest in Zynga, Inc. On December 15, 2011, Zynga, Inc. priced its initial public offering, selling 100,000,000 shares at a price of $10.00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 / Par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gridSpan w:val="7"/>
          </w:tcPr>
          <w:p>
            <w:pPr>
              <w:ind w:left="20"/>
              <w:spacing w:after="0"/>
              <w:rPr>
                <w:sz w:val="20"/>
                <w:szCs w:val="20"/>
                <w:color w:val="auto"/>
              </w:rPr>
            </w:pPr>
            <w:r>
              <w:rPr>
                <w:rFonts w:ascii="Arial" w:cs="Arial" w:eastAsia="Arial" w:hAnsi="Arial"/>
                <w:sz w:val="18"/>
                <w:szCs w:val="18"/>
                <w:b w:val="1"/>
                <w:bCs w:val="1"/>
                <w:color w:val="auto"/>
              </w:rPr>
              <w:t>Portfolio Investments*</w:t>
            </w:r>
          </w:p>
        </w:tc>
        <w:tc>
          <w:tcPr>
            <w:tcW w:w="266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Headquarters / Industry</w:t>
            </w: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Cost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gridSpan w:val="12"/>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Bloom Energy Corporation</w:t>
            </w:r>
          </w:p>
        </w:tc>
        <w:tc>
          <w:tcPr>
            <w:tcW w:w="1420" w:type="dxa"/>
            <w:vAlign w:val="bottom"/>
            <w:tcBorders>
              <w:bottom w:val="single" w:sz="8" w:color="CCFFCC"/>
            </w:tcBorders>
            <w:shd w:val="clear" w:color="auto" w:fill="CCFFCC"/>
          </w:tcPr>
          <w:p>
            <w:pPr>
              <w:spacing w:after="0"/>
              <w:rPr>
                <w:sz w:val="17"/>
                <w:szCs w:val="17"/>
                <w:color w:val="auto"/>
              </w:rPr>
            </w:pPr>
          </w:p>
        </w:tc>
        <w:tc>
          <w:tcPr>
            <w:tcW w:w="2660" w:type="dxa"/>
            <w:vAlign w:val="bottom"/>
            <w:tcBorders>
              <w:bottom w:val="single" w:sz="8" w:color="CCFFCC"/>
            </w:tcBorders>
            <w:shd w:val="clear" w:color="auto" w:fill="CCFFCC"/>
          </w:tcPr>
          <w:p>
            <w:pPr>
              <w:jc w:val="center"/>
              <w:ind w:left="350"/>
              <w:spacing w:after="0" w:line="176" w:lineRule="exact"/>
              <w:rPr>
                <w:sz w:val="20"/>
                <w:szCs w:val="20"/>
                <w:color w:val="auto"/>
              </w:rPr>
            </w:pPr>
            <w:r>
              <w:rPr>
                <w:rFonts w:ascii="Arial" w:cs="Arial" w:eastAsia="Arial" w:hAnsi="Arial"/>
                <w:sz w:val="18"/>
                <w:szCs w:val="18"/>
                <w:color w:val="auto"/>
                <w:w w:val="92"/>
              </w:rPr>
              <w:t>Sunnyvale, CA</w:t>
            </w:r>
          </w:p>
        </w:tc>
        <w:tc>
          <w:tcPr>
            <w:tcW w:w="154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2660" w:type="dxa"/>
            <w:vAlign w:val="bottom"/>
          </w:tcPr>
          <w:p>
            <w:pPr>
              <w:jc w:val="center"/>
              <w:ind w:left="350"/>
              <w:spacing w:after="0"/>
              <w:rPr>
                <w:sz w:val="20"/>
                <w:szCs w:val="20"/>
                <w:color w:val="auto"/>
              </w:rPr>
            </w:pPr>
            <w:r>
              <w:rPr>
                <w:rFonts w:ascii="Arial" w:cs="Arial" w:eastAsia="Arial" w:hAnsi="Arial"/>
                <w:sz w:val="18"/>
                <w:szCs w:val="18"/>
                <w:color w:val="auto"/>
                <w:w w:val="91"/>
              </w:rPr>
              <w:t>Fuel Cell Energy</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96,389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$1,815,818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$1,771,335</w:t>
            </w: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6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2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Chegg, Inc.</w:t>
            </w:r>
          </w:p>
        </w:tc>
        <w:tc>
          <w:tcPr>
            <w:tcW w:w="266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90"/>
              </w:rPr>
              <w:t>Santa Clara, CA</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66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9"/>
              </w:rPr>
              <w:t>Textbook Rental</w:t>
            </w:r>
          </w:p>
        </w:tc>
        <w:tc>
          <w:tcPr>
            <w:tcW w:w="1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774,193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6,003,694</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5,999,996</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gridSpan w:val="10"/>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Control4 Corporation</w:t>
            </w:r>
          </w:p>
        </w:tc>
        <w:tc>
          <w:tcPr>
            <w:tcW w:w="1840" w:type="dxa"/>
            <w:vAlign w:val="bottom"/>
            <w:tcBorders>
              <w:bottom w:val="single" w:sz="8" w:color="CCFFCC"/>
            </w:tcBorders>
            <w:gridSpan w:val="3"/>
            <w:shd w:val="clear" w:color="auto" w:fill="CCFFCC"/>
          </w:tcPr>
          <w:p>
            <w:pPr>
              <w:spacing w:after="0"/>
              <w:rPr>
                <w:sz w:val="17"/>
                <w:szCs w:val="17"/>
                <w:color w:val="auto"/>
              </w:rPr>
            </w:pPr>
          </w:p>
        </w:tc>
        <w:tc>
          <w:tcPr>
            <w:tcW w:w="2660" w:type="dxa"/>
            <w:vAlign w:val="bottom"/>
            <w:tcBorders>
              <w:bottom w:val="single" w:sz="8" w:color="CCFFCC"/>
            </w:tcBorders>
            <w:shd w:val="clear" w:color="auto" w:fill="CCFFCC"/>
          </w:tcPr>
          <w:p>
            <w:pPr>
              <w:jc w:val="center"/>
              <w:ind w:left="370"/>
              <w:spacing w:after="0" w:line="176" w:lineRule="exact"/>
              <w:rPr>
                <w:sz w:val="20"/>
                <w:szCs w:val="20"/>
                <w:color w:val="auto"/>
              </w:rPr>
            </w:pPr>
            <w:r>
              <w:rPr>
                <w:rFonts w:ascii="Arial" w:cs="Arial" w:eastAsia="Arial" w:hAnsi="Arial"/>
                <w:sz w:val="18"/>
                <w:szCs w:val="18"/>
                <w:color w:val="auto"/>
                <w:w w:val="93"/>
              </w:rPr>
              <w:t>Salt Lake City, UT</w:t>
            </w:r>
          </w:p>
        </w:tc>
        <w:tc>
          <w:tcPr>
            <w:tcW w:w="1540" w:type="dxa"/>
            <w:vAlign w:val="bottom"/>
            <w:tcBorders>
              <w:bottom w:val="single" w:sz="8" w:color="CCFFCC"/>
            </w:tcBorders>
            <w:shd w:val="clear" w:color="auto" w:fill="CCFFCC"/>
          </w:tcPr>
          <w:p>
            <w:pPr>
              <w:spacing w:after="0"/>
              <w:rPr>
                <w:sz w:val="17"/>
                <w:szCs w:val="17"/>
                <w:color w:val="auto"/>
              </w:rPr>
            </w:pPr>
          </w:p>
        </w:tc>
        <w:tc>
          <w:tcPr>
            <w:tcW w:w="10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2660" w:type="dxa"/>
            <w:vAlign w:val="bottom"/>
          </w:tcPr>
          <w:p>
            <w:pPr>
              <w:jc w:val="center"/>
              <w:ind w:left="350"/>
              <w:spacing w:after="0"/>
              <w:rPr>
                <w:sz w:val="20"/>
                <w:szCs w:val="20"/>
                <w:color w:val="auto"/>
              </w:rPr>
            </w:pPr>
            <w:r>
              <w:rPr>
                <w:rFonts w:ascii="Arial" w:cs="Arial" w:eastAsia="Arial" w:hAnsi="Arial"/>
                <w:sz w:val="18"/>
                <w:szCs w:val="18"/>
                <w:color w:val="auto"/>
                <w:w w:val="92"/>
              </w:rPr>
              <w:t>Home Automation</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666,667</w:t>
            </w:r>
          </w:p>
        </w:tc>
        <w:tc>
          <w:tcPr>
            <w:tcW w:w="1020" w:type="dxa"/>
            <w:vAlign w:val="bottom"/>
          </w:tcPr>
          <w:p>
            <w:pPr>
              <w:jc w:val="right"/>
              <w:spacing w:after="0"/>
              <w:rPr>
                <w:sz w:val="20"/>
                <w:szCs w:val="20"/>
                <w:color w:val="auto"/>
              </w:rPr>
            </w:pPr>
            <w:r>
              <w:rPr>
                <w:rFonts w:ascii="Arial" w:cs="Arial" w:eastAsia="Arial" w:hAnsi="Arial"/>
                <w:sz w:val="18"/>
                <w:szCs w:val="18"/>
                <w:color w:val="auto"/>
              </w:rPr>
              <w:t>1,034,827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6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2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DreamBox Learning, Inc.</w:t>
            </w:r>
          </w:p>
        </w:tc>
        <w:tc>
          <w:tcPr>
            <w:tcW w:w="266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94"/>
              </w:rPr>
              <w:t>Bellevue, WA</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66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90"/>
              </w:rPr>
              <w:t>Education Technology</w:t>
            </w:r>
          </w:p>
        </w:tc>
        <w:tc>
          <w:tcPr>
            <w:tcW w:w="1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3,579,610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757,955</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2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Dropbox, Inc.</w:t>
            </w:r>
          </w:p>
        </w:tc>
        <w:tc>
          <w:tcPr>
            <w:tcW w:w="2660" w:type="dxa"/>
            <w:vAlign w:val="bottom"/>
            <w:shd w:val="clear" w:color="auto" w:fill="CCFFCC"/>
          </w:tcPr>
          <w:p>
            <w:pPr>
              <w:jc w:val="center"/>
              <w:ind w:left="370"/>
              <w:spacing w:after="0" w:line="176" w:lineRule="exact"/>
              <w:rPr>
                <w:sz w:val="20"/>
                <w:szCs w:val="20"/>
                <w:color w:val="auto"/>
              </w:rPr>
            </w:pPr>
            <w:r>
              <w:rPr>
                <w:rFonts w:ascii="Arial" w:cs="Arial" w:eastAsia="Arial" w:hAnsi="Arial"/>
                <w:sz w:val="18"/>
                <w:szCs w:val="18"/>
                <w:color w:val="auto"/>
                <w:w w:val="90"/>
              </w:rPr>
              <w:t>San Francisco, CA</w:t>
            </w:r>
          </w:p>
        </w:tc>
        <w:tc>
          <w:tcPr>
            <w:tcW w:w="154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20" w:type="dxa"/>
            <w:vAlign w:val="bottom"/>
            <w:tcBorders>
              <w:top w:val="single" w:sz="8" w:color="CCFFCC"/>
            </w:tcBorders>
            <w:shd w:val="clear" w:color="auto" w:fill="CCFFCC"/>
          </w:tcPr>
          <w:p>
            <w:pPr>
              <w:spacing w:after="0" w:line="20" w:lineRule="exact"/>
              <w:rPr>
                <w:sz w:val="1"/>
                <w:szCs w:val="1"/>
                <w:color w:val="auto"/>
              </w:rPr>
            </w:pPr>
          </w:p>
        </w:tc>
        <w:tc>
          <w:tcPr>
            <w:tcW w:w="266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tcPr>
          <w:p>
            <w:pPr>
              <w:spacing w:after="0"/>
              <w:rPr>
                <w:sz w:val="20"/>
                <w:szCs w:val="20"/>
                <w:color w:val="auto"/>
              </w:rPr>
            </w:pPr>
            <w:r>
              <w:rPr>
                <w:rFonts w:ascii="Arial" w:cs="Arial" w:eastAsia="Arial" w:hAnsi="Arial"/>
                <w:sz w:val="18"/>
                <w:szCs w:val="18"/>
                <w:color w:val="auto"/>
              </w:rPr>
              <w:t>Preferred shares, Series A</w:t>
            </w:r>
          </w:p>
        </w:tc>
        <w:tc>
          <w:tcPr>
            <w:tcW w:w="2660" w:type="dxa"/>
            <w:vAlign w:val="bottom"/>
          </w:tcPr>
          <w:p>
            <w:pPr>
              <w:jc w:val="center"/>
              <w:ind w:left="370"/>
              <w:spacing w:after="0"/>
              <w:rPr>
                <w:sz w:val="20"/>
                <w:szCs w:val="20"/>
                <w:color w:val="auto"/>
              </w:rPr>
            </w:pPr>
            <w:r>
              <w:rPr>
                <w:rFonts w:ascii="Arial" w:cs="Arial" w:eastAsia="Arial" w:hAnsi="Arial"/>
                <w:sz w:val="18"/>
                <w:szCs w:val="18"/>
                <w:color w:val="auto"/>
                <w:w w:val="89"/>
              </w:rPr>
              <w:t>Online Storage</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552,486</w:t>
            </w:r>
          </w:p>
        </w:tc>
        <w:tc>
          <w:tcPr>
            <w:tcW w:w="1020" w:type="dxa"/>
            <w:vAlign w:val="bottom"/>
          </w:tcPr>
          <w:p>
            <w:pPr>
              <w:jc w:val="right"/>
              <w:spacing w:after="0"/>
              <w:rPr>
                <w:sz w:val="20"/>
                <w:szCs w:val="20"/>
                <w:color w:val="auto"/>
              </w:rPr>
            </w:pPr>
            <w:r>
              <w:rPr>
                <w:rFonts w:ascii="Arial" w:cs="Arial" w:eastAsia="Arial" w:hAnsi="Arial"/>
                <w:sz w:val="18"/>
                <w:szCs w:val="18"/>
                <w:color w:val="auto"/>
              </w:rPr>
              <w:t>5,015,333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4,999,998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6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2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Facebook, Inc.</w:t>
            </w:r>
          </w:p>
        </w:tc>
        <w:tc>
          <w:tcPr>
            <w:tcW w:w="266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95"/>
              </w:rPr>
              <w:t>Palo Alto, CA</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 Class B</w:t>
            </w:r>
          </w:p>
        </w:tc>
        <w:tc>
          <w:tcPr>
            <w:tcW w:w="2660" w:type="dxa"/>
            <w:vAlign w:val="bottom"/>
            <w:shd w:val="clear" w:color="auto" w:fill="CCFFCC"/>
          </w:tcPr>
          <w:p>
            <w:pPr>
              <w:jc w:val="center"/>
              <w:ind w:left="370"/>
              <w:spacing w:after="0"/>
              <w:rPr>
                <w:sz w:val="20"/>
                <w:szCs w:val="20"/>
                <w:color w:val="auto"/>
              </w:rPr>
            </w:pPr>
            <w:r>
              <w:rPr>
                <w:rFonts w:ascii="Arial" w:cs="Arial" w:eastAsia="Arial" w:hAnsi="Arial"/>
                <w:sz w:val="18"/>
                <w:szCs w:val="18"/>
                <w:color w:val="auto"/>
                <w:w w:val="94"/>
              </w:rPr>
              <w:t>Social Networking</w:t>
            </w:r>
          </w:p>
        </w:tc>
        <w:tc>
          <w:tcPr>
            <w:tcW w:w="1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350,000</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10,465,981</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10,462,500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2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Gilt Groupe, Inc.</w:t>
            </w:r>
          </w:p>
        </w:tc>
        <w:tc>
          <w:tcPr>
            <w:tcW w:w="2660" w:type="dxa"/>
            <w:vAlign w:val="bottom"/>
            <w:shd w:val="clear" w:color="auto" w:fill="CCFFCC"/>
          </w:tcPr>
          <w:p>
            <w:pPr>
              <w:jc w:val="center"/>
              <w:ind w:left="350"/>
              <w:spacing w:after="0" w:line="176" w:lineRule="exact"/>
              <w:rPr>
                <w:sz w:val="20"/>
                <w:szCs w:val="20"/>
                <w:color w:val="auto"/>
              </w:rPr>
            </w:pPr>
            <w:r>
              <w:rPr>
                <w:rFonts w:ascii="Arial" w:cs="Arial" w:eastAsia="Arial" w:hAnsi="Arial"/>
                <w:sz w:val="18"/>
                <w:szCs w:val="18"/>
                <w:color w:val="auto"/>
                <w:w w:val="97"/>
              </w:rPr>
              <w:t>New York, NY</w:t>
            </w:r>
          </w:p>
        </w:tc>
        <w:tc>
          <w:tcPr>
            <w:tcW w:w="15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tcBorders>
              <w:top w:val="single" w:sz="8" w:color="auto"/>
            </w:tcBorders>
            <w:gridSpan w:val="8"/>
          </w:tcPr>
          <w:p>
            <w:pPr>
              <w:spacing w:after="0" w:line="201" w:lineRule="exact"/>
              <w:rPr>
                <w:sz w:val="20"/>
                <w:szCs w:val="20"/>
                <w:color w:val="auto"/>
              </w:rPr>
            </w:pPr>
            <w:r>
              <w:rPr>
                <w:rFonts w:ascii="Arial" w:cs="Arial" w:eastAsia="Arial" w:hAnsi="Arial"/>
                <w:sz w:val="18"/>
                <w:szCs w:val="18"/>
                <w:color w:val="auto"/>
                <w:w w:val="96"/>
              </w:rPr>
              <w:t>Common shares</w:t>
            </w:r>
          </w:p>
        </w:tc>
        <w:tc>
          <w:tcPr>
            <w:tcW w:w="2220" w:type="dxa"/>
            <w:vAlign w:val="bottom"/>
            <w:tcBorders>
              <w:top w:val="single" w:sz="8" w:color="CCFFCC"/>
            </w:tcBorders>
            <w:gridSpan w:val="5"/>
          </w:tcPr>
          <w:p>
            <w:pPr>
              <w:spacing w:after="0"/>
              <w:rPr>
                <w:sz w:val="17"/>
                <w:szCs w:val="17"/>
                <w:color w:val="auto"/>
              </w:rPr>
            </w:pPr>
          </w:p>
        </w:tc>
        <w:tc>
          <w:tcPr>
            <w:tcW w:w="2660" w:type="dxa"/>
            <w:vAlign w:val="bottom"/>
            <w:tcBorders>
              <w:top w:val="single" w:sz="8" w:color="CCFFCC"/>
            </w:tcBorders>
          </w:tcPr>
          <w:p>
            <w:pPr>
              <w:jc w:val="center"/>
              <w:ind w:left="350"/>
              <w:spacing w:after="0" w:line="201" w:lineRule="exact"/>
              <w:rPr>
                <w:sz w:val="20"/>
                <w:szCs w:val="20"/>
                <w:color w:val="auto"/>
              </w:rPr>
            </w:pPr>
            <w:r>
              <w:rPr>
                <w:rFonts w:ascii="Arial" w:cs="Arial" w:eastAsia="Arial" w:hAnsi="Arial"/>
                <w:sz w:val="18"/>
                <w:szCs w:val="18"/>
                <w:color w:val="auto"/>
                <w:w w:val="90"/>
              </w:rPr>
              <w:t>e-Commerce</w:t>
            </w:r>
          </w:p>
        </w:tc>
        <w:tc>
          <w:tcPr>
            <w:tcW w:w="1540" w:type="dxa"/>
            <w:vAlign w:val="bottom"/>
            <w:tcBorders>
              <w:top w:val="single" w:sz="8" w:color="CCFFCC"/>
            </w:tcBorders>
          </w:tcPr>
          <w:p>
            <w:pPr>
              <w:spacing w:after="0"/>
              <w:rPr>
                <w:sz w:val="17"/>
                <w:szCs w:val="17"/>
                <w:color w:val="auto"/>
              </w:rPr>
            </w:pPr>
          </w:p>
        </w:tc>
        <w:tc>
          <w:tcPr>
            <w:tcW w:w="102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0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20" w:type="dxa"/>
            <w:vAlign w:val="bottom"/>
            <w:tcBorders>
              <w:top w:val="single" w:sz="8" w:color="CCFFC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60" w:type="dxa"/>
            <w:vAlign w:val="bottom"/>
          </w:tcPr>
          <w:p>
            <w:pPr>
              <w:jc w:val="center"/>
              <w:ind w:left="350"/>
              <w:spacing w:after="0"/>
              <w:rPr>
                <w:sz w:val="20"/>
                <w:szCs w:val="20"/>
                <w:color w:val="auto"/>
              </w:rPr>
            </w:pPr>
            <w:r>
              <w:rPr>
                <w:rFonts w:ascii="Arial" w:cs="Arial" w:eastAsia="Arial" w:hAnsi="Arial"/>
                <w:sz w:val="18"/>
                <w:szCs w:val="18"/>
                <w:color w:val="auto"/>
                <w:w w:val="87"/>
              </w:rPr>
              <w:t>Flash Sales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203,100</w:t>
            </w:r>
          </w:p>
        </w:tc>
        <w:tc>
          <w:tcPr>
            <w:tcW w:w="1020" w:type="dxa"/>
            <w:vAlign w:val="bottom"/>
          </w:tcPr>
          <w:p>
            <w:pPr>
              <w:jc w:val="right"/>
              <w:spacing w:after="0"/>
              <w:rPr>
                <w:sz w:val="20"/>
                <w:szCs w:val="20"/>
                <w:color w:val="auto"/>
              </w:rPr>
            </w:pPr>
            <w:r>
              <w:rPr>
                <w:rFonts w:ascii="Arial" w:cs="Arial" w:eastAsia="Arial" w:hAnsi="Arial"/>
                <w:sz w:val="18"/>
                <w:szCs w:val="18"/>
                <w:color w:val="auto"/>
              </w:rPr>
              <w:t>5,576,979</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5,499,250</w:t>
            </w:r>
          </w:p>
        </w:tc>
        <w:tc>
          <w:tcPr>
            <w:tcW w:w="2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6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2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Grockit, Inc.</w:t>
            </w:r>
          </w:p>
        </w:tc>
        <w:tc>
          <w:tcPr>
            <w:tcW w:w="2660" w:type="dxa"/>
            <w:vAlign w:val="bottom"/>
          </w:tcPr>
          <w:p>
            <w:pPr>
              <w:jc w:val="center"/>
              <w:ind w:left="370"/>
              <w:spacing w:after="0" w:line="176" w:lineRule="exact"/>
              <w:rPr>
                <w:sz w:val="20"/>
                <w:szCs w:val="20"/>
                <w:color w:val="auto"/>
              </w:rPr>
            </w:pPr>
            <w:r>
              <w:rPr>
                <w:rFonts w:ascii="Arial" w:cs="Arial" w:eastAsia="Arial" w:hAnsi="Arial"/>
                <w:sz w:val="18"/>
                <w:szCs w:val="18"/>
                <w:color w:val="auto"/>
                <w:w w:val="90"/>
              </w:rPr>
              <w:t>San Francisco, CA</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gridSpan w:val="13"/>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B</w:t>
            </w:r>
          </w:p>
        </w:tc>
        <w:tc>
          <w:tcPr>
            <w:tcW w:w="2660" w:type="dxa"/>
            <w:vAlign w:val="bottom"/>
            <w:shd w:val="clear" w:color="auto" w:fill="CCFFCC"/>
          </w:tcPr>
          <w:p>
            <w:pPr>
              <w:jc w:val="center"/>
              <w:ind w:left="350"/>
              <w:spacing w:after="0" w:line="201" w:lineRule="exact"/>
              <w:rPr>
                <w:sz w:val="20"/>
                <w:szCs w:val="20"/>
                <w:color w:val="auto"/>
              </w:rPr>
            </w:pPr>
            <w:r>
              <w:rPr>
                <w:rFonts w:ascii="Arial" w:cs="Arial" w:eastAsia="Arial" w:hAnsi="Arial"/>
                <w:sz w:val="18"/>
                <w:szCs w:val="18"/>
                <w:color w:val="auto"/>
                <w:w w:val="89"/>
              </w:rPr>
              <w:t>Online Test</w:t>
            </w:r>
          </w:p>
        </w:tc>
        <w:tc>
          <w:tcPr>
            <w:tcW w:w="15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420" w:type="dxa"/>
            <w:vAlign w:val="bottom"/>
            <w:shd w:val="clear" w:color="auto" w:fill="CCFFCC"/>
          </w:tcPr>
          <w:p>
            <w:pPr>
              <w:spacing w:after="0"/>
              <w:rPr>
                <w:sz w:val="20"/>
                <w:szCs w:val="20"/>
                <w:color w:val="auto"/>
              </w:rPr>
            </w:pPr>
          </w:p>
        </w:tc>
        <w:tc>
          <w:tcPr>
            <w:tcW w:w="266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8"/>
              </w:rPr>
              <w:t>Preparation</w:t>
            </w:r>
          </w:p>
        </w:tc>
        <w:tc>
          <w:tcPr>
            <w:tcW w:w="1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2,728,252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2,005,945</w:t>
            </w:r>
          </w:p>
        </w:tc>
        <w:tc>
          <w:tcPr>
            <w:tcW w:w="22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Groupon, Inc. </w:t>
            </w:r>
            <w:r>
              <w:rPr>
                <w:rFonts w:ascii="Arial" w:cs="Arial" w:eastAsia="Arial" w:hAnsi="Arial"/>
                <w:sz w:val="25"/>
                <w:szCs w:val="25"/>
                <w:b w:val="1"/>
                <w:bCs w:val="1"/>
                <w:color w:val="auto"/>
                <w:vertAlign w:val="superscript"/>
              </w:rPr>
              <w:t>(2)</w:t>
            </w:r>
          </w:p>
        </w:tc>
        <w:tc>
          <w:tcPr>
            <w:tcW w:w="266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94"/>
              </w:rPr>
              <w:t>Chicago, IL</w:t>
            </w: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20" w:type="dxa"/>
            <w:vAlign w:val="bottom"/>
            <w:tcBorders>
              <w:top w:val="single" w:sz="8" w:color="CCFFCC"/>
            </w:tcBorders>
            <w:shd w:val="clear" w:color="auto" w:fill="CCFFCC"/>
          </w:tcPr>
          <w:p>
            <w:pPr>
              <w:spacing w:after="0" w:line="20" w:lineRule="exact"/>
              <w:rPr>
                <w:sz w:val="1"/>
                <w:szCs w:val="1"/>
                <w:color w:val="auto"/>
              </w:rPr>
            </w:pPr>
          </w:p>
        </w:tc>
        <w:tc>
          <w:tcPr>
            <w:tcW w:w="266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tcPr>
          <w:p>
            <w:pPr>
              <w:spacing w:after="0"/>
              <w:rPr>
                <w:sz w:val="20"/>
                <w:szCs w:val="20"/>
                <w:color w:val="auto"/>
              </w:rPr>
            </w:pPr>
            <w:r>
              <w:rPr>
                <w:rFonts w:ascii="Arial" w:cs="Arial" w:eastAsia="Arial" w:hAnsi="Arial"/>
                <w:sz w:val="18"/>
                <w:szCs w:val="18"/>
                <w:color w:val="auto"/>
              </w:rPr>
              <w:t>Common shares</w:t>
            </w:r>
          </w:p>
        </w:tc>
        <w:tc>
          <w:tcPr>
            <w:tcW w:w="2660" w:type="dxa"/>
            <w:vAlign w:val="bottom"/>
          </w:tcPr>
          <w:p>
            <w:pPr>
              <w:jc w:val="center"/>
              <w:ind w:left="350"/>
              <w:spacing w:after="0"/>
              <w:rPr>
                <w:sz w:val="20"/>
                <w:szCs w:val="20"/>
                <w:color w:val="auto"/>
              </w:rPr>
            </w:pPr>
            <w:r>
              <w:rPr>
                <w:rFonts w:ascii="Arial" w:cs="Arial" w:eastAsia="Arial" w:hAnsi="Arial"/>
                <w:sz w:val="18"/>
                <w:szCs w:val="18"/>
                <w:color w:val="auto"/>
                <w:w w:val="91"/>
              </w:rPr>
              <w:t>Online Deals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80,000</w:t>
            </w:r>
          </w:p>
        </w:tc>
        <w:tc>
          <w:tcPr>
            <w:tcW w:w="1020" w:type="dxa"/>
            <w:vAlign w:val="bottom"/>
          </w:tcPr>
          <w:p>
            <w:pPr>
              <w:jc w:val="right"/>
              <w:spacing w:after="0"/>
              <w:rPr>
                <w:sz w:val="20"/>
                <w:szCs w:val="20"/>
                <w:color w:val="auto"/>
              </w:rPr>
            </w:pPr>
            <w:r>
              <w:rPr>
                <w:rFonts w:ascii="Arial" w:cs="Arial" w:eastAsia="Arial" w:hAnsi="Arial"/>
                <w:sz w:val="18"/>
                <w:szCs w:val="18"/>
                <w:color w:val="auto"/>
              </w:rPr>
              <w:t>2,128,585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1,188,288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6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2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Kno, Inc.</w:t>
            </w:r>
          </w:p>
        </w:tc>
        <w:tc>
          <w:tcPr>
            <w:tcW w:w="266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90"/>
              </w:rPr>
              <w:t>Santa Clara, CA</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66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99"/>
              </w:rPr>
              <w:t>Digital</w:t>
            </w:r>
          </w:p>
        </w:tc>
        <w:tc>
          <w:tcPr>
            <w:tcW w:w="1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440,313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2,262,006</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FFCC"/>
            </w:tcBorders>
            <w:gridSpan w:val="13"/>
          </w:tcPr>
          <w:p>
            <w:pPr>
              <w:spacing w:after="0"/>
              <w:rPr>
                <w:sz w:val="20"/>
                <w:szCs w:val="20"/>
                <w:color w:val="auto"/>
              </w:rPr>
            </w:pPr>
            <w:r>
              <w:rPr>
                <w:rFonts w:ascii="Arial" w:cs="Arial" w:eastAsia="Arial" w:hAnsi="Arial"/>
                <w:sz w:val="18"/>
                <w:szCs w:val="18"/>
                <w:color w:val="auto"/>
              </w:rPr>
              <w:t>Common shares</w:t>
            </w:r>
          </w:p>
        </w:tc>
        <w:tc>
          <w:tcPr>
            <w:tcW w:w="2660" w:type="dxa"/>
            <w:vAlign w:val="bottom"/>
            <w:tcBorders>
              <w:bottom w:val="single" w:sz="8" w:color="CCFFCC"/>
            </w:tcBorders>
          </w:tcPr>
          <w:p>
            <w:pPr>
              <w:jc w:val="center"/>
              <w:ind w:left="350"/>
              <w:spacing w:after="0"/>
              <w:rPr>
                <w:sz w:val="20"/>
                <w:szCs w:val="20"/>
                <w:color w:val="auto"/>
              </w:rPr>
            </w:pPr>
            <w:r>
              <w:rPr>
                <w:rFonts w:ascii="Arial" w:cs="Arial" w:eastAsia="Arial" w:hAnsi="Arial"/>
                <w:sz w:val="18"/>
                <w:szCs w:val="18"/>
                <w:color w:val="auto"/>
                <w:w w:val="89"/>
              </w:rPr>
              <w:t>Textbooks</w:t>
            </w:r>
          </w:p>
        </w:tc>
        <w:tc>
          <w:tcPr>
            <w:tcW w:w="1540" w:type="dxa"/>
            <w:vAlign w:val="bottom"/>
            <w:tcBorders>
              <w:bottom w:val="single" w:sz="8" w:color="CCFFCC"/>
            </w:tcBorders>
          </w:tcPr>
          <w:p>
            <w:pPr>
              <w:jc w:val="right"/>
              <w:ind w:right="110"/>
              <w:spacing w:after="0"/>
              <w:rPr>
                <w:sz w:val="20"/>
                <w:szCs w:val="20"/>
                <w:color w:val="auto"/>
              </w:rPr>
            </w:pPr>
            <w:r>
              <w:rPr>
                <w:rFonts w:ascii="Arial" w:cs="Arial" w:eastAsia="Arial" w:hAnsi="Arial"/>
                <w:sz w:val="18"/>
                <w:szCs w:val="18"/>
                <w:color w:val="auto"/>
              </w:rPr>
              <w:t>50,000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214,303</w:t>
            </w:r>
          </w:p>
        </w:tc>
        <w:tc>
          <w:tcPr>
            <w:tcW w:w="22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205,000</w:t>
            </w:r>
          </w:p>
        </w:tc>
        <w:tc>
          <w:tcPr>
            <w:tcW w:w="22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13"/>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2,476,309</w:t>
            </w:r>
          </w:p>
        </w:tc>
        <w:tc>
          <w:tcPr>
            <w:tcW w:w="22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2,455,000</w:t>
            </w:r>
          </w:p>
        </w:tc>
        <w:tc>
          <w:tcPr>
            <w:tcW w:w="22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PJB Fund LLC </w:t>
            </w:r>
            <w:r>
              <w:rPr>
                <w:rFonts w:ascii="Arial" w:cs="Arial" w:eastAsia="Arial" w:hAnsi="Arial"/>
                <w:sz w:val="25"/>
                <w:szCs w:val="25"/>
                <w:b w:val="1"/>
                <w:bCs w:val="1"/>
                <w:color w:val="auto"/>
                <w:vertAlign w:val="superscript"/>
              </w:rPr>
              <w:t>(1) (3)</w:t>
            </w:r>
          </w:p>
        </w:tc>
        <w:tc>
          <w:tcPr>
            <w:tcW w:w="2660" w:type="dxa"/>
            <w:vAlign w:val="bottom"/>
            <w:shd w:val="clear" w:color="auto" w:fill="CCFFCC"/>
          </w:tcPr>
          <w:p>
            <w:pPr>
              <w:jc w:val="center"/>
              <w:ind w:left="370"/>
              <w:spacing w:after="0"/>
              <w:rPr>
                <w:sz w:val="20"/>
                <w:szCs w:val="20"/>
                <w:color w:val="auto"/>
              </w:rPr>
            </w:pPr>
            <w:r>
              <w:rPr>
                <w:rFonts w:ascii="Arial" w:cs="Arial" w:eastAsia="Arial" w:hAnsi="Arial"/>
                <w:sz w:val="18"/>
                <w:szCs w:val="18"/>
                <w:color w:val="auto"/>
                <w:w w:val="90"/>
              </w:rPr>
              <w:t>San Francisco, CA</w:t>
            </w: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20" w:type="dxa"/>
            <w:vAlign w:val="bottom"/>
            <w:tcBorders>
              <w:top w:val="single" w:sz="8" w:color="CCFFCC"/>
            </w:tcBorders>
            <w:shd w:val="clear" w:color="auto" w:fill="CCFFCC"/>
          </w:tcPr>
          <w:p>
            <w:pPr>
              <w:spacing w:after="0" w:line="20" w:lineRule="exact"/>
              <w:rPr>
                <w:sz w:val="1"/>
                <w:szCs w:val="1"/>
                <w:color w:val="auto"/>
              </w:rPr>
            </w:pPr>
          </w:p>
        </w:tc>
        <w:tc>
          <w:tcPr>
            <w:tcW w:w="266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tcPr>
          <w:p>
            <w:pPr>
              <w:spacing w:after="0"/>
              <w:rPr>
                <w:sz w:val="20"/>
                <w:szCs w:val="20"/>
                <w:color w:val="auto"/>
              </w:rPr>
            </w:pPr>
            <w:r>
              <w:rPr>
                <w:rFonts w:ascii="Arial" w:cs="Arial" w:eastAsia="Arial" w:hAnsi="Arial"/>
                <w:sz w:val="18"/>
                <w:szCs w:val="18"/>
                <w:color w:val="auto"/>
              </w:rPr>
              <w:t>Structured note, 10%, due 8/15/2012</w:t>
            </w:r>
          </w:p>
        </w:tc>
        <w:tc>
          <w:tcPr>
            <w:tcW w:w="2660" w:type="dxa"/>
            <w:vAlign w:val="bottom"/>
          </w:tcPr>
          <w:p>
            <w:pPr>
              <w:jc w:val="center"/>
              <w:ind w:left="370"/>
              <w:spacing w:after="0"/>
              <w:rPr>
                <w:sz w:val="20"/>
                <w:szCs w:val="20"/>
                <w:color w:val="auto"/>
              </w:rPr>
            </w:pPr>
            <w:r>
              <w:rPr>
                <w:rFonts w:ascii="Arial" w:cs="Arial" w:eastAsia="Arial" w:hAnsi="Arial"/>
                <w:sz w:val="18"/>
                <w:szCs w:val="18"/>
                <w:color w:val="auto"/>
                <w:w w:val="92"/>
              </w:rPr>
              <w:t>Social Gaming</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$4,000,000</w:t>
            </w:r>
          </w:p>
        </w:tc>
        <w:tc>
          <w:tcPr>
            <w:tcW w:w="1020" w:type="dxa"/>
            <w:vAlign w:val="bottom"/>
          </w:tcPr>
          <w:p>
            <w:pPr>
              <w:jc w:val="right"/>
              <w:spacing w:after="0"/>
              <w:rPr>
                <w:sz w:val="20"/>
                <w:szCs w:val="20"/>
                <w:color w:val="auto"/>
              </w:rPr>
            </w:pPr>
            <w:r>
              <w:rPr>
                <w:rFonts w:ascii="Arial" w:cs="Arial" w:eastAsia="Arial" w:hAnsi="Arial"/>
                <w:sz w:val="18"/>
                <w:szCs w:val="18"/>
                <w:color w:val="auto"/>
              </w:rPr>
              <w:t>4,029,259</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266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20" w:type="dxa"/>
            <w:vAlign w:val="bottom"/>
            <w:gridSpan w:val="13"/>
          </w:tcPr>
          <w:p>
            <w:pPr>
              <w:spacing w:after="0" w:line="176" w:lineRule="exact"/>
              <w:rPr>
                <w:sz w:val="20"/>
                <w:szCs w:val="20"/>
                <w:color w:val="auto"/>
              </w:rPr>
            </w:pPr>
            <w:r>
              <w:rPr>
                <w:rFonts w:ascii="Arial" w:cs="Arial" w:eastAsia="Arial" w:hAnsi="Arial"/>
                <w:sz w:val="18"/>
                <w:szCs w:val="18"/>
                <w:b w:val="1"/>
                <w:bCs w:val="1"/>
                <w:color w:val="auto"/>
              </w:rPr>
              <w:t>Serious Energy, Inc.</w:t>
            </w:r>
          </w:p>
        </w:tc>
        <w:tc>
          <w:tcPr>
            <w:tcW w:w="2660" w:type="dxa"/>
            <w:vAlign w:val="bottom"/>
          </w:tcPr>
          <w:p>
            <w:pPr>
              <w:jc w:val="center"/>
              <w:ind w:left="350"/>
              <w:spacing w:after="0" w:line="176" w:lineRule="exact"/>
              <w:rPr>
                <w:sz w:val="20"/>
                <w:szCs w:val="20"/>
                <w:color w:val="auto"/>
              </w:rPr>
            </w:pPr>
            <w:r>
              <w:rPr>
                <w:rFonts w:ascii="Arial" w:cs="Arial" w:eastAsia="Arial" w:hAnsi="Arial"/>
                <w:sz w:val="18"/>
                <w:szCs w:val="18"/>
                <w:color w:val="auto"/>
                <w:w w:val="92"/>
              </w:rPr>
              <w:t>Sunnyvale, CA</w:t>
            </w: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13"/>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660" w:type="dxa"/>
            <w:vAlign w:val="bottom"/>
            <w:shd w:val="clear" w:color="auto" w:fill="CCFFCC"/>
          </w:tcPr>
          <w:p>
            <w:pPr>
              <w:jc w:val="center"/>
              <w:ind w:left="370"/>
              <w:spacing w:after="0"/>
              <w:rPr>
                <w:sz w:val="20"/>
                <w:szCs w:val="20"/>
                <w:color w:val="auto"/>
              </w:rPr>
            </w:pPr>
            <w:r>
              <w:rPr>
                <w:rFonts w:ascii="Arial" w:cs="Arial" w:eastAsia="Arial" w:hAnsi="Arial"/>
                <w:sz w:val="18"/>
                <w:szCs w:val="18"/>
                <w:color w:val="auto"/>
                <w:w w:val="90"/>
              </w:rPr>
              <w:t>Green Materials</w:t>
            </w:r>
          </w:p>
        </w:tc>
        <w:tc>
          <w:tcPr>
            <w:tcW w:w="15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178,095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739,130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712,380</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Shares / Par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80" w:type="dxa"/>
            <w:vAlign w:val="bottom"/>
            <w:gridSpan w:val="6"/>
          </w:tcPr>
          <w:p>
            <w:pPr>
              <w:ind w:left="120"/>
              <w:spacing w:after="0"/>
              <w:rPr>
                <w:sz w:val="20"/>
                <w:szCs w:val="20"/>
                <w:color w:val="auto"/>
              </w:rPr>
            </w:pPr>
            <w:r>
              <w:rPr>
                <w:rFonts w:ascii="Arial" w:cs="Arial" w:eastAsia="Arial" w:hAnsi="Arial"/>
                <w:sz w:val="18"/>
                <w:szCs w:val="18"/>
                <w:b w:val="1"/>
                <w:bCs w:val="1"/>
                <w:color w:val="auto"/>
              </w:rPr>
              <w:t>Portfolio Investments*</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 Industry</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Cost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gridSpan w:val="4"/>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5"/>
              </w:rPr>
              <w:t>SharesPost, Inc.</w:t>
            </w:r>
          </w:p>
        </w:tc>
        <w:tc>
          <w:tcPr>
            <w:tcW w:w="2820" w:type="dxa"/>
            <w:vAlign w:val="bottom"/>
            <w:tcBorders>
              <w:bottom w:val="single" w:sz="8" w:color="CCFFCC"/>
            </w:tcBorders>
            <w:gridSpan w:val="5"/>
            <w:shd w:val="clear" w:color="auto" w:fill="CCFFCC"/>
          </w:tcPr>
          <w:p>
            <w:pPr>
              <w:spacing w:after="0"/>
              <w:rPr>
                <w:sz w:val="17"/>
                <w:szCs w:val="17"/>
                <w:color w:val="auto"/>
              </w:rPr>
            </w:pPr>
          </w:p>
        </w:tc>
        <w:tc>
          <w:tcPr>
            <w:tcW w:w="254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1"/>
              </w:rPr>
              <w:t>San Bruno, CA</w:t>
            </w:r>
          </w:p>
        </w:tc>
        <w:tc>
          <w:tcPr>
            <w:tcW w:w="130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9"/>
          </w:tcPr>
          <w:p>
            <w:pPr>
              <w:spacing w:after="0"/>
              <w:rPr>
                <w:sz w:val="20"/>
                <w:szCs w:val="20"/>
                <w:color w:val="auto"/>
              </w:rPr>
            </w:pPr>
            <w:r>
              <w:rPr>
                <w:rFonts w:ascii="Arial" w:cs="Arial" w:eastAsia="Arial" w:hAnsi="Arial"/>
                <w:sz w:val="18"/>
                <w:szCs w:val="18"/>
                <w:color w:val="auto"/>
              </w:rPr>
              <w:t>Preferred shares, Series B</w:t>
            </w:r>
          </w:p>
        </w:tc>
        <w:tc>
          <w:tcPr>
            <w:tcW w:w="2540" w:type="dxa"/>
            <w:vAlign w:val="bottom"/>
          </w:tcPr>
          <w:p>
            <w:pPr>
              <w:jc w:val="center"/>
              <w:spacing w:after="0"/>
              <w:rPr>
                <w:sz w:val="20"/>
                <w:szCs w:val="20"/>
                <w:color w:val="auto"/>
              </w:rPr>
            </w:pPr>
            <w:r>
              <w:rPr>
                <w:rFonts w:ascii="Arial" w:cs="Arial" w:eastAsia="Arial" w:hAnsi="Arial"/>
                <w:sz w:val="18"/>
                <w:szCs w:val="18"/>
                <w:color w:val="auto"/>
                <w:w w:val="96"/>
              </w:rPr>
              <w:t>Online</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1,776,970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$2,257,984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$2,256,752</w:t>
            </w:r>
          </w:p>
        </w:tc>
        <w:tc>
          <w:tcPr>
            <w:tcW w:w="122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25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Marketplace</w:t>
            </w:r>
          </w:p>
        </w:tc>
        <w:tc>
          <w:tcPr>
            <w:tcW w:w="13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9"/>
            <w:shd w:val="clear" w:color="auto" w:fill="CCFFCC"/>
          </w:tcPr>
          <w:p>
            <w:pPr>
              <w:spacing w:after="0"/>
              <w:rPr>
                <w:sz w:val="20"/>
                <w:szCs w:val="20"/>
                <w:color w:val="auto"/>
              </w:rPr>
            </w:pPr>
            <w:r>
              <w:rPr>
                <w:rFonts w:ascii="Arial" w:cs="Arial" w:eastAsia="Arial" w:hAnsi="Arial"/>
                <w:sz w:val="18"/>
                <w:szCs w:val="18"/>
                <w:color w:val="auto"/>
                <w:w w:val="91"/>
              </w:rPr>
              <w:t>Common warrants, $0.13 strike price, expire 6/15/2018</w:t>
            </w:r>
          </w:p>
        </w:tc>
        <w:tc>
          <w:tcPr>
            <w:tcW w:w="2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(Finance)</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770,934</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23,128</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17,731</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FFCC"/>
            </w:tcBorders>
            <w:gridSpan w:val="9"/>
          </w:tcPr>
          <w:p>
            <w:pPr>
              <w:ind w:left="340"/>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CFFCC"/>
            </w:tcBorders>
          </w:tcPr>
          <w:p>
            <w:pPr>
              <w:spacing w:after="0"/>
              <w:rPr>
                <w:sz w:val="18"/>
                <w:szCs w:val="18"/>
                <w:color w:val="auto"/>
              </w:rPr>
            </w:pPr>
          </w:p>
        </w:tc>
        <w:tc>
          <w:tcPr>
            <w:tcW w:w="1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2,281,112</w:t>
            </w:r>
          </w:p>
        </w:tc>
        <w:tc>
          <w:tcPr>
            <w:tcW w:w="160" w:type="dxa"/>
            <w:vAlign w:val="bottom"/>
            <w:tcBorders>
              <w:bottom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2,274,483</w:t>
            </w:r>
          </w:p>
        </w:tc>
        <w:tc>
          <w:tcPr>
            <w:tcW w:w="16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Silver Spring Networks, Inc.</w:t>
            </w:r>
          </w:p>
        </w:tc>
        <w:tc>
          <w:tcPr>
            <w:tcW w:w="2540" w:type="dxa"/>
            <w:vAlign w:val="bottom"/>
          </w:tcPr>
          <w:p>
            <w:pPr>
              <w:jc w:val="center"/>
              <w:spacing w:after="0" w:line="176" w:lineRule="exact"/>
              <w:rPr>
                <w:sz w:val="20"/>
                <w:szCs w:val="20"/>
                <w:color w:val="auto"/>
              </w:rPr>
            </w:pPr>
            <w:r>
              <w:rPr>
                <w:rFonts w:ascii="Arial" w:cs="Arial" w:eastAsia="Arial" w:hAnsi="Arial"/>
                <w:sz w:val="18"/>
                <w:szCs w:val="18"/>
                <w:color w:val="auto"/>
                <w:w w:val="93"/>
              </w:rPr>
              <w:t>Redwood City, CA</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Smart Grid</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110,143</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1,153,381</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1,101,430</w:t>
            </w: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auto"/>
            </w:tcBorders>
            <w:gridSpan w:val="5"/>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5"/>
              </w:rPr>
              <w:t>StormWind, LLC</w:t>
            </w:r>
          </w:p>
        </w:tc>
        <w:tc>
          <w:tcPr>
            <w:tcW w:w="2680" w:type="dxa"/>
            <w:vAlign w:val="bottom"/>
            <w:tcBorders>
              <w:bottom w:val="single" w:sz="8" w:color="CCFFCC"/>
            </w:tcBorders>
            <w:gridSpan w:val="4"/>
            <w:shd w:val="clear" w:color="auto" w:fill="CCFFCC"/>
          </w:tcPr>
          <w:p>
            <w:pPr>
              <w:spacing w:after="0"/>
              <w:rPr>
                <w:sz w:val="17"/>
                <w:szCs w:val="17"/>
                <w:color w:val="auto"/>
              </w:rPr>
            </w:pPr>
          </w:p>
        </w:tc>
        <w:tc>
          <w:tcPr>
            <w:tcW w:w="254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Scottsdale, AZ</w:t>
            </w:r>
          </w:p>
        </w:tc>
        <w:tc>
          <w:tcPr>
            <w:tcW w:w="130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9"/>
          </w:tcPr>
          <w:p>
            <w:pPr>
              <w:spacing w:after="0"/>
              <w:rPr>
                <w:sz w:val="20"/>
                <w:szCs w:val="20"/>
                <w:color w:val="auto"/>
              </w:rPr>
            </w:pPr>
            <w:r>
              <w:rPr>
                <w:rFonts w:ascii="Arial" w:cs="Arial" w:eastAsia="Arial" w:hAnsi="Arial"/>
                <w:sz w:val="18"/>
                <w:szCs w:val="18"/>
                <w:color w:val="auto"/>
              </w:rPr>
              <w:t>Preferred shares, Series B</w:t>
            </w: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Electronic</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1,711,111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959,209</w:t>
            </w:r>
          </w:p>
        </w:tc>
        <w:tc>
          <w:tcPr>
            <w:tcW w:w="980" w:type="dxa"/>
            <w:vAlign w:val="bottom"/>
          </w:tcPr>
          <w:p>
            <w:pPr>
              <w:jc w:val="right"/>
              <w:spacing w:after="0"/>
              <w:rPr>
                <w:sz w:val="20"/>
                <w:szCs w:val="20"/>
                <w:color w:val="auto"/>
              </w:rPr>
            </w:pPr>
            <w:r>
              <w:rPr>
                <w:rFonts w:ascii="Arial" w:cs="Arial" w:eastAsia="Arial" w:hAnsi="Arial"/>
                <w:sz w:val="18"/>
                <w:szCs w:val="18"/>
                <w:color w:val="auto"/>
              </w:rPr>
              <w:t>946,335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9"/>
            <w:shd w:val="clear" w:color="auto" w:fill="CCFFCC"/>
          </w:tcPr>
          <w:p>
            <w:pPr>
              <w:spacing w:after="0"/>
              <w:rPr>
                <w:sz w:val="20"/>
                <w:szCs w:val="20"/>
                <w:color w:val="auto"/>
              </w:rPr>
            </w:pPr>
            <w:r>
              <w:rPr>
                <w:rFonts w:ascii="Arial" w:cs="Arial" w:eastAsia="Arial" w:hAnsi="Arial"/>
                <w:sz w:val="18"/>
                <w:szCs w:val="18"/>
                <w:color w:val="auto"/>
                <w:w w:val="91"/>
              </w:rPr>
              <w:t>Preferred warrants, $0.64 strike price, expire 12/1/2012</w:t>
            </w:r>
          </w:p>
        </w:tc>
        <w:tc>
          <w:tcPr>
            <w:tcW w:w="2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Marketing and Business Services</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1,568,518</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53,665</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53,665</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FFCC"/>
            </w:tcBorders>
            <w:gridSpan w:val="9"/>
          </w:tcPr>
          <w:p>
            <w:pPr>
              <w:ind w:left="340"/>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CFFCC"/>
            </w:tcBorders>
          </w:tcPr>
          <w:p>
            <w:pPr>
              <w:spacing w:after="0"/>
              <w:rPr>
                <w:sz w:val="18"/>
                <w:szCs w:val="18"/>
                <w:color w:val="auto"/>
              </w:rPr>
            </w:pPr>
          </w:p>
        </w:tc>
        <w:tc>
          <w:tcPr>
            <w:tcW w:w="1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1,012,874</w:t>
            </w:r>
          </w:p>
        </w:tc>
        <w:tc>
          <w:tcPr>
            <w:tcW w:w="160" w:type="dxa"/>
            <w:vAlign w:val="bottom"/>
            <w:tcBorders>
              <w:bottom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9"/>
          </w:tcPr>
          <w:p>
            <w:pPr>
              <w:spacing w:after="0" w:line="216" w:lineRule="exact"/>
              <w:rPr>
                <w:sz w:val="20"/>
                <w:szCs w:val="20"/>
                <w:color w:val="auto"/>
              </w:rPr>
            </w:pPr>
            <w:r>
              <w:rPr>
                <w:rFonts w:ascii="Arial" w:cs="Arial" w:eastAsia="Arial" w:hAnsi="Arial"/>
                <w:sz w:val="16"/>
                <w:szCs w:val="16"/>
                <w:b w:val="1"/>
                <w:bCs w:val="1"/>
                <w:color w:val="auto"/>
              </w:rPr>
              <w:t xml:space="preserve">The Echo System Corp. </w:t>
            </w:r>
            <w:r>
              <w:rPr>
                <w:rFonts w:ascii="Arial" w:cs="Arial" w:eastAsia="Arial" w:hAnsi="Arial"/>
                <w:sz w:val="25"/>
                <w:szCs w:val="25"/>
                <w:b w:val="1"/>
                <w:bCs w:val="1"/>
                <w:color w:val="auto"/>
                <w:vertAlign w:val="superscript"/>
              </w:rPr>
              <w:t>(1)</w:t>
            </w:r>
          </w:p>
        </w:tc>
        <w:tc>
          <w:tcPr>
            <w:tcW w:w="2540" w:type="dxa"/>
            <w:vAlign w:val="bottom"/>
          </w:tcPr>
          <w:p>
            <w:pPr>
              <w:jc w:val="center"/>
              <w:spacing w:after="0"/>
              <w:rPr>
                <w:sz w:val="20"/>
                <w:szCs w:val="20"/>
                <w:color w:val="auto"/>
              </w:rPr>
            </w:pPr>
            <w:r>
              <w:rPr>
                <w:rFonts w:ascii="Arial" w:cs="Arial" w:eastAsia="Arial" w:hAnsi="Arial"/>
                <w:sz w:val="18"/>
                <w:szCs w:val="18"/>
                <w:color w:val="auto"/>
                <w:w w:val="97"/>
              </w:rPr>
              <w:t>New York, NY</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Structured note, 6%, due 1/28/2013,</w:t>
            </w:r>
          </w:p>
        </w:tc>
        <w:tc>
          <w:tcPr>
            <w:tcW w:w="254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9"/>
            <w:shd w:val="clear" w:color="auto" w:fill="CCFFCC"/>
          </w:tcPr>
          <w:p>
            <w:pPr>
              <w:spacing w:after="0"/>
              <w:rPr>
                <w:sz w:val="20"/>
                <w:szCs w:val="20"/>
                <w:color w:val="auto"/>
              </w:rPr>
            </w:pPr>
            <w:r>
              <w:rPr>
                <w:rFonts w:ascii="Arial" w:cs="Arial" w:eastAsia="Arial" w:hAnsi="Arial"/>
                <w:sz w:val="18"/>
                <w:szCs w:val="18"/>
                <w:color w:val="auto"/>
                <w:w w:val="99"/>
              </w:rPr>
              <w:t>and warrant, $0.20 strike price, expires 11/14/2016</w:t>
            </w:r>
          </w:p>
        </w:tc>
        <w:tc>
          <w:tcPr>
            <w:tcW w:w="2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Social Analytics</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$500,000</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505,823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The rSmart Group, Inc.</w:t>
            </w:r>
          </w:p>
        </w:tc>
        <w:tc>
          <w:tcPr>
            <w:tcW w:w="254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Scottsdale, AZ</w:t>
            </w:r>
          </w:p>
        </w:tc>
        <w:tc>
          <w:tcPr>
            <w:tcW w:w="13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254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9"/>
          </w:tcPr>
          <w:p>
            <w:pPr>
              <w:spacing w:after="0" w:line="201" w:lineRule="exact"/>
              <w:rPr>
                <w:sz w:val="20"/>
                <w:szCs w:val="20"/>
                <w:color w:val="auto"/>
              </w:rPr>
            </w:pPr>
            <w:r>
              <w:rPr>
                <w:rFonts w:ascii="Arial" w:cs="Arial" w:eastAsia="Arial" w:hAnsi="Arial"/>
                <w:sz w:val="18"/>
                <w:szCs w:val="18"/>
                <w:color w:val="auto"/>
              </w:rPr>
              <w:t>Preferred shares, Series B</w:t>
            </w:r>
          </w:p>
        </w:tc>
        <w:tc>
          <w:tcPr>
            <w:tcW w:w="2540" w:type="dxa"/>
            <w:vAlign w:val="bottom"/>
          </w:tcPr>
          <w:p>
            <w:pPr>
              <w:jc w:val="center"/>
              <w:spacing w:after="0" w:line="201" w:lineRule="exact"/>
              <w:rPr>
                <w:sz w:val="20"/>
                <w:szCs w:val="20"/>
                <w:color w:val="auto"/>
              </w:rPr>
            </w:pPr>
            <w:r>
              <w:rPr>
                <w:rFonts w:ascii="Arial" w:cs="Arial" w:eastAsia="Arial" w:hAnsi="Arial"/>
                <w:sz w:val="18"/>
                <w:szCs w:val="18"/>
                <w:color w:val="auto"/>
                <w:w w:val="91"/>
              </w:rPr>
              <w:t>Higher Education</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Learning Platform</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480,769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513,311</w:t>
            </w: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TrueCar, Inc.</w:t>
            </w:r>
          </w:p>
        </w:tc>
        <w:tc>
          <w:tcPr>
            <w:tcW w:w="2540" w:type="dxa"/>
            <w:vAlign w:val="bottom"/>
          </w:tcPr>
          <w:p>
            <w:pPr>
              <w:jc w:val="center"/>
              <w:spacing w:after="0" w:line="176" w:lineRule="exact"/>
              <w:rPr>
                <w:sz w:val="20"/>
                <w:szCs w:val="20"/>
                <w:color w:val="auto"/>
              </w:rPr>
            </w:pPr>
            <w:r>
              <w:rPr>
                <w:rFonts w:ascii="Arial" w:cs="Arial" w:eastAsia="Arial" w:hAnsi="Arial"/>
                <w:sz w:val="18"/>
                <w:szCs w:val="18"/>
                <w:color w:val="auto"/>
                <w:w w:val="92"/>
              </w:rPr>
              <w:t>Santa Monica, CA</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Common shares</w:t>
            </w:r>
          </w:p>
        </w:tc>
        <w:tc>
          <w:tcPr>
            <w:tcW w:w="25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6"/>
              </w:rPr>
              <w:t>Online</w:t>
            </w:r>
          </w:p>
        </w:tc>
        <w:tc>
          <w:tcPr>
            <w:tcW w:w="13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Marketplace (Cars)</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377,358</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2,014,551</w:t>
            </w: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1,999,997</w:t>
            </w: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Twitter, Inc.</w:t>
            </w:r>
          </w:p>
        </w:tc>
        <w:tc>
          <w:tcPr>
            <w:tcW w:w="254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San Francisco, CA</w:t>
            </w:r>
          </w:p>
        </w:tc>
        <w:tc>
          <w:tcPr>
            <w:tcW w:w="13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1860" w:type="dxa"/>
            <w:vAlign w:val="bottom"/>
            <w:tcBorders>
              <w:top w:val="single" w:sz="8" w:color="CCFFCC"/>
            </w:tcBorders>
            <w:shd w:val="clear" w:color="auto" w:fill="CCFFCC"/>
          </w:tcPr>
          <w:p>
            <w:pPr>
              <w:spacing w:after="0" w:line="20" w:lineRule="exact"/>
              <w:rPr>
                <w:sz w:val="1"/>
                <w:szCs w:val="1"/>
                <w:color w:val="auto"/>
              </w:rPr>
            </w:pPr>
          </w:p>
        </w:tc>
        <w:tc>
          <w:tcPr>
            <w:tcW w:w="254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9"/>
          </w:tcPr>
          <w:p>
            <w:pPr>
              <w:spacing w:after="0" w:line="201" w:lineRule="exact"/>
              <w:rPr>
                <w:sz w:val="20"/>
                <w:szCs w:val="20"/>
                <w:color w:val="auto"/>
              </w:rPr>
            </w:pPr>
            <w:r>
              <w:rPr>
                <w:rFonts w:ascii="Arial" w:cs="Arial" w:eastAsia="Arial" w:hAnsi="Arial"/>
                <w:sz w:val="18"/>
                <w:szCs w:val="18"/>
                <w:color w:val="auto"/>
              </w:rPr>
              <w:t>Common shares</w:t>
            </w:r>
          </w:p>
        </w:tc>
        <w:tc>
          <w:tcPr>
            <w:tcW w:w="2540" w:type="dxa"/>
            <w:vAlign w:val="bottom"/>
          </w:tcPr>
          <w:p>
            <w:pPr>
              <w:jc w:val="center"/>
              <w:spacing w:after="0" w:line="201" w:lineRule="exact"/>
              <w:rPr>
                <w:sz w:val="20"/>
                <w:szCs w:val="20"/>
                <w:color w:val="auto"/>
              </w:rPr>
            </w:pPr>
            <w:r>
              <w:rPr>
                <w:rFonts w:ascii="Arial" w:cs="Arial" w:eastAsia="Arial" w:hAnsi="Arial"/>
                <w:sz w:val="18"/>
                <w:szCs w:val="18"/>
                <w:color w:val="auto"/>
                <w:w w:val="93"/>
              </w:rPr>
              <w:t>Social</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Communication</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735,600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12,304,345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12,113,493</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ZocDoc Inc.</w:t>
            </w:r>
          </w:p>
        </w:tc>
        <w:tc>
          <w:tcPr>
            <w:tcW w:w="2540" w:type="dxa"/>
            <w:vAlign w:val="bottom"/>
          </w:tcPr>
          <w:p>
            <w:pPr>
              <w:jc w:val="center"/>
              <w:spacing w:after="0" w:line="176" w:lineRule="exact"/>
              <w:rPr>
                <w:sz w:val="20"/>
                <w:szCs w:val="20"/>
                <w:color w:val="auto"/>
              </w:rPr>
            </w:pPr>
            <w:r>
              <w:rPr>
                <w:rFonts w:ascii="Arial" w:cs="Arial" w:eastAsia="Arial" w:hAnsi="Arial"/>
                <w:sz w:val="18"/>
                <w:szCs w:val="18"/>
                <w:color w:val="auto"/>
                <w:w w:val="97"/>
              </w:rPr>
              <w:t>New York, NY</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Preferred shares</w:t>
            </w:r>
          </w:p>
        </w:tc>
        <w:tc>
          <w:tcPr>
            <w:tcW w:w="254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5"/>
              </w:rPr>
              <w:t>Online Medical</w:t>
            </w:r>
          </w:p>
        </w:tc>
        <w:tc>
          <w:tcPr>
            <w:tcW w:w="13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25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Scheduling</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200,000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3,563,178</w:t>
            </w: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tcBorders>
              <w:bottom w:val="single" w:sz="8" w:color="auto"/>
            </w:tcBorders>
            <w:gridSpan w:val="3"/>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4"/>
              </w:rPr>
              <w:t>ZoomSystems</w:t>
            </w:r>
          </w:p>
        </w:tc>
        <w:tc>
          <w:tcPr>
            <w:tcW w:w="2980" w:type="dxa"/>
            <w:vAlign w:val="bottom"/>
            <w:tcBorders>
              <w:bottom w:val="single" w:sz="8" w:color="CCFFCC"/>
            </w:tcBorders>
            <w:gridSpan w:val="6"/>
            <w:shd w:val="clear" w:color="auto" w:fill="CCFFCC"/>
          </w:tcPr>
          <w:p>
            <w:pPr>
              <w:spacing w:after="0"/>
              <w:rPr>
                <w:sz w:val="17"/>
                <w:szCs w:val="17"/>
                <w:color w:val="auto"/>
              </w:rPr>
            </w:pPr>
          </w:p>
        </w:tc>
        <w:tc>
          <w:tcPr>
            <w:tcW w:w="254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San Francisco, CA</w:t>
            </w:r>
          </w:p>
        </w:tc>
        <w:tc>
          <w:tcPr>
            <w:tcW w:w="1300" w:type="dxa"/>
            <w:vAlign w:val="bottom"/>
            <w:tcBorders>
              <w:bottom w:val="single" w:sz="8" w:color="CCFFCC"/>
            </w:tcBorders>
            <w:shd w:val="clear" w:color="auto" w:fill="CCFFCC"/>
          </w:tcPr>
          <w:p>
            <w:pPr>
              <w:spacing w:after="0"/>
              <w:rPr>
                <w:sz w:val="17"/>
                <w:szCs w:val="17"/>
                <w:color w:val="auto"/>
              </w:rPr>
            </w:pPr>
          </w:p>
        </w:tc>
        <w:tc>
          <w:tcPr>
            <w:tcW w:w="100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220" w:type="dxa"/>
            <w:vAlign w:val="bottom"/>
            <w:tcBorders>
              <w:bottom w:val="single" w:sz="8" w:color="CCFFCC"/>
            </w:tcBorders>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gridSpan w:val="9"/>
          </w:tcPr>
          <w:p>
            <w:pPr>
              <w:spacing w:after="0" w:line="201" w:lineRule="exact"/>
              <w:rPr>
                <w:sz w:val="20"/>
                <w:szCs w:val="20"/>
                <w:color w:val="auto"/>
              </w:rPr>
            </w:pPr>
            <w:r>
              <w:rPr>
                <w:rFonts w:ascii="Arial" w:cs="Arial" w:eastAsia="Arial" w:hAnsi="Arial"/>
                <w:sz w:val="18"/>
                <w:szCs w:val="18"/>
                <w:color w:val="auto"/>
              </w:rPr>
              <w:t>Preferred shares, Series A</w:t>
            </w:r>
          </w:p>
        </w:tc>
        <w:tc>
          <w:tcPr>
            <w:tcW w:w="2540" w:type="dxa"/>
            <w:vAlign w:val="bottom"/>
          </w:tcPr>
          <w:p>
            <w:pPr>
              <w:jc w:val="center"/>
              <w:spacing w:after="0" w:line="201" w:lineRule="exact"/>
              <w:rPr>
                <w:sz w:val="20"/>
                <w:szCs w:val="20"/>
                <w:color w:val="auto"/>
              </w:rPr>
            </w:pPr>
            <w:r>
              <w:rPr>
                <w:rFonts w:ascii="Arial" w:cs="Arial" w:eastAsia="Arial" w:hAnsi="Arial"/>
                <w:sz w:val="18"/>
                <w:szCs w:val="18"/>
                <w:color w:val="auto"/>
                <w:w w:val="93"/>
              </w:rPr>
              <w:t>Smart e-tail</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(Retail)</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1,250,000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260,476</w:t>
            </w: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25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9"/>
          </w:tcPr>
          <w:p>
            <w:pPr>
              <w:spacing w:after="0"/>
              <w:rPr>
                <w:sz w:val="20"/>
                <w:szCs w:val="20"/>
                <w:color w:val="auto"/>
              </w:rPr>
            </w:pPr>
            <w:r>
              <w:rPr>
                <w:rFonts w:ascii="Arial" w:cs="Arial" w:eastAsia="Arial" w:hAnsi="Arial"/>
                <w:sz w:val="18"/>
                <w:szCs w:val="18"/>
                <w:b w:val="1"/>
                <w:bCs w:val="1"/>
                <w:color w:val="auto"/>
              </w:rPr>
              <w:t>Total Portfolio Investments</w:t>
            </w:r>
          </w:p>
        </w:tc>
        <w:tc>
          <w:tcPr>
            <w:tcW w:w="2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65,658,866</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64,078,150</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7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Shares / Par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3"/>
          </w:tcPr>
          <w:p>
            <w:pPr>
              <w:ind w:left="1080"/>
              <w:spacing w:after="0"/>
              <w:rPr>
                <w:sz w:val="20"/>
                <w:szCs w:val="20"/>
                <w:color w:val="auto"/>
              </w:rPr>
            </w:pPr>
            <w:r>
              <w:rPr>
                <w:rFonts w:ascii="Arial" w:cs="Arial" w:eastAsia="Arial" w:hAnsi="Arial"/>
                <w:sz w:val="18"/>
                <w:szCs w:val="18"/>
                <w:b w:val="1"/>
                <w:bCs w:val="1"/>
                <w:color w:val="auto"/>
              </w:rPr>
              <w:t>Non-Portfolio Investments</w:t>
            </w:r>
          </w:p>
        </w:tc>
        <w:tc>
          <w:tcPr>
            <w:tcW w:w="2720" w:type="dxa"/>
            <w:vAlign w:val="bottom"/>
          </w:tcPr>
          <w:p>
            <w:pPr>
              <w:jc w:val="right"/>
              <w:ind w:right="330"/>
              <w:spacing w:after="0"/>
              <w:rPr>
                <w:sz w:val="20"/>
                <w:szCs w:val="20"/>
                <w:color w:val="auto"/>
              </w:rPr>
            </w:pPr>
            <w:r>
              <w:rPr>
                <w:rFonts w:ascii="Arial" w:cs="Arial" w:eastAsia="Arial" w:hAnsi="Arial"/>
                <w:sz w:val="18"/>
                <w:szCs w:val="18"/>
                <w:b w:val="1"/>
                <w:bCs w:val="1"/>
                <w:color w:val="auto"/>
              </w:rPr>
              <w:t>Headquarters / Industry</w:t>
            </w: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89"/>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United States Treasury </w:t>
            </w:r>
            <w:r>
              <w:rPr>
                <w:rFonts w:ascii="Arial" w:cs="Arial" w:eastAsia="Arial" w:hAnsi="Arial"/>
                <w:sz w:val="25"/>
                <w:szCs w:val="25"/>
                <w:b w:val="1"/>
                <w:bCs w:val="1"/>
                <w:color w:val="auto"/>
                <w:vertAlign w:val="superscript"/>
              </w:rPr>
              <w:t>(1)</w:t>
            </w:r>
          </w:p>
        </w:tc>
        <w:tc>
          <w:tcPr>
            <w:tcW w:w="27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80" w:type="dxa"/>
            <w:vAlign w:val="bottom"/>
            <w:tcBorders>
              <w:top w:val="single" w:sz="8" w:color="CCFFCC"/>
            </w:tcBorders>
            <w:shd w:val="clear" w:color="auto" w:fill="CCFFCC"/>
          </w:tcPr>
          <w:p>
            <w:pPr>
              <w:spacing w:after="0" w:line="20" w:lineRule="exact"/>
              <w:rPr>
                <w:sz w:val="1"/>
                <w:szCs w:val="1"/>
                <w:color w:val="auto"/>
              </w:rPr>
            </w:pPr>
          </w:p>
        </w:tc>
        <w:tc>
          <w:tcPr>
            <w:tcW w:w="27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United States Treasury Bill, 0%, due 1/26/2012</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19,999,128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20,000,044</w:t>
            </w:r>
          </w:p>
        </w:tc>
        <w:tc>
          <w:tcPr>
            <w:tcW w:w="1220" w:type="dxa"/>
            <w:vAlign w:val="bottom"/>
          </w:tcPr>
          <w:p>
            <w:pPr>
              <w:jc w:val="right"/>
              <w:spacing w:after="0"/>
              <w:rPr>
                <w:sz w:val="20"/>
                <w:szCs w:val="20"/>
                <w:color w:val="auto"/>
              </w:rPr>
            </w:pPr>
            <w:r>
              <w:rPr>
                <w:rFonts w:ascii="Arial" w:cs="Arial" w:eastAsia="Arial" w:hAnsi="Arial"/>
                <w:sz w:val="18"/>
                <w:szCs w:val="18"/>
                <w:color w:val="auto"/>
              </w:rPr>
              <w:t>27.97%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80" w:type="dxa"/>
            <w:vAlign w:val="bottom"/>
            <w:shd w:val="clear" w:color="auto" w:fill="CCFFCC"/>
          </w:tcPr>
          <w:p>
            <w:pPr>
              <w:spacing w:after="0"/>
              <w:rPr>
                <w:sz w:val="18"/>
                <w:szCs w:val="18"/>
                <w:color w:val="auto"/>
              </w:rPr>
            </w:pPr>
          </w:p>
        </w:tc>
        <w:tc>
          <w:tcPr>
            <w:tcW w:w="27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xml:space="preserve">Money Market Funds </w:t>
            </w:r>
            <w:r>
              <w:rPr>
                <w:rFonts w:ascii="Arial" w:cs="Arial" w:eastAsia="Arial" w:hAnsi="Arial"/>
                <w:sz w:val="25"/>
                <w:szCs w:val="25"/>
                <w:b w:val="1"/>
                <w:bCs w:val="1"/>
                <w:color w:val="auto"/>
                <w:vertAlign w:val="superscript"/>
              </w:rPr>
              <w:t>(1)</w:t>
            </w: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Fidelity Institutional Money Market Funds</w:t>
            </w:r>
          </w:p>
        </w:tc>
        <w:tc>
          <w:tcPr>
            <w:tcW w:w="27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Money Market Portfolio</w:t>
            </w:r>
          </w:p>
        </w:tc>
        <w:tc>
          <w:tcPr>
            <w:tcW w:w="27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3,500,000</w:t>
            </w:r>
          </w:p>
        </w:tc>
        <w:tc>
          <w:tcPr>
            <w:tcW w:w="122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Prime Money Market Portfolio</w:t>
            </w:r>
          </w:p>
        </w:tc>
        <w:tc>
          <w:tcPr>
            <w:tcW w:w="27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3,500,000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FFCC"/>
            </w:tcBorders>
            <w:gridSpan w:val="3"/>
          </w:tcPr>
          <w:p>
            <w:pPr>
              <w:ind w:left="160"/>
              <w:spacing w:after="0"/>
              <w:rPr>
                <w:sz w:val="20"/>
                <w:szCs w:val="20"/>
                <w:color w:val="auto"/>
              </w:rPr>
            </w:pPr>
            <w:r>
              <w:rPr>
                <w:rFonts w:ascii="Arial" w:cs="Arial" w:eastAsia="Arial" w:hAnsi="Arial"/>
                <w:sz w:val="18"/>
                <w:szCs w:val="18"/>
                <w:color w:val="auto"/>
              </w:rPr>
              <w:t>Total Money Market Funds</w:t>
            </w:r>
          </w:p>
        </w:tc>
        <w:tc>
          <w:tcPr>
            <w:tcW w:w="2720" w:type="dxa"/>
            <w:vAlign w:val="bottom"/>
            <w:tcBorders>
              <w:bottom w:val="single" w:sz="8" w:color="CCFFCC"/>
            </w:tcBorders>
          </w:tcPr>
          <w:p>
            <w:pPr>
              <w:spacing w:after="0"/>
              <w:rPr>
                <w:sz w:val="18"/>
                <w:szCs w:val="18"/>
                <w:color w:val="auto"/>
              </w:rPr>
            </w:pPr>
          </w:p>
        </w:tc>
        <w:tc>
          <w:tcPr>
            <w:tcW w:w="104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6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2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80" w:type="dxa"/>
            <w:vAlign w:val="bottom"/>
            <w:shd w:val="clear" w:color="auto" w:fill="CCFFCC"/>
          </w:tcPr>
          <w:p>
            <w:pPr>
              <w:spacing w:after="0"/>
              <w:rPr>
                <w:sz w:val="18"/>
                <w:szCs w:val="18"/>
                <w:color w:val="auto"/>
              </w:rPr>
            </w:pPr>
          </w:p>
        </w:tc>
        <w:tc>
          <w:tcPr>
            <w:tcW w:w="27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2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92,657,994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91,078,194</w:t>
            </w:r>
          </w:p>
        </w:tc>
        <w:tc>
          <w:tcPr>
            <w:tcW w:w="1220" w:type="dxa"/>
            <w:vAlign w:val="bottom"/>
          </w:tcPr>
          <w:p>
            <w:pPr>
              <w:jc w:val="right"/>
              <w:spacing w:after="0"/>
              <w:rPr>
                <w:sz w:val="20"/>
                <w:szCs w:val="20"/>
                <w:color w:val="auto"/>
              </w:rPr>
            </w:pPr>
            <w:r>
              <w:rPr>
                <w:rFonts w:ascii="Arial" w:cs="Arial" w:eastAsia="Arial" w:hAnsi="Arial"/>
                <w:sz w:val="18"/>
                <w:szCs w:val="18"/>
                <w:color w:val="auto"/>
              </w:rPr>
              <w:t>127.37%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14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Investment is income producing.</w:t>
      </w:r>
    </w:p>
    <w:p>
      <w:pPr>
        <w:spacing w:after="0" w:line="242" w:lineRule="exact"/>
        <w:rPr>
          <w:rFonts w:ascii="Arial" w:cs="Arial" w:eastAsia="Arial" w:hAnsi="Arial"/>
          <w:sz w:val="26"/>
          <w:szCs w:val="26"/>
          <w:b w:val="1"/>
          <w:bCs w:val="1"/>
          <w:color w:val="auto"/>
          <w:vertAlign w:val="superscript"/>
        </w:rPr>
      </w:pPr>
    </w:p>
    <w:p>
      <w:pPr>
        <w:ind w:right="60" w:firstLine="8"/>
        <w:spacing w:after="0" w:line="221" w:lineRule="auto"/>
        <w:tabs>
          <w:tab w:leader="none" w:pos="220"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On November 8, 2011, Groupon, Inc. priced its initial public offering, selling 35,000,000 shares at a price of $20.00 per share. GSV Capital Corp.’s shares in Groupon are subject to a lock-up agreement that expires on May 1, 2012.</w:t>
      </w:r>
    </w:p>
    <w:p>
      <w:pPr>
        <w:spacing w:after="0" w:line="244" w:lineRule="exact"/>
        <w:rPr>
          <w:rFonts w:ascii="Arial" w:cs="Arial" w:eastAsia="Arial" w:hAnsi="Arial"/>
          <w:sz w:val="26"/>
          <w:szCs w:val="26"/>
          <w:b w:val="1"/>
          <w:bCs w:val="1"/>
          <w:color w:val="auto"/>
          <w:vertAlign w:val="superscript"/>
        </w:rPr>
      </w:pPr>
    </w:p>
    <w:p>
      <w:pPr>
        <w:ind w:right="120" w:firstLine="8"/>
        <w:spacing w:after="0" w:line="256" w:lineRule="auto"/>
        <w:tabs>
          <w:tab w:leader="none" w:pos="220"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a $4 million unsecured promissory note with an interest rate of 10% and maturity date of August 15, 2012 that was issued by PJB Fund LLC that may be repaid, at PJB Fund LLC’s election, either by transfer of a certain number of shares of common stock of Zynga, Inc. or with a cash amount of equivalent value. The amount payable under the note will be equal to the face amount, plus the greater of accrued interest (at a rate of 10%) or a return based on the relative value of Zynga, Inc. To the extent the borrower repays the note in cash, GSV Capital Corp. would have no further direct or indirect interest in Zynga, Inc. On December 15, 2011, Zynga, Inc. priced its initial public offering, selling 100,000,000 shares at a price of $10.00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GSV Capital Corp. (formerly NeXt Innovation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(formerly NeXt Asset Management, “GSV Asset Management”).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date of inception is January 6, 2011, which is the date it commenced its development stage activities. On February 28, 2011, the Company, which had not yet begun investment operations, issued 100 shares which were owned by an officer of the Company who is also a principal of GSV Asset Management. On April 28, 2011, the Company priced its initial public offering, selling 3,335,000 shares at a price of $15.00 per share. The initial public offering closed on May 3, 2011, resulting in net proceeds to the Company of approximately $46.5 million. The Company’s shares are currently listed on the NASDAQ Capital Market under the symbol “GSVC”. The Company began its investment operations during the second quarter.</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28, 2011, the board of directors (the “Board”) of the Company approved Articles of Amendment and Restatement, reflecting a change in the Company’s name from NeXt BDC Capital Corp. to NeXt Innovation Corp., which Articles of Amendment and Restatement became effective upon filing with the State Department of Assessment and Taxation of the State of Maryland on March 29, 2011. Then, on May 26, 2011, the board of directors of the Company approved Articles of Amendment, reflecting a change in the Company’s name from NeXt Innovation Corp. to GSV Capital Corp., which Articles of Amendment became effective upon filing with the State Department of Assessment and Taxation of the State of Maryland on May 26, 2011.</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26, 2011, the Company priced a secondary offering, selling 2,185,000 of common shares at a price of $14.15 per share, including an exercise in full by the underwriters of their option to purchase an additional 285,000 shares of common stock to cover overallotments. The secondary offering resulted in net proceeds to the Company of approximately $29.6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10, 2012, the Company priced a secondary offering, selling 6,900,000 of common shares at a price of $15.00 per share, including an exercise in full by the underwriters of their option to purchase an additional 900,000 shares of common stock to cover overallotments. The secondary offering resulted in net proceeds to the Company of approximately $96.2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interim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2012. The interim unaudited financial statements and notes hereto should be read in conjunction with the audited financial statements and notes thereto contained in the Company’s Annual Report on Form 10-K for the year ended December 31, 2011.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In accordance with Regulation S-X under the Securities Act of 1933 and Securities Exchange Act of 1934, the Company does not consolidate portfolio company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financial statements requires the Company to make a number of significant estimates. These include estimates of fair value of certain assets and liabilities and other estimates that affect the reported amounts of certain assets and liabilities as of the date of the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181"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ind w:left="660" w:right="2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the ability to access (examples include active exchange-traded equity securities, exchange-traded derivatives, and most U.S. Government and agency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ind w:left="1300" w:hanging="320"/>
        <w:spacing w:after="0" w:line="250"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ind w:left="1300" w:hanging="320"/>
        <w:spacing w:after="0" w:line="26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 At March 31, 2012 and December 31, 2011, no investments were deemed to be control or affiliated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places its cash with U.S. Bank, N.A. and First Republic Bank, N.A., and at times, cash held in these accounts may exceed the Federal Deposit Insurance Corporation insured limit. The Company also invests a portion of its cash in money market funds, within limitations of the 1940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income, adjusted for amortization of premium and accretion of discount, is recorded on an accrual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Commissions and other costs associated with an investment transaction, including legal expenses, are included in the cost basis of purchases and deducted from the proceeds of sales. The Company makes certain acquisitions on the secondary market which involves making deposits to escrow accounts until certain conditions are met including the underlying private company’s right of first refusal. If the underlying private company does not exercise its right to first refusal and all other conditions are met, then the funds in the escrow account are delivered to the seller and the account is closed. These transactions are reflected on the Statement of Assets and Liabilities as Escrow deposits. At March 31, 2012 and December 31, 2011, the Company had $0 in Escrow deposits.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 for Unsettled Securities Transaction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Payable for unsettled securities transaction relates to the purchase of the United States Treasury Bill that was unsettled at December 31, 2011 and settled in January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intends to elect to be treated as a regulated investment company (“RIC”) under subchapter M of the Internal Revenue Code of 1986, as amended, and intends to operate in a manner so as to qualify for the tax treatment applicable to RICs. In order to qualify as a RIC, among other things, the Company is required to distribute to its stockholders on a timely basis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financial statements of the Company.</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evaluates tax positions taken or expected to be taken in the course of preparing its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Organization costs include costs relating to the formation and incorporation of the business. These costs were expensed as incurred. For the period from January 6, 2011 (date of inception) to March 31, 2011, the Company has incurred and expensed organization costs of $94,640. The Company did not incur organization costs for the three months ended March 31, 2012.</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Offering costs include legal fees and other costs pertaining to the public offerings. As of March 31, 2012, $118,972 of offering costs were deferred which are related to our shelf offering and $326,077 of offering costs were offset against capital proceeds from the secondary offering on February 10, 2012. As of March 31, 2011, these costs were deferred and were offset against capital proceeds from the initial public offering on April 28, 2011. As of December 31, 2011, $56,436 of offering costs were deferred which were related to our offering on February 10,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and diluted earnings (loss) per common share is calculated using the weighted average number of shares outstanding for the period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(loss) per share are the same since there are no potentially dilutive securities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Accounts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capital accounts including undistributed net investment income,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 be reclassified between financial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 For the period from January 6, 2011 (date of inception) to December 31, 2011, the net investment loss of $2,033,864 was determined to be a permanent difference and reduced paid-in capital in excess of par in the Statement of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The amended guidance is to be applied prospectively. For public entities, the guidance is effective during interim and annual periods beginning after December 15, 2011. The adoption of this guidance did not have a significant impact on our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RELATED 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For the period from the close of the initial public offering through and including December 31, 2011, the fee was payable monthly in arrears, and was calculated based on the initial value of the Company’s assets upon the closing of the public offering. For the three months ended March 31, 2012, GSV Asset Management earned $621,926 in base fees and $0 in incentive fees. For the period from January 6, 2011 (date of inception) to March 31, 2011, no services were performed by GSV Asset Management, and no fees were paid or accrued.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As of March 31, 2012, the Company was due $14,220 from GSV Asset Management for reimbursement of travel-related expenses paid for by the Company that were the responsibility of GSV Asset Management, and is included in the Statement of Assets and Liabilities.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March 31, 2012, the Company owed certain officers and directors $5,669 for reimbursements of other expenses. The Company owed GSV Asset Management $16,524 for reimbursements of travel-related expenses. These are included in the Statement of Assets and Liabilities.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the Company was due $13,470 from GSV Asset Management for reimbursement of travel-related expenses paid for by the Company that were the responsibility of GSV Asset Management, and is included in the Statement of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the Company owed certain officers and directors $10,782 for reimbursements of travel-related and other expenses. The Company owed GSV Asset Management $78,427 for management fees and reimbursements of travel-related and other expenses. These are included in the Statement of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was $345,594 in such costs incurred under the Administration Agreement for the three months ended March 31, 2012. There were no costs incurred under the Administration Agreement for the period from January 6, 2011 (date of inception) to March 31,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March 31, 2012, the Company had 29 investments in 25 portfolio companies. The total cost and fair value of the 29 positions were $76,325,515 and $75,756,910, respectively. At December 31, 2011, the Company had 24 investments in 21 portfolio companies. The total cost and fair value of the 24 positions were $65,658,866 and $64,078,150, respectively. The composition of our investments as of March 31, 2012 and December 31, 2011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8"/>
                <w:szCs w:val="18"/>
                <w:b w:val="1"/>
                <w:bCs w:val="1"/>
                <w:color w:val="auto"/>
              </w:rPr>
              <w:t>March 31, 2012 (Unaudited)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6"/>
          </w:tcPr>
          <w:p>
            <w:pPr>
              <w:ind w:left="520"/>
              <w:spacing w:after="0"/>
              <w:rPr>
                <w:sz w:val="20"/>
                <w:szCs w:val="20"/>
                <w:color w:val="auto"/>
              </w:rPr>
            </w:pPr>
            <w:r>
              <w:rPr>
                <w:rFonts w:ascii="Arial" w:cs="Arial" w:eastAsia="Arial" w:hAnsi="Arial"/>
                <w:sz w:val="18"/>
                <w:szCs w:val="18"/>
                <w:b w:val="1"/>
                <w:bCs w:val="1"/>
                <w:color w:val="auto"/>
              </w:rPr>
              <w:t>December 31, 2011</w:t>
            </w:r>
          </w:p>
        </w:tc>
      </w:tr>
      <w:tr>
        <w:trPr>
          <w:trHeight w:val="223"/>
        </w:trPr>
        <w:tc>
          <w:tcPr>
            <w:tcW w:w="3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340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Common Stock</w:t>
            </w:r>
          </w:p>
        </w:tc>
        <w:tc>
          <w:tcPr>
            <w:tcW w:w="13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FFCC"/>
          </w:tcPr>
          <w:p>
            <w:pPr>
              <w:ind w:left="380"/>
              <w:spacing w:after="0"/>
              <w:rPr>
                <w:sz w:val="20"/>
                <w:szCs w:val="20"/>
                <w:color w:val="auto"/>
              </w:rPr>
            </w:pPr>
            <w:r>
              <w:rPr>
                <w:rFonts w:ascii="Arial" w:cs="Arial" w:eastAsia="Arial" w:hAnsi="Arial"/>
                <w:sz w:val="18"/>
                <w:szCs w:val="18"/>
                <w:color w:val="auto"/>
                <w:w w:val="86"/>
              </w:rPr>
              <w:t>44,367,755</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43,825,353</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43,451,594</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w w:val="99"/>
              </w:rPr>
              <w:t>27,579,385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27,596,318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17,595,397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17,453,085</w:t>
            </w:r>
          </w:p>
        </w:tc>
      </w:tr>
      <w:tr>
        <w:trPr>
          <w:trHeight w:val="216"/>
        </w:trPr>
        <w:tc>
          <w:tcPr>
            <w:tcW w:w="34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Structured Note</w:t>
            </w:r>
          </w:p>
        </w:tc>
        <w:tc>
          <w:tcPr>
            <w:tcW w:w="1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4,279,259</w:t>
            </w:r>
          </w:p>
        </w:tc>
        <w:tc>
          <w:tcPr>
            <w:tcW w:w="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4,250,000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4,535,082</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r>
      <w:tr>
        <w:trPr>
          <w:trHeight w:val="230"/>
        </w:trPr>
        <w:tc>
          <w:tcPr>
            <w:tcW w:w="340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99,116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76,793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71,396</w:t>
            </w:r>
          </w:p>
        </w:tc>
      </w:tr>
      <w:tr>
        <w:trPr>
          <w:trHeight w:val="210"/>
        </w:trPr>
        <w:tc>
          <w:tcPr>
            <w:tcW w:w="340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Total Portfolio Investments</w:t>
            </w:r>
          </w:p>
        </w:tc>
        <w:tc>
          <w:tcPr>
            <w:tcW w:w="13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ind w:left="380"/>
              <w:spacing w:after="0"/>
              <w:rPr>
                <w:sz w:val="20"/>
                <w:szCs w:val="20"/>
                <w:color w:val="auto"/>
              </w:rPr>
            </w:pPr>
            <w:r>
              <w:rPr>
                <w:rFonts w:ascii="Arial" w:cs="Arial" w:eastAsia="Arial" w:hAnsi="Arial"/>
                <w:sz w:val="18"/>
                <w:szCs w:val="18"/>
                <w:color w:val="auto"/>
                <w:w w:val="86"/>
              </w:rPr>
              <w:t>76,325,515</w:t>
            </w: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75,756,910</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65,658,866</w:t>
            </w: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64,078,150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Non-Portfolio Investments</w:t>
            </w:r>
          </w:p>
        </w:tc>
        <w:tc>
          <w:tcPr>
            <w:tcW w:w="13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w w:val="99"/>
              </w:rPr>
              <w:t>16,000,000</w:t>
            </w:r>
          </w:p>
        </w:tc>
        <w:tc>
          <w:tcPr>
            <w:tcW w:w="1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26,999,128</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27,000,044</w:t>
            </w:r>
          </w:p>
        </w:tc>
      </w:tr>
      <w:tr>
        <w:trPr>
          <w:trHeight w:val="223"/>
        </w:trPr>
        <w:tc>
          <w:tcPr>
            <w:tcW w:w="340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1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92,325,515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91,756,910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92,657,994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ind w:firstLine="648"/>
        <w:spacing w:after="0" w:line="277"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Levels 2 and 3 investments as of March 31, 2012.</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Asset</w:t>
            </w:r>
          </w:p>
        </w:tc>
        <w:tc>
          <w:tcPr>
            <w:tcW w:w="3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Range</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1"/>
              </w:rPr>
              <w:t>Common stock</w:t>
            </w:r>
          </w:p>
        </w:tc>
        <w:tc>
          <w:tcPr>
            <w:tcW w:w="340" w:type="dxa"/>
            <w:vAlign w:val="bottom"/>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1,367,472</w:t>
            </w:r>
          </w:p>
        </w:tc>
        <w:tc>
          <w:tcPr>
            <w:tcW w:w="250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4"/>
              </w:rPr>
              <w:t>Discount for lack of marketability</w:t>
            </w:r>
          </w:p>
        </w:tc>
        <w:tc>
          <w:tcPr>
            <w:tcW w:w="1920" w:type="dxa"/>
            <w:vAlign w:val="bottom"/>
            <w:tcBorders>
              <w:right w:val="single" w:sz="8" w:color="auto"/>
            </w:tcBorders>
            <w:vMerge w:val="restart"/>
            <w:shd w:val="clear" w:color="auto" w:fill="CCFFCC"/>
          </w:tcPr>
          <w:p>
            <w:pPr>
              <w:jc w:val="right"/>
              <w:ind w:right="7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2"/>
              </w:rPr>
              <w:t>in public company</w:t>
            </w:r>
          </w:p>
        </w:tc>
        <w:tc>
          <w:tcPr>
            <w:tcW w:w="340" w:type="dxa"/>
            <w:vAlign w:val="bottom"/>
            <w:vMerge w:val="continue"/>
            <w:shd w:val="clear" w:color="auto" w:fill="CCFFCC"/>
          </w:tcPr>
          <w:p>
            <w:pPr>
              <w:spacing w:after="0"/>
              <w:rPr>
                <w:sz w:val="10"/>
                <w:szCs w:val="10"/>
                <w:color w:val="auto"/>
              </w:rPr>
            </w:pPr>
          </w:p>
        </w:tc>
        <w:tc>
          <w:tcPr>
            <w:tcW w:w="1480" w:type="dxa"/>
            <w:vAlign w:val="bottom"/>
            <w:tcBorders>
              <w:right w:val="single" w:sz="8" w:color="auto"/>
            </w:tcBorders>
            <w:vMerge w:val="continue"/>
            <w:shd w:val="clear" w:color="auto" w:fill="CCFFCC"/>
          </w:tcPr>
          <w:p>
            <w:pPr>
              <w:spacing w:after="0"/>
              <w:rPr>
                <w:sz w:val="10"/>
                <w:szCs w:val="10"/>
                <w:color w:val="auto"/>
              </w:rPr>
            </w:pPr>
          </w:p>
        </w:tc>
        <w:tc>
          <w:tcPr>
            <w:tcW w:w="2500" w:type="dxa"/>
            <w:vAlign w:val="bottom"/>
            <w:tcBorders>
              <w:right w:val="single" w:sz="8" w:color="auto"/>
            </w:tcBorders>
            <w:vMerge w:val="continue"/>
            <w:shd w:val="clear" w:color="auto" w:fill="CCFFCC"/>
          </w:tcPr>
          <w:p>
            <w:pPr>
              <w:spacing w:after="0"/>
              <w:rPr>
                <w:sz w:val="10"/>
                <w:szCs w:val="10"/>
                <w:color w:val="auto"/>
              </w:rPr>
            </w:pPr>
          </w:p>
        </w:tc>
        <w:tc>
          <w:tcPr>
            <w:tcW w:w="2860" w:type="dxa"/>
            <w:vAlign w:val="bottom"/>
            <w:tcBorders>
              <w:right w:val="single" w:sz="8" w:color="auto"/>
            </w:tcBorders>
            <w:vMerge w:val="continue"/>
            <w:shd w:val="clear" w:color="auto" w:fill="CCFFCC"/>
          </w:tcPr>
          <w:p>
            <w:pPr>
              <w:spacing w:after="0"/>
              <w:rPr>
                <w:sz w:val="10"/>
                <w:szCs w:val="10"/>
                <w:color w:val="auto"/>
              </w:rPr>
            </w:pPr>
          </w:p>
        </w:tc>
        <w:tc>
          <w:tcPr>
            <w:tcW w:w="1920" w:type="dxa"/>
            <w:vAlign w:val="bottom"/>
            <w:tcBorders>
              <w:right w:val="single" w:sz="8" w:color="auto"/>
            </w:tcBorders>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shd w:val="clear" w:color="auto" w:fill="CCFFCC"/>
          </w:tcPr>
          <w:p>
            <w:pPr>
              <w:spacing w:after="0"/>
              <w:rPr>
                <w:sz w:val="9"/>
                <w:szCs w:val="9"/>
                <w:color w:val="auto"/>
              </w:rPr>
            </w:pPr>
          </w:p>
        </w:tc>
        <w:tc>
          <w:tcPr>
            <w:tcW w:w="340" w:type="dxa"/>
            <w:vAlign w:val="bottom"/>
            <w:tcBorders>
              <w:bottom w:val="single" w:sz="8" w:color="auto"/>
            </w:tcBorders>
            <w:shd w:val="clear" w:color="auto" w:fill="CCFFCC"/>
          </w:tcPr>
          <w:p>
            <w:pPr>
              <w:spacing w:after="0"/>
              <w:rPr>
                <w:sz w:val="9"/>
                <w:szCs w:val="9"/>
                <w:color w:val="auto"/>
              </w:rPr>
            </w:pPr>
          </w:p>
        </w:tc>
        <w:tc>
          <w:tcPr>
            <w:tcW w:w="1480" w:type="dxa"/>
            <w:vAlign w:val="bottom"/>
            <w:tcBorders>
              <w:bottom w:val="single" w:sz="8" w:color="auto"/>
              <w:right w:val="single" w:sz="8" w:color="auto"/>
            </w:tcBorders>
            <w:shd w:val="clear" w:color="auto" w:fill="CCFFCC"/>
          </w:tcPr>
          <w:p>
            <w:pPr>
              <w:spacing w:after="0"/>
              <w:rPr>
                <w:sz w:val="9"/>
                <w:szCs w:val="9"/>
                <w:color w:val="auto"/>
              </w:rPr>
            </w:pPr>
          </w:p>
        </w:tc>
        <w:tc>
          <w:tcPr>
            <w:tcW w:w="2500" w:type="dxa"/>
            <w:vAlign w:val="bottom"/>
            <w:tcBorders>
              <w:bottom w:val="single" w:sz="8" w:color="auto"/>
              <w:right w:val="single" w:sz="8" w:color="auto"/>
            </w:tcBorders>
            <w:shd w:val="clear" w:color="auto" w:fill="CCFFCC"/>
          </w:tcPr>
          <w:p>
            <w:pPr>
              <w:spacing w:after="0"/>
              <w:rPr>
                <w:sz w:val="9"/>
                <w:szCs w:val="9"/>
                <w:color w:val="auto"/>
              </w:rPr>
            </w:pPr>
          </w:p>
        </w:tc>
        <w:tc>
          <w:tcPr>
            <w:tcW w:w="2860" w:type="dxa"/>
            <w:vAlign w:val="bottom"/>
            <w:tcBorders>
              <w:bottom w:val="single" w:sz="8" w:color="auto"/>
              <w:right w:val="single" w:sz="8" w:color="auto"/>
            </w:tcBorders>
            <w:shd w:val="clear" w:color="auto" w:fill="CCFFCC"/>
          </w:tcPr>
          <w:p>
            <w:pPr>
              <w:spacing w:after="0"/>
              <w:rPr>
                <w:sz w:val="9"/>
                <w:szCs w:val="9"/>
                <w:color w:val="auto"/>
              </w:rPr>
            </w:pPr>
          </w:p>
        </w:tc>
        <w:tc>
          <w:tcPr>
            <w:tcW w:w="1920" w:type="dxa"/>
            <w:vAlign w:val="bottom"/>
            <w:tcBorders>
              <w:bottom w:val="single" w:sz="8" w:color="auto"/>
              <w:right w:val="single" w:sz="8" w:color="auto"/>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Common stock</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42,457,881</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Precedent transactions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in private companies</w:t>
            </w:r>
          </w:p>
        </w:tc>
        <w:tc>
          <w:tcPr>
            <w:tcW w:w="34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FFCC"/>
          </w:tcPr>
          <w:p>
            <w:pPr>
              <w:jc w:val="center"/>
              <w:spacing w:after="0" w:line="195" w:lineRule="exact"/>
              <w:rPr>
                <w:sz w:val="20"/>
                <w:szCs w:val="20"/>
                <w:color w:val="auto"/>
              </w:rPr>
            </w:pPr>
            <w:r>
              <w:rPr>
                <w:rFonts w:ascii="Arial" w:cs="Arial" w:eastAsia="Arial" w:hAnsi="Arial"/>
                <w:sz w:val="18"/>
                <w:szCs w:val="18"/>
                <w:color w:val="auto"/>
                <w:w w:val="90"/>
              </w:rPr>
              <w:t>Preferred stock</w:t>
            </w:r>
          </w:p>
        </w:tc>
        <w:tc>
          <w:tcPr>
            <w:tcW w:w="340" w:type="dxa"/>
            <w:vAlign w:val="bottom"/>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27,596,318</w:t>
            </w:r>
          </w:p>
        </w:tc>
        <w:tc>
          <w:tcPr>
            <w:tcW w:w="250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86"/>
              </w:rPr>
              <w:t>Precedent transactions</w:t>
            </w:r>
          </w:p>
        </w:tc>
        <w:tc>
          <w:tcPr>
            <w:tcW w:w="1920" w:type="dxa"/>
            <w:vAlign w:val="bottom"/>
            <w:tcBorders>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in private companies</w:t>
            </w:r>
          </w:p>
        </w:tc>
        <w:tc>
          <w:tcPr>
            <w:tcW w:w="340" w:type="dxa"/>
            <w:vAlign w:val="bottom"/>
            <w:vMerge w:val="continue"/>
            <w:shd w:val="clear" w:color="auto" w:fill="CCFFCC"/>
          </w:tcPr>
          <w:p>
            <w:pPr>
              <w:spacing w:after="0"/>
              <w:rPr>
                <w:sz w:val="10"/>
                <w:szCs w:val="10"/>
                <w:color w:val="auto"/>
              </w:rPr>
            </w:pPr>
          </w:p>
        </w:tc>
        <w:tc>
          <w:tcPr>
            <w:tcW w:w="1480" w:type="dxa"/>
            <w:vAlign w:val="bottom"/>
            <w:tcBorders>
              <w:right w:val="single" w:sz="8" w:color="auto"/>
            </w:tcBorders>
            <w:vMerge w:val="continue"/>
            <w:shd w:val="clear" w:color="auto" w:fill="CCFFCC"/>
          </w:tcPr>
          <w:p>
            <w:pPr>
              <w:spacing w:after="0"/>
              <w:rPr>
                <w:sz w:val="10"/>
                <w:szCs w:val="10"/>
                <w:color w:val="auto"/>
              </w:rPr>
            </w:pPr>
          </w:p>
        </w:tc>
        <w:tc>
          <w:tcPr>
            <w:tcW w:w="2500" w:type="dxa"/>
            <w:vAlign w:val="bottom"/>
            <w:tcBorders>
              <w:right w:val="single" w:sz="8" w:color="auto"/>
            </w:tcBorders>
            <w:vMerge w:val="continue"/>
            <w:shd w:val="clear" w:color="auto" w:fill="CCFFCC"/>
          </w:tcPr>
          <w:p>
            <w:pPr>
              <w:spacing w:after="0"/>
              <w:rPr>
                <w:sz w:val="10"/>
                <w:szCs w:val="10"/>
                <w:color w:val="auto"/>
              </w:rPr>
            </w:pPr>
          </w:p>
        </w:tc>
        <w:tc>
          <w:tcPr>
            <w:tcW w:w="2860" w:type="dxa"/>
            <w:vAlign w:val="bottom"/>
            <w:tcBorders>
              <w:right w:val="single" w:sz="8" w:color="auto"/>
            </w:tcBorders>
            <w:vMerge w:val="continue"/>
            <w:shd w:val="clear" w:color="auto" w:fill="CCFFCC"/>
          </w:tcPr>
          <w:p>
            <w:pPr>
              <w:spacing w:after="0"/>
              <w:rPr>
                <w:sz w:val="10"/>
                <w:szCs w:val="10"/>
                <w:color w:val="auto"/>
              </w:rPr>
            </w:pPr>
          </w:p>
        </w:tc>
        <w:tc>
          <w:tcPr>
            <w:tcW w:w="1920" w:type="dxa"/>
            <w:vAlign w:val="bottom"/>
            <w:tcBorders>
              <w:right w:val="single" w:sz="8" w:color="auto"/>
            </w:tcBorders>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shd w:val="clear" w:color="auto" w:fill="CCFFCC"/>
          </w:tcPr>
          <w:p>
            <w:pPr>
              <w:spacing w:after="0"/>
              <w:rPr>
                <w:sz w:val="9"/>
                <w:szCs w:val="9"/>
                <w:color w:val="auto"/>
              </w:rPr>
            </w:pPr>
          </w:p>
        </w:tc>
        <w:tc>
          <w:tcPr>
            <w:tcW w:w="340" w:type="dxa"/>
            <w:vAlign w:val="bottom"/>
            <w:tcBorders>
              <w:bottom w:val="single" w:sz="8" w:color="auto"/>
            </w:tcBorders>
            <w:shd w:val="clear" w:color="auto" w:fill="CCFFCC"/>
          </w:tcPr>
          <w:p>
            <w:pPr>
              <w:spacing w:after="0"/>
              <w:rPr>
                <w:sz w:val="9"/>
                <w:szCs w:val="9"/>
                <w:color w:val="auto"/>
              </w:rPr>
            </w:pPr>
          </w:p>
        </w:tc>
        <w:tc>
          <w:tcPr>
            <w:tcW w:w="1480" w:type="dxa"/>
            <w:vAlign w:val="bottom"/>
            <w:tcBorders>
              <w:bottom w:val="single" w:sz="8" w:color="auto"/>
              <w:right w:val="single" w:sz="8" w:color="auto"/>
            </w:tcBorders>
            <w:shd w:val="clear" w:color="auto" w:fill="CCFFCC"/>
          </w:tcPr>
          <w:p>
            <w:pPr>
              <w:spacing w:after="0"/>
              <w:rPr>
                <w:sz w:val="9"/>
                <w:szCs w:val="9"/>
                <w:color w:val="auto"/>
              </w:rPr>
            </w:pPr>
          </w:p>
        </w:tc>
        <w:tc>
          <w:tcPr>
            <w:tcW w:w="2500" w:type="dxa"/>
            <w:vAlign w:val="bottom"/>
            <w:tcBorders>
              <w:bottom w:val="single" w:sz="8" w:color="auto"/>
              <w:right w:val="single" w:sz="8" w:color="auto"/>
            </w:tcBorders>
            <w:shd w:val="clear" w:color="auto" w:fill="CCFFCC"/>
          </w:tcPr>
          <w:p>
            <w:pPr>
              <w:spacing w:after="0"/>
              <w:rPr>
                <w:sz w:val="9"/>
                <w:szCs w:val="9"/>
                <w:color w:val="auto"/>
              </w:rPr>
            </w:pPr>
          </w:p>
        </w:tc>
        <w:tc>
          <w:tcPr>
            <w:tcW w:w="2860" w:type="dxa"/>
            <w:vAlign w:val="bottom"/>
            <w:tcBorders>
              <w:bottom w:val="single" w:sz="8" w:color="auto"/>
              <w:right w:val="single" w:sz="8" w:color="auto"/>
            </w:tcBorders>
            <w:shd w:val="clear" w:color="auto" w:fill="CCFFCC"/>
          </w:tcPr>
          <w:p>
            <w:pPr>
              <w:spacing w:after="0"/>
              <w:rPr>
                <w:sz w:val="9"/>
                <w:szCs w:val="9"/>
                <w:color w:val="auto"/>
              </w:rPr>
            </w:pPr>
          </w:p>
        </w:tc>
        <w:tc>
          <w:tcPr>
            <w:tcW w:w="1920" w:type="dxa"/>
            <w:vAlign w:val="bottom"/>
            <w:tcBorders>
              <w:bottom w:val="single" w:sz="8" w:color="auto"/>
              <w:right w:val="single" w:sz="8" w:color="auto"/>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Structured notes</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4,250,000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Income approach</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Expected return</w:t>
            </w:r>
          </w:p>
        </w:tc>
        <w:tc>
          <w:tcPr>
            <w:tcW w:w="192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CCFFCC"/>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0"/>
              </w:rPr>
              <w:t>Warrants</w:t>
            </w:r>
          </w:p>
        </w:tc>
        <w:tc>
          <w:tcPr>
            <w:tcW w:w="340" w:type="dxa"/>
            <w:vAlign w:val="bottom"/>
            <w:tcBorders>
              <w:bottom w:val="single" w:sz="8" w:color="CCFFCC"/>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FFCC"/>
              <w:right w:val="single" w:sz="8" w:color="auto"/>
            </w:tcBorders>
            <w:vMerge w:val="restart"/>
            <w:shd w:val="clear" w:color="auto" w:fill="CCFFCC"/>
          </w:tcPr>
          <w:p>
            <w:pPr>
              <w:jc w:val="right"/>
              <w:ind w:right="70"/>
              <w:spacing w:after="0"/>
              <w:rPr>
                <w:sz w:val="20"/>
                <w:szCs w:val="20"/>
                <w:color w:val="auto"/>
              </w:rPr>
            </w:pPr>
            <w:r>
              <w:rPr>
                <w:rFonts w:ascii="Arial" w:cs="Arial" w:eastAsia="Arial" w:hAnsi="Arial"/>
                <w:sz w:val="18"/>
                <w:szCs w:val="18"/>
                <w:color w:val="auto"/>
              </w:rPr>
              <w:t>85,239</w:t>
            </w:r>
          </w:p>
        </w:tc>
        <w:tc>
          <w:tcPr>
            <w:tcW w:w="2500" w:type="dxa"/>
            <w:vAlign w:val="bottom"/>
            <w:tcBorders>
              <w:bottom w:val="single" w:sz="8" w:color="CCFFCC"/>
              <w:right w:val="single" w:sz="8" w:color="auto"/>
            </w:tcBorders>
            <w:vMerge w:val="restart"/>
            <w:shd w:val="clear" w:color="auto" w:fill="CCFFCC"/>
          </w:tcPr>
          <w:p>
            <w:pPr>
              <w:jc w:val="center"/>
              <w:spacing w:after="0"/>
              <w:rPr>
                <w:sz w:val="20"/>
                <w:szCs w:val="20"/>
                <w:color w:val="auto"/>
              </w:rPr>
            </w:pPr>
            <w:r>
              <w:rPr>
                <w:rFonts w:ascii="Arial" w:cs="Arial" w:eastAsia="Arial" w:hAnsi="Arial"/>
                <w:sz w:val="18"/>
                <w:szCs w:val="18"/>
                <w:color w:val="auto"/>
                <w:w w:val="94"/>
              </w:rPr>
              <w:t>Option pricing model</w:t>
            </w:r>
          </w:p>
        </w:tc>
        <w:tc>
          <w:tcPr>
            <w:tcW w:w="28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4"/>
              </w:rPr>
              <w:t>Term to expiration*</w:t>
            </w:r>
          </w:p>
        </w:tc>
        <w:tc>
          <w:tcPr>
            <w:tcW w:w="192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CCFFCC"/>
              <w:right w:val="single" w:sz="8" w:color="auto"/>
            </w:tcBorders>
            <w:vMerge w:val="continue"/>
            <w:shd w:val="clear" w:color="auto" w:fill="CCFFCC"/>
          </w:tcPr>
          <w:p>
            <w:pPr>
              <w:spacing w:after="0"/>
              <w:rPr>
                <w:sz w:val="18"/>
                <w:szCs w:val="18"/>
                <w:color w:val="auto"/>
              </w:rPr>
            </w:pPr>
          </w:p>
        </w:tc>
        <w:tc>
          <w:tcPr>
            <w:tcW w:w="340" w:type="dxa"/>
            <w:vAlign w:val="bottom"/>
            <w:tcBorders>
              <w:bottom w:val="single" w:sz="8" w:color="CCFFCC"/>
            </w:tcBorders>
            <w:vMerge w:val="continue"/>
            <w:shd w:val="clear" w:color="auto" w:fill="CCFFCC"/>
          </w:tcPr>
          <w:p>
            <w:pPr>
              <w:spacing w:after="0"/>
              <w:rPr>
                <w:sz w:val="18"/>
                <w:szCs w:val="18"/>
                <w:color w:val="auto"/>
              </w:rPr>
            </w:pPr>
          </w:p>
        </w:tc>
        <w:tc>
          <w:tcPr>
            <w:tcW w:w="1480" w:type="dxa"/>
            <w:vAlign w:val="bottom"/>
            <w:tcBorders>
              <w:bottom w:val="single" w:sz="8" w:color="CCFFCC"/>
              <w:right w:val="single" w:sz="8" w:color="auto"/>
            </w:tcBorders>
            <w:vMerge w:val="continue"/>
            <w:shd w:val="clear" w:color="auto" w:fill="CCFFCC"/>
          </w:tcPr>
          <w:p>
            <w:pPr>
              <w:spacing w:after="0"/>
              <w:rPr>
                <w:sz w:val="18"/>
                <w:szCs w:val="18"/>
                <w:color w:val="auto"/>
              </w:rPr>
            </w:pPr>
          </w:p>
        </w:tc>
        <w:tc>
          <w:tcPr>
            <w:tcW w:w="2500" w:type="dxa"/>
            <w:vAlign w:val="bottom"/>
            <w:tcBorders>
              <w:bottom w:val="single" w:sz="8" w:color="CCFFCC"/>
              <w:right w:val="single" w:sz="8" w:color="auto"/>
            </w:tcBorders>
            <w:vMerge w:val="continue"/>
            <w:shd w:val="clear" w:color="auto" w:fill="CCFFCC"/>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Stock price*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480" w:type="dxa"/>
            <w:vAlign w:val="bottom"/>
            <w:tcBorders>
              <w:bottom w:val="single" w:sz="8" w:color="auto"/>
              <w:right w:val="single" w:sz="8" w:color="auto"/>
            </w:tcBorders>
            <w:shd w:val="clear" w:color="auto" w:fill="CCFFCC"/>
          </w:tcPr>
          <w:p>
            <w:pPr>
              <w:spacing w:after="0"/>
              <w:rPr>
                <w:sz w:val="18"/>
                <w:szCs w:val="18"/>
                <w:color w:val="auto"/>
              </w:rPr>
            </w:pPr>
          </w:p>
        </w:tc>
        <w:tc>
          <w:tcPr>
            <w:tcW w:w="2500" w:type="dxa"/>
            <w:vAlign w:val="bottom"/>
            <w:tcBorders>
              <w:bottom w:val="single" w:sz="8" w:color="auto"/>
              <w:right w:val="single" w:sz="8" w:color="auto"/>
            </w:tcBorders>
            <w:shd w:val="clear" w:color="auto" w:fill="CCFFCC"/>
          </w:tcPr>
          <w:p>
            <w:pPr>
              <w:spacing w:after="0"/>
              <w:rPr>
                <w:sz w:val="18"/>
                <w:szCs w:val="18"/>
                <w:color w:val="auto"/>
              </w:rPr>
            </w:pPr>
          </w:p>
        </w:tc>
        <w:tc>
          <w:tcPr>
            <w:tcW w:w="286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rPr>
              <w:t>Volatility*</w:t>
            </w:r>
          </w:p>
        </w:tc>
        <w:tc>
          <w:tcPr>
            <w:tcW w:w="1920" w:type="dxa"/>
            <w:vAlign w:val="bottom"/>
            <w:tcBorders>
              <w:bottom w:val="single" w:sz="8" w:color="auto"/>
              <w:right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1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Echo System Corp. warrants have an estimated term of 4.6 years, a stock price of $3.20 and a volatility of 40%, and the SharesPost, Inc. warrants have an estimated term of 2.3 years, a stock price of $0.10 and a volatility of 35%.</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significant unobservable input used in the fair value of the common stock in public companies is the discount for lack of marketability. A higher discount results in a lower value, all else equal. The significant unobservable inputs used in the fair value of the warrants are the term to expiration, stock price and volatility. A higher stock price and a longer time to expiration result in higher values, all else equal.</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March 31, 2012 and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4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w w:val="92"/>
              </w:rPr>
              <w:t>As of March 31, 2012 (Unaudited)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Active Markets for</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Unobservable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Identical Securities</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Observable 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3)</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1,367,472</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42,457,881</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43,825,353</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27,596,318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27,596,318</w:t>
            </w:r>
          </w:p>
        </w:tc>
      </w:tr>
      <w:tr>
        <w:trPr>
          <w:trHeight w:val="216"/>
        </w:trPr>
        <w:tc>
          <w:tcPr>
            <w:tcW w:w="47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16,000,000</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Structured Note</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4,250,000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4,250,000</w:t>
            </w:r>
          </w:p>
        </w:tc>
      </w:tr>
      <w:tr>
        <w:trPr>
          <w:trHeight w:val="230"/>
        </w:trPr>
        <w:tc>
          <w:tcPr>
            <w:tcW w:w="47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85,239</w:t>
            </w: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85,239</w:t>
            </w:r>
          </w:p>
        </w:tc>
      </w:tr>
      <w:tr>
        <w:trPr>
          <w:trHeight w:val="223"/>
        </w:trPr>
        <w:tc>
          <w:tcPr>
            <w:tcW w:w="470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16,000,000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1,367,472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74,389,438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91,756,910</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 2011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Quoted Prices in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Significant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Active Markets for</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Unobservable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rPr>
              <w:t>Identical Securities</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Observable Inputs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(Level 3)</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22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U.S. Treasury Bill</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20,000,044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r>
      <w:tr>
        <w:trPr>
          <w:trHeight w:val="216"/>
        </w:trPr>
        <w:tc>
          <w:tcPr>
            <w:tcW w:w="47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17,453,085</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17,453,085</w:t>
            </w: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7,000,000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4700" w:type="dxa"/>
            <w:vAlign w:val="bottom"/>
            <w:shd w:val="clear" w:color="auto" w:fill="CCFFCC"/>
          </w:tcPr>
          <w:p>
            <w:pPr>
              <w:ind w:left="100"/>
              <w:spacing w:after="0"/>
              <w:rPr>
                <w:sz w:val="20"/>
                <w:szCs w:val="20"/>
                <w:color w:val="auto"/>
              </w:rPr>
            </w:pPr>
            <w:r>
              <w:rPr>
                <w:rFonts w:ascii="Arial" w:cs="Arial" w:eastAsia="Arial" w:hAnsi="Arial"/>
                <w:sz w:val="18"/>
                <w:szCs w:val="18"/>
                <w:color w:val="auto"/>
              </w:rPr>
              <w:t>Structured Note</w:t>
            </w:r>
          </w:p>
        </w:tc>
        <w:tc>
          <w:tcPr>
            <w:tcW w:w="10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4,500,000</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r>
      <w:tr>
        <w:trPr>
          <w:trHeight w:val="230"/>
        </w:trPr>
        <w:tc>
          <w:tcPr>
            <w:tcW w:w="470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71,396</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71,396</w:t>
            </w:r>
          </w:p>
        </w:tc>
      </w:tr>
      <w:tr>
        <w:trPr>
          <w:trHeight w:val="223"/>
        </w:trPr>
        <w:tc>
          <w:tcPr>
            <w:tcW w:w="4700" w:type="dxa"/>
            <w:vAlign w:val="bottom"/>
            <w:tcBorders>
              <w:top w:val="single" w:sz="8" w:color="CCFFCC"/>
              <w:bottom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27,000,044</w:t>
            </w: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4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9" w:name="page20"/>
    <w:bookmarkEnd w:id="19"/>
    <w:p>
      <w:pPr>
        <w:ind w:right="140" w:firstLine="648"/>
        <w:spacing w:after="0" w:line="277" w:lineRule="auto"/>
        <w:rPr>
          <w:sz w:val="20"/>
          <w:szCs w:val="20"/>
          <w:color w:val="auto"/>
        </w:rPr>
      </w:pPr>
      <w:r>
        <w:rPr>
          <w:rFonts w:ascii="Arial" w:cs="Arial" w:eastAsia="Arial" w:hAnsi="Arial"/>
          <w:sz w:val="18"/>
          <w:szCs w:val="18"/>
          <w:color w:val="auto"/>
        </w:rPr>
        <w:t>The aggregate values of Level 3 portfolio investments changed during the three months ended March 31, 2012 and the period from January 6, 2011 (date of inception) to December 31, 2011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8"/>
                <w:szCs w:val="18"/>
                <w:b w:val="1"/>
                <w:bCs w:val="1"/>
                <w:color w:val="auto"/>
                <w:w w:val="92"/>
              </w:rPr>
              <w:t>Three months ended March 31, 2012 (Unaudited)</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r>
      <w:tr>
        <w:trPr>
          <w:trHeight w:val="191"/>
        </w:trPr>
        <w:tc>
          <w:tcPr>
            <w:tcW w:w="41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300" w:type="dxa"/>
            <w:vAlign w:val="bottom"/>
            <w:gridSpan w:val="2"/>
            <w:shd w:val="clear" w:color="auto" w:fill="CCFFCC"/>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Common</w:t>
            </w:r>
          </w:p>
        </w:tc>
        <w:tc>
          <w:tcPr>
            <w:tcW w:w="14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center"/>
              <w:ind w:right="280"/>
              <w:spacing w:after="0" w:line="191" w:lineRule="exact"/>
              <w:rPr>
                <w:sz w:val="20"/>
                <w:szCs w:val="20"/>
                <w:color w:val="auto"/>
              </w:rPr>
            </w:pPr>
            <w:r>
              <w:rPr>
                <w:rFonts w:ascii="Arial" w:cs="Arial" w:eastAsia="Arial" w:hAnsi="Arial"/>
                <w:sz w:val="18"/>
                <w:szCs w:val="18"/>
                <w:b w:val="1"/>
                <w:bCs w:val="1"/>
                <w:color w:val="auto"/>
                <w:w w:val="92"/>
              </w:rPr>
              <w:t>Preferred</w:t>
            </w:r>
          </w:p>
        </w:tc>
        <w:tc>
          <w:tcPr>
            <w:tcW w:w="1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Structured</w:t>
            </w: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34"/>
        </w:trPr>
        <w:tc>
          <w:tcPr>
            <w:tcW w:w="4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b w:val="1"/>
                <w:bCs w:val="1"/>
                <w:color w:val="auto"/>
              </w:rPr>
              <w:t>Note</w:t>
            </w:r>
          </w:p>
        </w:tc>
        <w:tc>
          <w:tcPr>
            <w:tcW w:w="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Warrants</w:t>
            </w:r>
          </w:p>
        </w:tc>
        <w:tc>
          <w:tcPr>
            <w:tcW w:w="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Fair value as of December 31, 2011</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40,865,381</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17,453,085</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62,889,862</w:t>
            </w:r>
          </w:p>
        </w:tc>
        <w:tc>
          <w:tcPr>
            <w:tcW w:w="100" w:type="dxa"/>
            <w:vAlign w:val="bottom"/>
          </w:tcPr>
          <w:p>
            <w:pPr>
              <w:spacing w:after="0"/>
              <w:rPr>
                <w:sz w:val="18"/>
                <w:szCs w:val="18"/>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916,161</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9,249,921</w:t>
            </w: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500,567</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10,666,649</w:t>
            </w:r>
          </w:p>
        </w:tc>
      </w:tr>
      <w:tr>
        <w:trPr>
          <w:trHeight w:val="257"/>
        </w:trPr>
        <w:tc>
          <w:tcPr>
            <w:tcW w:w="4120" w:type="dxa"/>
            <w:vAlign w:val="bottom"/>
          </w:tcPr>
          <w:p>
            <w:pPr>
              <w:spacing w:after="0" w:line="256" w:lineRule="exact"/>
              <w:rPr>
                <w:sz w:val="20"/>
                <w:szCs w:val="20"/>
                <w:color w:val="auto"/>
              </w:rPr>
            </w:pPr>
            <w:r>
              <w:rPr>
                <w:rFonts w:ascii="Arial" w:cs="Arial" w:eastAsia="Arial" w:hAnsi="Arial"/>
                <w:sz w:val="18"/>
                <w:szCs w:val="18"/>
                <w:color w:val="auto"/>
              </w:rPr>
              <w:t xml:space="preserve">Exercises, conversions and assignments </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734,067</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(756,390)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22,323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Change in unrealized appreciation (depreciation)</w:t>
            </w:r>
          </w:p>
        </w:tc>
        <w:tc>
          <w:tcPr>
            <w:tcW w:w="2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44"/>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included in earnings</w:t>
            </w:r>
          </w:p>
        </w:tc>
        <w:tc>
          <w:tcPr>
            <w:tcW w:w="2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676,339</w:t>
            </w:r>
          </w:p>
        </w:tc>
        <w:tc>
          <w:tcPr>
            <w:tcW w:w="2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159,245</w:t>
            </w:r>
          </w:p>
        </w:tc>
        <w:tc>
          <w:tcPr>
            <w:tcW w:w="2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5,823</w:t>
            </w:r>
          </w:p>
        </w:tc>
        <w:tc>
          <w:tcPr>
            <w:tcW w:w="8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(8,480)</w:t>
            </w:r>
          </w:p>
        </w:tc>
        <w:tc>
          <w:tcPr>
            <w:tcW w:w="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832,927</w:t>
            </w:r>
          </w:p>
        </w:tc>
      </w:tr>
      <w:tr>
        <w:trPr>
          <w:trHeight w:val="263"/>
        </w:trPr>
        <w:tc>
          <w:tcPr>
            <w:tcW w:w="41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Fair value as of March 31, 2012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42,457,881</w:t>
            </w:r>
          </w:p>
        </w:tc>
        <w:tc>
          <w:tcPr>
            <w:tcW w:w="24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27,596,318</w:t>
            </w:r>
          </w:p>
        </w:tc>
        <w:tc>
          <w:tcPr>
            <w:tcW w:w="26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4,250,000</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85,239</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74,389,438</w:t>
            </w:r>
          </w:p>
        </w:tc>
        <w:tc>
          <w:tcPr>
            <w:tcW w:w="100" w:type="dxa"/>
            <w:vAlign w:val="bottom"/>
            <w:tcBorders>
              <w:bottom w:val="single" w:sz="8" w:color="CCFFCC"/>
            </w:tcBorders>
          </w:tcPr>
          <w:p>
            <w:pPr>
              <w:spacing w:after="0"/>
              <w:rPr>
                <w:sz w:val="22"/>
                <w:szCs w:val="22"/>
                <w:color w:val="auto"/>
              </w:rPr>
            </w:pPr>
          </w:p>
        </w:tc>
      </w:tr>
      <w:tr>
        <w:trPr>
          <w:trHeight w:val="155"/>
        </w:trPr>
        <w:tc>
          <w:tcPr>
            <w:tcW w:w="4120" w:type="dxa"/>
            <w:vAlign w:val="bottom"/>
            <w:shd w:val="clear" w:color="auto" w:fill="CCFFCC"/>
          </w:tcPr>
          <w:p>
            <w:pPr>
              <w:spacing w:after="0" w:line="156" w:lineRule="exact"/>
              <w:rPr>
                <w:sz w:val="20"/>
                <w:szCs w:val="20"/>
                <w:color w:val="auto"/>
              </w:rPr>
            </w:pPr>
            <w:r>
              <w:rPr>
                <w:rFonts w:ascii="Arial" w:cs="Arial" w:eastAsia="Arial" w:hAnsi="Arial"/>
                <w:sz w:val="18"/>
                <w:szCs w:val="18"/>
                <w:color w:val="auto"/>
                <w:w w:val="99"/>
              </w:rPr>
              <w:t>Change in unrealized appreciation (depreciation) on</w:t>
            </w:r>
          </w:p>
        </w:tc>
        <w:tc>
          <w:tcPr>
            <w:tcW w:w="22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112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280" w:type="dxa"/>
            <w:vAlign w:val="bottom"/>
            <w:shd w:val="clear" w:color="auto" w:fill="CCFFCC"/>
          </w:tcPr>
          <w:p>
            <w:pPr>
              <w:spacing w:after="0"/>
              <w:rPr>
                <w:sz w:val="13"/>
                <w:szCs w:val="13"/>
                <w:color w:val="auto"/>
              </w:rPr>
            </w:pPr>
          </w:p>
        </w:tc>
        <w:tc>
          <w:tcPr>
            <w:tcW w:w="9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r>
      <w:tr>
        <w:trPr>
          <w:trHeight w:val="216"/>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Level 3 investments still held as of</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57"/>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March 31, 2012</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676,339</w:t>
            </w:r>
          </w:p>
        </w:tc>
        <w:tc>
          <w:tcPr>
            <w:tcW w:w="24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159,245</w:t>
            </w:r>
          </w:p>
        </w:tc>
        <w:tc>
          <w:tcPr>
            <w:tcW w:w="260" w:type="dxa"/>
            <w:vAlign w:val="bottom"/>
            <w:shd w:val="clear" w:color="auto" w:fill="CCFFCC"/>
          </w:tcPr>
          <w:p>
            <w:pPr>
              <w:spacing w:after="0"/>
              <w:rPr>
                <w:sz w:val="22"/>
                <w:szCs w:val="22"/>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(8,480)</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827,104</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ind w:left="240" w:right="180" w:hanging="229"/>
        <w:spacing w:after="0" w:line="264"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three months ended March 31, 2012, the Company converted its structured notes to preferred shares in The Echo System Corp. and exercised its warrants for preferred shares in StormWind, LLC. A portion of The Echo System Corp. structured notes attributable to the warrants was reclassified during the same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14"/>
          </w:tcPr>
          <w:p>
            <w:pPr>
              <w:jc w:val="right"/>
              <w:ind w:right="130"/>
              <w:spacing w:after="0"/>
              <w:rPr>
                <w:sz w:val="20"/>
                <w:szCs w:val="20"/>
                <w:color w:val="auto"/>
              </w:rPr>
            </w:pPr>
            <w:r>
              <w:rPr>
                <w:rFonts w:ascii="Arial" w:cs="Arial" w:eastAsia="Arial" w:hAnsi="Arial"/>
                <w:sz w:val="18"/>
                <w:szCs w:val="18"/>
                <w:b w:val="1"/>
                <w:bCs w:val="1"/>
                <w:color w:val="auto"/>
              </w:rPr>
              <w:t>From January 6, 2011 (date of inception) to December 31, 2011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r>
      <w:tr>
        <w:trPr>
          <w:trHeight w:val="191"/>
        </w:trPr>
        <w:tc>
          <w:tcPr>
            <w:tcW w:w="41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300" w:type="dxa"/>
            <w:vAlign w:val="bottom"/>
            <w:gridSpan w:val="2"/>
            <w:shd w:val="clear" w:color="auto" w:fill="CCFFCC"/>
          </w:tcPr>
          <w:p>
            <w:pPr>
              <w:jc w:val="right"/>
              <w:ind w:right="460"/>
              <w:spacing w:after="0" w:line="191" w:lineRule="exact"/>
              <w:rPr>
                <w:sz w:val="20"/>
                <w:szCs w:val="20"/>
                <w:color w:val="auto"/>
              </w:rPr>
            </w:pPr>
            <w:r>
              <w:rPr>
                <w:rFonts w:ascii="Arial" w:cs="Arial" w:eastAsia="Arial" w:hAnsi="Arial"/>
                <w:sz w:val="18"/>
                <w:szCs w:val="18"/>
                <w:b w:val="1"/>
                <w:bCs w:val="1"/>
                <w:color w:val="auto"/>
              </w:rPr>
              <w:t>Common</w:t>
            </w:r>
          </w:p>
        </w:tc>
        <w:tc>
          <w:tcPr>
            <w:tcW w:w="200" w:type="dxa"/>
            <w:vAlign w:val="bottom"/>
            <w:shd w:val="clear" w:color="auto" w:fill="CCFFCC"/>
          </w:tcPr>
          <w:p>
            <w:pPr>
              <w:spacing w:after="0"/>
              <w:rPr>
                <w:sz w:val="16"/>
                <w:szCs w:val="16"/>
                <w:color w:val="auto"/>
              </w:rPr>
            </w:pPr>
          </w:p>
        </w:tc>
        <w:tc>
          <w:tcPr>
            <w:tcW w:w="1320" w:type="dxa"/>
            <w:vAlign w:val="bottom"/>
            <w:gridSpan w:val="2"/>
            <w:shd w:val="clear" w:color="auto" w:fill="CCFFCC"/>
          </w:tcPr>
          <w:p>
            <w:pPr>
              <w:jc w:val="right"/>
              <w:ind w:right="460"/>
              <w:spacing w:after="0" w:line="191" w:lineRule="exact"/>
              <w:rPr>
                <w:sz w:val="20"/>
                <w:szCs w:val="20"/>
                <w:color w:val="auto"/>
              </w:rPr>
            </w:pPr>
            <w:r>
              <w:rPr>
                <w:rFonts w:ascii="Arial" w:cs="Arial" w:eastAsia="Arial" w:hAnsi="Arial"/>
                <w:sz w:val="18"/>
                <w:szCs w:val="18"/>
                <w:b w:val="1"/>
                <w:bCs w:val="1"/>
                <w:color w:val="auto"/>
              </w:rPr>
              <w:t>Preferred</w:t>
            </w:r>
          </w:p>
        </w:tc>
        <w:tc>
          <w:tcPr>
            <w:tcW w:w="1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Structured</w:t>
            </w:r>
          </w:p>
        </w:tc>
        <w:tc>
          <w:tcPr>
            <w:tcW w:w="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34"/>
        </w:trPr>
        <w:tc>
          <w:tcPr>
            <w:tcW w:w="4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20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6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b w:val="1"/>
                <w:bCs w:val="1"/>
                <w:color w:val="auto"/>
              </w:rPr>
              <w:t>Note</w:t>
            </w:r>
          </w:p>
        </w:tc>
        <w:tc>
          <w:tcPr>
            <w:tcW w:w="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Warrants</w:t>
            </w:r>
          </w:p>
        </w:tc>
        <w:tc>
          <w:tcPr>
            <w:tcW w:w="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Fair value as of January 6, 2011</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43,451,594</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17,595,397</w:t>
            </w: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4,535,082</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76,793</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65,658,866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3"/>
              </w:rPr>
              <w:t>Change in unrealized depreciation included in earnings</w:t>
            </w: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(1,397,925)</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(142,312)</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(35,082)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(5,397)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(1,580,716)</w:t>
            </w: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Transfer to Level 2</w:t>
            </w:r>
          </w:p>
        </w:tc>
        <w:tc>
          <w:tcPr>
            <w:tcW w:w="22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(1,188,288)</w:t>
            </w:r>
          </w:p>
        </w:tc>
        <w:tc>
          <w:tcPr>
            <w:tcW w:w="20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(1,188,288)</w:t>
            </w:r>
          </w:p>
        </w:tc>
      </w:tr>
      <w:tr>
        <w:trPr>
          <w:trHeight w:val="263"/>
        </w:trPr>
        <w:tc>
          <w:tcPr>
            <w:tcW w:w="41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Fair value as of December 31, 2011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40,865,381</w:t>
            </w:r>
          </w:p>
        </w:tc>
        <w:tc>
          <w:tcPr>
            <w:tcW w:w="24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17,453,085</w:t>
            </w:r>
          </w:p>
        </w:tc>
        <w:tc>
          <w:tcPr>
            <w:tcW w:w="26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71,396</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62,889,862</w:t>
            </w:r>
          </w:p>
        </w:tc>
        <w:tc>
          <w:tcPr>
            <w:tcW w:w="100" w:type="dxa"/>
            <w:vAlign w:val="bottom"/>
            <w:tcBorders>
              <w:bottom w:val="single" w:sz="8" w:color="CCFFCC"/>
            </w:tcBorders>
          </w:tcPr>
          <w:p>
            <w:pPr>
              <w:spacing w:after="0"/>
              <w:rPr>
                <w:sz w:val="22"/>
                <w:szCs w:val="22"/>
                <w:color w:val="auto"/>
              </w:rPr>
            </w:pPr>
          </w:p>
        </w:tc>
      </w:tr>
      <w:tr>
        <w:trPr>
          <w:trHeight w:val="155"/>
        </w:trPr>
        <w:tc>
          <w:tcPr>
            <w:tcW w:w="4120" w:type="dxa"/>
            <w:vAlign w:val="bottom"/>
            <w:shd w:val="clear" w:color="auto" w:fill="CCFFCC"/>
          </w:tcPr>
          <w:p>
            <w:pPr>
              <w:spacing w:after="0" w:line="156" w:lineRule="exact"/>
              <w:rPr>
                <w:sz w:val="20"/>
                <w:szCs w:val="20"/>
                <w:color w:val="auto"/>
              </w:rPr>
            </w:pPr>
            <w:r>
              <w:rPr>
                <w:rFonts w:ascii="Arial" w:cs="Arial" w:eastAsia="Arial" w:hAnsi="Arial"/>
                <w:sz w:val="18"/>
                <w:szCs w:val="18"/>
                <w:color w:val="auto"/>
              </w:rPr>
              <w:t>Change in unrealized depreciation on Level 3</w:t>
            </w:r>
          </w:p>
        </w:tc>
        <w:tc>
          <w:tcPr>
            <w:tcW w:w="22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106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280" w:type="dxa"/>
            <w:vAlign w:val="bottom"/>
            <w:shd w:val="clear" w:color="auto" w:fill="CCFFCC"/>
          </w:tcPr>
          <w:p>
            <w:pPr>
              <w:spacing w:after="0"/>
              <w:rPr>
                <w:sz w:val="13"/>
                <w:szCs w:val="13"/>
                <w:color w:val="auto"/>
              </w:rPr>
            </w:pPr>
          </w:p>
        </w:tc>
        <w:tc>
          <w:tcPr>
            <w:tcW w:w="9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r>
      <w:tr>
        <w:trPr>
          <w:trHeight w:val="257"/>
        </w:trPr>
        <w:tc>
          <w:tcPr>
            <w:tcW w:w="4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still held as of December 31, 2011</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(457,628)</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(142,312)</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(35,082)</w:t>
            </w:r>
          </w:p>
        </w:tc>
        <w:tc>
          <w:tcPr>
            <w:tcW w:w="26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(5,397)</w:t>
            </w:r>
          </w:p>
        </w:tc>
        <w:tc>
          <w:tcPr>
            <w:tcW w:w="3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(640,419)</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March 31, 2012, there were no transfers between levels. As of March 31, 2012, there was a significant change in unrealized appreciation related to our investment in Facebook, Inc. Facebook, Inc. filed its registration statement for an initial public offering and in accordance with our valuation policy, secondary market transactions were considered in determining fair value. Our shares in Groupon, Inc. are presently subject to a lock-up agreement that expires on May 1, 2012. The fair value for Groupon was estimated using the close price on a public exchange as of the valuation date, adjusted for a discount due to lack of marketability of 7% that was primarily based on the market price of publicly traded put options with a similar term as the lock-up as of March 31, 2012.</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period from January 6, 2011 (date of inception) to December 31, 2011, there was one transfer from Level 3 to Level 2 related to our investment in Groupon, Inc. Due to its public offering in November 2011, observable inputs became available for our valuation as of December 31, 2011. The fair value for Groupon was estimated using the close price on a public exchange as of the valuation date, adjusted for a discount due to lack of marketability of 28% that was primarily based on the market price of publicly traded put options with a similar term as the lock-up as of December 31,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issued 5,520,100 shares of our common stock during the period from January 6, 2011 (date of inception) to December 31, 2011. We issued 6,900,000 shares of our common stock during the three months ended March 31, 2012. The proceeds raised, the related underwriting fees, the offering expenses and the prices at which these shares were issued are as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ind w:left="1520"/>
              <w:spacing w:after="0"/>
              <w:rPr>
                <w:sz w:val="20"/>
                <w:szCs w:val="20"/>
                <w:color w:val="auto"/>
              </w:rPr>
            </w:pPr>
            <w:r>
              <w:rPr>
                <w:rFonts w:ascii="Arial" w:cs="Arial" w:eastAsia="Arial" w:hAnsi="Arial"/>
                <w:sz w:val="18"/>
                <w:szCs w:val="18"/>
                <w:b w:val="1"/>
                <w:bCs w:val="1"/>
                <w:color w:val="auto"/>
              </w:rPr>
              <w:t>Issuances of</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6"/>
              </w:rPr>
              <w:t>Gross Proceeds</w:t>
            </w:r>
          </w:p>
        </w:tc>
        <w:tc>
          <w:tcPr>
            <w:tcW w:w="100" w:type="dxa"/>
            <w:vAlign w:val="bottom"/>
          </w:tcPr>
          <w:p>
            <w:pPr>
              <w:spacing w:after="0"/>
              <w:rPr>
                <w:sz w:val="18"/>
                <w:szCs w:val="18"/>
                <w:color w:val="auto"/>
              </w:rPr>
            </w:pPr>
          </w:p>
        </w:tc>
        <w:tc>
          <w:tcPr>
            <w:tcW w:w="154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5"/>
              </w:rPr>
              <w:t>Underwriting</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Offering</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gridSpan w:val="2"/>
          </w:tcPr>
          <w:p>
            <w:pPr>
              <w:ind w:left="1420"/>
              <w:spacing w:after="0"/>
              <w:rPr>
                <w:sz w:val="20"/>
                <w:szCs w:val="20"/>
                <w:color w:val="auto"/>
              </w:rPr>
            </w:pPr>
            <w:r>
              <w:rPr>
                <w:rFonts w:ascii="Arial" w:cs="Arial" w:eastAsia="Arial" w:hAnsi="Arial"/>
                <w:sz w:val="18"/>
                <w:szCs w:val="18"/>
                <w:b w:val="1"/>
                <w:bCs w:val="1"/>
                <w:color w:val="auto"/>
              </w:rPr>
              <w:t>Common Stock</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Raised</w:t>
            </w:r>
          </w:p>
        </w:tc>
        <w:tc>
          <w:tcPr>
            <w:tcW w:w="100" w:type="dxa"/>
            <w:vAlign w:val="bottom"/>
          </w:tcPr>
          <w:p>
            <w:pPr>
              <w:spacing w:after="0"/>
              <w:rPr>
                <w:sz w:val="20"/>
                <w:szCs w:val="20"/>
                <w:color w:val="auto"/>
              </w:rPr>
            </w:pPr>
          </w:p>
        </w:tc>
        <w:tc>
          <w:tcPr>
            <w:tcW w:w="154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2"/>
              </w:rPr>
              <w:t>Fees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2"/>
              </w:rPr>
              <w:t>Expenses</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Offering Price</w:t>
            </w:r>
          </w:p>
        </w:tc>
      </w:tr>
      <w:tr>
        <w:trPr>
          <w:trHeight w:val="210"/>
        </w:trPr>
        <w:tc>
          <w:tcPr>
            <w:tcW w:w="4000" w:type="dxa"/>
            <w:vAlign w:val="bottom"/>
            <w:tcBorders>
              <w:top w:val="single" w:sz="8" w:color="auto"/>
            </w:tcBorders>
            <w:shd w:val="clear" w:color="auto" w:fill="CCFFCC"/>
          </w:tcPr>
          <w:p>
            <w:pPr>
              <w:ind w:left="100"/>
              <w:spacing w:after="0"/>
              <w:rPr>
                <w:sz w:val="20"/>
                <w:szCs w:val="20"/>
                <w:color w:val="auto"/>
              </w:rPr>
            </w:pPr>
            <w:r>
              <w:rPr>
                <w:rFonts w:ascii="Arial" w:cs="Arial" w:eastAsia="Arial" w:hAnsi="Arial"/>
                <w:sz w:val="18"/>
                <w:szCs w:val="18"/>
                <w:color w:val="auto"/>
              </w:rPr>
              <w:t>February 28, 2011</w:t>
            </w:r>
          </w:p>
        </w:tc>
        <w:tc>
          <w:tcPr>
            <w:tcW w:w="1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120" w:type="dxa"/>
            <w:vAlign w:val="bottom"/>
            <w:gridSpan w:val="2"/>
          </w:tcPr>
          <w:p>
            <w:pPr>
              <w:ind w:left="100"/>
              <w:spacing w:after="0"/>
              <w:rPr>
                <w:sz w:val="20"/>
                <w:szCs w:val="20"/>
                <w:color w:val="auto"/>
              </w:rPr>
            </w:pPr>
            <w:r>
              <w:rPr>
                <w:rFonts w:ascii="Arial" w:cs="Arial" w:eastAsia="Arial" w:hAnsi="Arial"/>
                <w:sz w:val="18"/>
                <w:szCs w:val="18"/>
                <w:color w:val="auto"/>
              </w:rPr>
              <w:t>April 28, 2011</w:t>
            </w:r>
          </w:p>
        </w:tc>
        <w:tc>
          <w:tcPr>
            <w:tcW w:w="1280" w:type="dxa"/>
            <w:vAlign w:val="bottom"/>
          </w:tcPr>
          <w:p>
            <w:pPr>
              <w:jc w:val="right"/>
              <w:spacing w:after="0"/>
              <w:rPr>
                <w:sz w:val="20"/>
                <w:szCs w:val="20"/>
                <w:color w:val="auto"/>
              </w:rPr>
            </w:pPr>
            <w:r>
              <w:rPr>
                <w:rFonts w:ascii="Arial" w:cs="Arial" w:eastAsia="Arial" w:hAnsi="Arial"/>
                <w:sz w:val="18"/>
                <w:szCs w:val="18"/>
                <w:color w:val="auto"/>
              </w:rPr>
              <w:t>3,335,000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50,025,000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3,501,750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527,166</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41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September 27, 2011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2,185,000</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30,917,750</w:t>
            </w: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1,267,300</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531,122</w:t>
            </w:r>
            <w:r>
              <w:rPr>
                <w:rFonts w:ascii="Arial" w:cs="Arial" w:eastAsia="Arial" w:hAnsi="Arial"/>
                <w:sz w:val="15"/>
                <w:szCs w:val="15"/>
                <w:color w:val="auto"/>
              </w:rPr>
              <w:t>(2)</w:t>
            </w: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w:t>
            </w:r>
          </w:p>
        </w:tc>
      </w:tr>
      <w:tr>
        <w:trPr>
          <w:trHeight w:val="230"/>
        </w:trPr>
        <w:tc>
          <w:tcPr>
            <w:tcW w:w="4120" w:type="dxa"/>
            <w:vAlign w:val="bottom"/>
            <w:gridSpan w:val="2"/>
          </w:tcPr>
          <w:p>
            <w:pPr>
              <w:ind w:left="100"/>
              <w:spacing w:after="0"/>
              <w:rPr>
                <w:sz w:val="20"/>
                <w:szCs w:val="20"/>
                <w:color w:val="auto"/>
              </w:rPr>
            </w:pPr>
            <w:r>
              <w:rPr>
                <w:rFonts w:ascii="Arial" w:cs="Arial" w:eastAsia="Arial" w:hAnsi="Arial"/>
                <w:sz w:val="18"/>
                <w:szCs w:val="18"/>
                <w:color w:val="auto"/>
              </w:rPr>
              <w:t>February 10, 2012</w:t>
            </w:r>
          </w:p>
        </w:tc>
        <w:tc>
          <w:tcPr>
            <w:tcW w:w="1280" w:type="dxa"/>
            <w:vAlign w:val="bottom"/>
          </w:tcPr>
          <w:p>
            <w:pPr>
              <w:jc w:val="right"/>
              <w:spacing w:after="0"/>
              <w:rPr>
                <w:sz w:val="20"/>
                <w:szCs w:val="20"/>
                <w:color w:val="auto"/>
              </w:rPr>
            </w:pPr>
            <w:r>
              <w:rPr>
                <w:rFonts w:ascii="Arial" w:cs="Arial" w:eastAsia="Arial" w:hAnsi="Arial"/>
                <w:sz w:val="18"/>
                <w:szCs w:val="18"/>
                <w:color w:val="auto"/>
              </w:rPr>
              <w:t>6,900,000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103,500,000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7,245,000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326,077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bl>
    <w:p>
      <w:pPr>
        <w:spacing w:after="0" w:line="187"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DECREASE IN NET ASSETS PER COMMON SHARE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information sets forth the computation of net decrease in net assets resulting from operations per common share for the three months ended March 31, 2012 and the period from January 6, 2011 (date of inception) to March 31,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For the period from</w:t>
            </w:r>
          </w:p>
        </w:tc>
      </w:tr>
      <w:tr>
        <w:trPr>
          <w:trHeight w:val="216"/>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6, 2011</w:t>
            </w:r>
          </w:p>
        </w:tc>
      </w:tr>
      <w:tr>
        <w:trPr>
          <w:trHeight w:val="216"/>
        </w:trPr>
        <w:tc>
          <w:tcPr>
            <w:tcW w:w="762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Three months ended</w:t>
            </w:r>
          </w:p>
        </w:tc>
        <w:tc>
          <w:tcPr>
            <w:tcW w:w="1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(date of inception) to</w:t>
            </w:r>
          </w:p>
        </w:tc>
      </w:tr>
      <w:tr>
        <w:trPr>
          <w:trHeight w:val="234"/>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 2012</w:t>
            </w:r>
          </w:p>
        </w:tc>
        <w:tc>
          <w:tcPr>
            <w:tcW w:w="16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2011</w:t>
            </w:r>
          </w:p>
        </w:tc>
      </w:tr>
      <w:tr>
        <w:trPr>
          <w:trHeight w:val="210"/>
        </w:trPr>
        <w:tc>
          <w:tcPr>
            <w:tcW w:w="7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(83,063)</w:t>
            </w: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(110,808)</w:t>
            </w:r>
          </w:p>
        </w:tc>
        <w:tc>
          <w:tcPr>
            <w:tcW w:w="180" w:type="dxa"/>
            <w:vAlign w:val="bottom"/>
            <w:tcBorders>
              <w:top w:val="single" w:sz="8" w:color="CCFFCC"/>
            </w:tcBorders>
            <w:shd w:val="clear" w:color="auto" w:fill="CCFFCC"/>
          </w:tcPr>
          <w:p>
            <w:pPr>
              <w:spacing w:after="0"/>
              <w:rPr>
                <w:sz w:val="18"/>
                <w:szCs w:val="18"/>
                <w:color w:val="auto"/>
              </w:rPr>
            </w:pPr>
          </w:p>
        </w:tc>
      </w:tr>
      <w:tr>
        <w:trPr>
          <w:trHeight w:val="270"/>
        </w:trPr>
        <w:tc>
          <w:tcPr>
            <w:tcW w:w="7620" w:type="dxa"/>
            <w:vAlign w:val="bottom"/>
          </w:tcPr>
          <w:p>
            <w:pPr>
              <w:ind w:left="100"/>
              <w:spacing w:after="0" w:line="269" w:lineRule="exact"/>
              <w:rPr>
                <w:sz w:val="20"/>
                <w:szCs w:val="20"/>
                <w:color w:val="auto"/>
              </w:rPr>
            </w:pPr>
            <w:r>
              <w:rPr>
                <w:rFonts w:ascii="Arial" w:cs="Arial" w:eastAsia="Arial" w:hAnsi="Arial"/>
                <w:sz w:val="18"/>
                <w:szCs w:val="18"/>
                <w:color w:val="auto"/>
              </w:rPr>
              <w:t xml:space="preserve">Weighted average common shares </w:t>
            </w:r>
            <w:r>
              <w:rPr>
                <w:rFonts w:ascii="Arial" w:cs="Arial" w:eastAsia="Arial" w:hAnsi="Arial"/>
                <w:sz w:val="30"/>
                <w:szCs w:val="30"/>
                <w:color w:val="auto"/>
                <w:vertAlign w:val="superscript"/>
              </w:rPr>
              <w:t>(1)</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9,387,133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5"/>
                <w:szCs w:val="15"/>
                <w:color w:val="auto"/>
              </w:rPr>
              <w:t>(1)</w:t>
            </w:r>
          </w:p>
        </w:tc>
      </w:tr>
      <w:tr>
        <w:trPr>
          <w:trHeight w:val="223"/>
        </w:trPr>
        <w:tc>
          <w:tcPr>
            <w:tcW w:w="7620" w:type="dxa"/>
            <w:vAlign w:val="bottom"/>
            <w:tcBorders>
              <w:top w:val="single" w:sz="8" w:color="CCFFCC"/>
              <w:bottom w:val="single" w:sz="8" w:color="CCFFCC"/>
            </w:tcBorders>
            <w:shd w:val="clear" w:color="auto" w:fill="CCFFCC"/>
          </w:tcPr>
          <w:p>
            <w:pPr>
              <w:ind w:left="100"/>
              <w:spacing w:after="0"/>
              <w:rPr>
                <w:sz w:val="20"/>
                <w:szCs w:val="20"/>
                <w:color w:val="auto"/>
              </w:rPr>
            </w:pPr>
            <w:r>
              <w:rPr>
                <w:rFonts w:ascii="Arial" w:cs="Arial" w:eastAsia="Arial" w:hAnsi="Arial"/>
                <w:sz w:val="18"/>
                <w:szCs w:val="18"/>
                <w:color w:val="auto"/>
              </w:rPr>
              <w:t>Basic and diluted earnings per common share</w:t>
            </w: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top w:val="single" w:sz="8" w:color="CCFFCC"/>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(1,108.08</w:t>
            </w:r>
          </w:p>
        </w:tc>
        <w:tc>
          <w:tcPr>
            <w:tcW w:w="18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right="20" w:hanging="232"/>
        <w:spacing w:after="0" w:line="27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Weighted average common shares for the period from January 6, 2011 (date of inception) to March 31, 2011 was calculated starting from the issuance of 100 shares on February 28,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LEGAL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NOTE 7 — FINANCIAL HIGHLIGHTS</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2"/>
              </w:rPr>
              <w:t>For the period from</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20" w:type="dxa"/>
            <w:vAlign w:val="bottom"/>
            <w:gridSpan w:val="3"/>
            <w:vMerge w:val="restart"/>
          </w:tcPr>
          <w:p>
            <w:pPr>
              <w:jc w:val="right"/>
              <w:ind w:right="580"/>
              <w:spacing w:after="0"/>
              <w:rPr>
                <w:sz w:val="20"/>
                <w:szCs w:val="20"/>
                <w:color w:val="auto"/>
              </w:rPr>
            </w:pPr>
            <w:r>
              <w:rPr>
                <w:rFonts w:ascii="Arial" w:cs="Arial" w:eastAsia="Arial" w:hAnsi="Arial"/>
                <w:sz w:val="18"/>
                <w:szCs w:val="18"/>
                <w:b w:val="1"/>
                <w:bCs w:val="1"/>
                <w:color w:val="auto"/>
                <w:w w:val="91"/>
              </w:rPr>
              <w:t>Three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January 6, 2011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8"/>
              </w:rPr>
              <w:t>(date of inceptions) to</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98"/>
              </w:rPr>
              <w:t>March 31, 2012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ind w:right="75"/>
              <w:spacing w:after="0"/>
              <w:rPr>
                <w:sz w:val="20"/>
                <w:szCs w:val="20"/>
                <w:color w:val="auto"/>
              </w:rPr>
            </w:pPr>
            <w:r>
              <w:rPr>
                <w:rFonts w:ascii="Arial" w:cs="Arial" w:eastAsia="Arial" w:hAnsi="Arial"/>
                <w:sz w:val="18"/>
                <w:szCs w:val="18"/>
                <w:b w:val="1"/>
                <w:bCs w:val="1"/>
                <w:color w:val="auto"/>
                <w:w w:val="88"/>
              </w:rPr>
              <w:t>December 31, 2011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Per Share Data:</w:t>
            </w:r>
          </w:p>
        </w:tc>
        <w:tc>
          <w:tcPr>
            <w:tcW w:w="14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540" w:type="dxa"/>
            <w:vAlign w:val="bottom"/>
            <w:tcBorders>
              <w:top w:val="single" w:sz="8" w:color="auto"/>
            </w:tcBorders>
            <w:shd w:val="clear" w:color="auto" w:fill="CCFFCC"/>
          </w:tcPr>
          <w:p>
            <w:pPr>
              <w:spacing w:after="0"/>
              <w:rPr>
                <w:sz w:val="18"/>
                <w:szCs w:val="18"/>
                <w:color w:val="auto"/>
              </w:rPr>
            </w:pPr>
          </w:p>
        </w:tc>
        <w:tc>
          <w:tcPr>
            <w:tcW w:w="5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600" w:type="dxa"/>
            <w:vAlign w:val="bottom"/>
            <w:tcBorders>
              <w:top w:val="single" w:sz="8" w:color="auto"/>
            </w:tcBorders>
            <w:shd w:val="clear" w:color="auto" w:fill="CCFFCC"/>
          </w:tcPr>
          <w:p>
            <w:pPr>
              <w:spacing w:after="0"/>
              <w:rPr>
                <w:sz w:val="18"/>
                <w:szCs w:val="18"/>
                <w:color w:val="auto"/>
              </w:rPr>
            </w:pPr>
          </w:p>
        </w:tc>
        <w:tc>
          <w:tcPr>
            <w:tcW w:w="5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12.95</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
                <w:szCs w:val="1"/>
                <w:color w:val="auto"/>
              </w:rPr>
              <w:t>Issuance of common shares</w:t>
            </w:r>
          </w:p>
        </w:tc>
        <w:tc>
          <w:tcPr>
            <w:tcW w:w="14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040" w:type="dxa"/>
            <w:vAlign w:val="bottom"/>
            <w:gridSpan w:val="2"/>
            <w:shd w:val="clear" w:color="auto" w:fill="CCFFCC"/>
          </w:tcPr>
          <w:p>
            <w:pPr>
              <w:jc w:val="right"/>
              <w:ind w:right="500"/>
              <w:spacing w:after="0"/>
              <w:rPr>
                <w:sz w:val="20"/>
                <w:szCs w:val="20"/>
                <w:color w:val="auto"/>
              </w:rPr>
            </w:pPr>
            <w:r>
              <w:rPr>
                <w:rFonts w:ascii="Arial" w:cs="Arial" w:eastAsia="Arial" w:hAnsi="Arial"/>
                <w:sz w:val="1"/>
                <w:szCs w:val="1"/>
                <w:color w:val="auto"/>
              </w:rPr>
              <w:t>1.14</w:t>
            </w: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
                <w:szCs w:val="1"/>
                <w:color w:val="auto"/>
              </w:rPr>
              <w:t>14.67</w:t>
            </w:r>
          </w:p>
        </w:tc>
        <w:tc>
          <w:tcPr>
            <w:tcW w:w="560" w:type="dxa"/>
            <w:vAlign w:val="bottom"/>
            <w:vMerge w:val="restart"/>
            <w:shd w:val="clear" w:color="auto" w:fill="CCFFCC"/>
          </w:tcPr>
          <w:p>
            <w:pPr>
              <w:jc w:val="right"/>
              <w:ind w:right="325"/>
              <w:spacing w:after="0"/>
              <w:rPr>
                <w:sz w:val="20"/>
                <w:szCs w:val="20"/>
                <w:color w:val="auto"/>
              </w:rPr>
            </w:pPr>
            <w:r>
              <w:rPr>
                <w:rFonts w:ascii="Arial" w:cs="Arial" w:eastAsia="Arial" w:hAnsi="Arial"/>
                <w:sz w:val="15"/>
                <w:szCs w:val="15"/>
                <w:color w:val="auto"/>
                <w:w w:val="76"/>
              </w:rPr>
              <w:t>(4)</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280" w:type="dxa"/>
            <w:vAlign w:val="bottom"/>
            <w:shd w:val="clear" w:color="auto" w:fill="CCFFCC"/>
          </w:tcPr>
          <w:p>
            <w:pPr>
              <w:spacing w:after="0"/>
              <w:rPr>
                <w:sz w:val="17"/>
                <w:szCs w:val="17"/>
                <w:color w:val="auto"/>
              </w:rPr>
            </w:pPr>
          </w:p>
        </w:tc>
        <w:tc>
          <w:tcPr>
            <w:tcW w:w="14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40" w:type="dxa"/>
            <w:vAlign w:val="bottom"/>
            <w:gridSpan w:val="2"/>
            <w:shd w:val="clear" w:color="auto" w:fill="CCFFCC"/>
          </w:tcPr>
          <w:p>
            <w:pPr>
              <w:jc w:val="right"/>
              <w:ind w:right="320"/>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560" w:type="dxa"/>
            <w:vAlign w:val="bottom"/>
            <w:vMerge w:val="continue"/>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Underwriters’ discount</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(0.58)</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2"/>
          </w:tcPr>
          <w:p>
            <w:pPr>
              <w:jc w:val="right"/>
              <w:ind w:right="265"/>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Offering costs</w:t>
            </w:r>
          </w:p>
        </w:tc>
        <w:tc>
          <w:tcPr>
            <w:tcW w:w="14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2040" w:type="dxa"/>
            <w:vAlign w:val="bottom"/>
            <w:gridSpan w:val="2"/>
            <w:shd w:val="clear" w:color="auto" w:fill="CCFFCC"/>
          </w:tcPr>
          <w:p>
            <w:pPr>
              <w:jc w:val="right"/>
              <w:ind w:right="260"/>
              <w:spacing w:after="0" w:line="256" w:lineRule="exact"/>
              <w:rPr>
                <w:sz w:val="20"/>
                <w:szCs w:val="20"/>
                <w:color w:val="auto"/>
              </w:rPr>
            </w:pPr>
            <w:r>
              <w:rPr>
                <w:rFonts w:ascii="Arial" w:cs="Arial" w:eastAsia="Arial" w:hAnsi="Arial"/>
                <w:sz w:val="18"/>
                <w:szCs w:val="18"/>
                <w:color w:val="auto"/>
              </w:rPr>
              <w:t>(0.03)</w:t>
            </w:r>
            <w:r>
              <w:rPr>
                <w:rFonts w:ascii="Arial" w:cs="Arial" w:eastAsia="Arial" w:hAnsi="Arial"/>
                <w:sz w:val="29"/>
                <w:szCs w:val="29"/>
                <w:color w:val="auto"/>
                <w:vertAlign w:val="superscript"/>
              </w:rPr>
              <w:t>(2)</w:t>
            </w:r>
          </w:p>
        </w:tc>
        <w:tc>
          <w:tcPr>
            <w:tcW w:w="1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160" w:type="dxa"/>
            <w:vAlign w:val="bottom"/>
            <w:gridSpan w:val="2"/>
            <w:shd w:val="clear" w:color="auto" w:fill="CCFFCC"/>
          </w:tcPr>
          <w:p>
            <w:pPr>
              <w:jc w:val="right"/>
              <w:ind w:right="265"/>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4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2"/>
          </w:tcPr>
          <w:p>
            <w:pPr>
              <w:jc w:val="right"/>
              <w:ind w:right="265"/>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Change in unrealized appreciation (depreciation)</w:t>
            </w:r>
          </w:p>
        </w:tc>
        <w:tc>
          <w:tcPr>
            <w:tcW w:w="146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2040" w:type="dxa"/>
            <w:vAlign w:val="bottom"/>
            <w:gridSpan w:val="2"/>
            <w:shd w:val="clear" w:color="auto" w:fill="CCFFCC"/>
          </w:tcPr>
          <w:p>
            <w:pPr>
              <w:jc w:val="right"/>
              <w:ind w:right="320"/>
              <w:spacing w:after="0" w:line="269" w:lineRule="exact"/>
              <w:rPr>
                <w:sz w:val="20"/>
                <w:szCs w:val="20"/>
                <w:color w:val="auto"/>
              </w:rPr>
            </w:pPr>
            <w:r>
              <w:rPr>
                <w:rFonts w:ascii="Arial" w:cs="Arial" w:eastAsia="Arial" w:hAnsi="Arial"/>
                <w:sz w:val="18"/>
                <w:szCs w:val="18"/>
                <w:color w:val="auto"/>
              </w:rPr>
              <w:t>0.11</w:t>
            </w:r>
            <w:r>
              <w:rPr>
                <w:rFonts w:ascii="Arial" w:cs="Arial" w:eastAsia="Arial" w:hAnsi="Arial"/>
                <w:sz w:val="30"/>
                <w:szCs w:val="30"/>
                <w:color w:val="auto"/>
                <w:vertAlign w:val="superscript"/>
              </w:rPr>
              <w:t>(5)</w:t>
            </w:r>
          </w:p>
        </w:tc>
        <w:tc>
          <w:tcPr>
            <w:tcW w:w="1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160" w:type="dxa"/>
            <w:vAlign w:val="bottom"/>
            <w:gridSpan w:val="2"/>
            <w:shd w:val="clear" w:color="auto" w:fill="CCFFCC"/>
          </w:tcPr>
          <w:p>
            <w:pPr>
              <w:jc w:val="right"/>
              <w:ind w:right="265"/>
              <w:spacing w:after="0" w:line="269" w:lineRule="exact"/>
              <w:rPr>
                <w:sz w:val="20"/>
                <w:szCs w:val="20"/>
                <w:color w:val="auto"/>
              </w:rPr>
            </w:pPr>
            <w:r>
              <w:rPr>
                <w:rFonts w:ascii="Arial" w:cs="Arial" w:eastAsia="Arial" w:hAnsi="Arial"/>
                <w:sz w:val="18"/>
                <w:szCs w:val="18"/>
                <w:color w:val="auto"/>
              </w:rPr>
              <w:t>(0.30)</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asset value at end of period</w:t>
            </w:r>
          </w:p>
        </w:tc>
        <w:tc>
          <w:tcPr>
            <w:tcW w:w="1460" w:type="dxa"/>
            <w:vAlign w:val="bottom"/>
            <w:tcBorders>
              <w:bottom w:val="single" w:sz="8" w:color="CCFFC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500" w:type="dxa"/>
            <w:vAlign w:val="bottom"/>
            <w:tcBorders>
              <w:bottom w:val="single" w:sz="8" w:color="CCFFCC"/>
            </w:tcBorders>
          </w:tcPr>
          <w:p>
            <w:pPr>
              <w:spacing w:after="0"/>
              <w:rPr>
                <w:sz w:val="22"/>
                <w:szCs w:val="22"/>
                <w:color w:val="auto"/>
              </w:rPr>
            </w:pPr>
          </w:p>
        </w:tc>
        <w:tc>
          <w:tcPr>
            <w:tcW w:w="180" w:type="dxa"/>
            <w:vAlign w:val="bottom"/>
            <w:tcBorders>
              <w:bottom w:val="single" w:sz="8" w:color="CCFFC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56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shd w:val="clear" w:color="auto" w:fill="CCFFCC"/>
          </w:tcPr>
          <w:p>
            <w:pPr>
              <w:spacing w:after="0"/>
              <w:rPr>
                <w:sz w:val="17"/>
                <w:szCs w:val="17"/>
                <w:color w:val="auto"/>
              </w:rPr>
            </w:pPr>
          </w:p>
        </w:tc>
        <w:tc>
          <w:tcPr>
            <w:tcW w:w="14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5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18.70</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Total return based on market value</w:t>
            </w:r>
          </w:p>
        </w:tc>
        <w:tc>
          <w:tcPr>
            <w:tcW w:w="14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2040" w:type="dxa"/>
            <w:vAlign w:val="bottom"/>
            <w:gridSpan w:val="2"/>
            <w:shd w:val="clear" w:color="auto" w:fill="CCFFCC"/>
          </w:tcPr>
          <w:p>
            <w:pPr>
              <w:jc w:val="right"/>
              <w:ind w:right="180"/>
              <w:spacing w:after="0" w:line="256" w:lineRule="exact"/>
              <w:rPr>
                <w:sz w:val="20"/>
                <w:szCs w:val="20"/>
                <w:color w:val="auto"/>
              </w:rPr>
            </w:pPr>
            <w:r>
              <w:rPr>
                <w:rFonts w:ascii="Arial" w:cs="Arial" w:eastAsia="Arial" w:hAnsi="Arial"/>
                <w:sz w:val="18"/>
                <w:szCs w:val="18"/>
                <w:color w:val="auto"/>
              </w:rPr>
              <w:t>34.05%</w:t>
            </w:r>
            <w:r>
              <w:rPr>
                <w:rFonts w:ascii="Arial" w:cs="Arial" w:eastAsia="Arial" w:hAnsi="Arial"/>
                <w:sz w:val="29"/>
                <w:szCs w:val="29"/>
                <w:color w:val="auto"/>
                <w:vertAlign w:val="superscript"/>
              </w:rPr>
              <w:t>(6)</w:t>
            </w:r>
          </w:p>
        </w:tc>
        <w:tc>
          <w:tcPr>
            <w:tcW w:w="1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160" w:type="dxa"/>
            <w:vAlign w:val="bottom"/>
            <w:gridSpan w:val="2"/>
            <w:shd w:val="clear" w:color="auto" w:fill="CCFFCC"/>
          </w:tcPr>
          <w:p>
            <w:pPr>
              <w:jc w:val="right"/>
              <w:ind w:right="105"/>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40" w:type="dxa"/>
            <w:vAlign w:val="bottom"/>
            <w:gridSpan w:val="2"/>
          </w:tcPr>
          <w:p>
            <w:pPr>
              <w:jc w:val="right"/>
              <w:ind w:right="180"/>
              <w:spacing w:after="0" w:line="256" w:lineRule="exact"/>
              <w:rPr>
                <w:sz w:val="20"/>
                <w:szCs w:val="20"/>
                <w:color w:val="auto"/>
              </w:rPr>
            </w:pPr>
            <w:r>
              <w:rPr>
                <w:rFonts w:ascii="Arial" w:cs="Arial" w:eastAsia="Arial" w:hAnsi="Arial"/>
                <w:sz w:val="18"/>
                <w:szCs w:val="18"/>
                <w:color w:val="auto"/>
              </w:rPr>
              <w:t>4.02%</w:t>
            </w:r>
            <w:r>
              <w:rPr>
                <w:rFonts w:ascii="Arial" w:cs="Arial" w:eastAsia="Arial" w:hAnsi="Arial"/>
                <w:sz w:val="29"/>
                <w:szCs w:val="29"/>
                <w:color w:val="auto"/>
                <w:vertAlign w:val="superscript"/>
              </w:rPr>
              <w:t>(6)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2"/>
          </w:tcPr>
          <w:p>
            <w:pPr>
              <w:jc w:val="right"/>
              <w:ind w:right="105"/>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Shares outstanding at end of period</w:t>
            </w:r>
          </w:p>
        </w:tc>
        <w:tc>
          <w:tcPr>
            <w:tcW w:w="1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12,420,100</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5,520,100</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Ratio / Supplemental Data:</w:t>
            </w:r>
          </w:p>
        </w:tc>
        <w:tc>
          <w:tcPr>
            <w:tcW w:w="1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167,349,108</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71,503,248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Average net assets</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104,913,980</w:t>
            </w:r>
          </w:p>
        </w:tc>
        <w:tc>
          <w:tcPr>
            <w:tcW w:w="500" w:type="dxa"/>
            <w:vAlign w:val="bottom"/>
            <w:shd w:val="clear" w:color="auto" w:fill="CCFFCC"/>
          </w:tcPr>
          <w:p>
            <w:pPr>
              <w:spacing w:after="0"/>
              <w:rPr>
                <w:sz w:val="18"/>
                <w:szCs w:val="18"/>
                <w:color w:val="auto"/>
              </w:rPr>
            </w:pP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44,532,523</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tcPr>
          <w:p>
            <w:pPr>
              <w:spacing w:after="0" w:line="256" w:lineRule="exact"/>
              <w:rPr>
                <w:sz w:val="20"/>
                <w:szCs w:val="20"/>
                <w:color w:val="auto"/>
              </w:rPr>
            </w:pPr>
            <w:r>
              <w:rPr>
                <w:rFonts w:ascii="Arial" w:cs="Arial" w:eastAsia="Arial" w:hAnsi="Arial"/>
                <w:sz w:val="18"/>
                <w:szCs w:val="18"/>
                <w:color w:val="auto"/>
                <w:w w:val="92"/>
              </w:rPr>
              <w:t xml:space="preserve">Annualized ratio of gross operating expenses to average net assets </w:t>
            </w:r>
            <w:r>
              <w:rPr>
                <w:rFonts w:ascii="Arial" w:cs="Arial" w:eastAsia="Arial" w:hAnsi="Arial"/>
                <w:sz w:val="29"/>
                <w:szCs w:val="29"/>
                <w:color w:val="auto"/>
                <w:w w:val="92"/>
                <w:vertAlign w:val="superscript"/>
              </w:rPr>
              <w:t>(8)</w:t>
            </w:r>
          </w:p>
        </w:tc>
        <w:tc>
          <w:tcPr>
            <w:tcW w:w="1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40" w:type="dxa"/>
            <w:vAlign w:val="bottom"/>
            <w:gridSpan w:val="2"/>
          </w:tcPr>
          <w:p>
            <w:pPr>
              <w:jc w:val="right"/>
              <w:ind w:right="36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2"/>
          </w:tcPr>
          <w:p>
            <w:pPr>
              <w:jc w:val="right"/>
              <w:ind w:right="345"/>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w w:val="96"/>
              </w:rPr>
              <w:t xml:space="preserve">Annualized ratio of net operating expenses to average net assets </w:t>
            </w:r>
            <w:r>
              <w:rPr>
                <w:rFonts w:ascii="Arial" w:cs="Arial" w:eastAsia="Arial" w:hAnsi="Arial"/>
                <w:sz w:val="29"/>
                <w:szCs w:val="29"/>
                <w:color w:val="auto"/>
                <w:w w:val="96"/>
                <w:vertAlign w:val="superscript"/>
              </w:rPr>
              <w:t>(8)</w:t>
            </w:r>
          </w:p>
        </w:tc>
        <w:tc>
          <w:tcPr>
            <w:tcW w:w="146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20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160" w:type="dxa"/>
            <w:vAlign w:val="bottom"/>
            <w:gridSpan w:val="2"/>
            <w:shd w:val="clear" w:color="auto" w:fill="CCFFCC"/>
          </w:tcPr>
          <w:p>
            <w:pPr>
              <w:jc w:val="right"/>
              <w:ind w:right="345"/>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7"/>
              </w:rPr>
              <w:t xml:space="preserve">Annualized ratio of net investment income to average net assets </w:t>
            </w:r>
            <w:r>
              <w:rPr>
                <w:rFonts w:ascii="Arial" w:cs="Arial" w:eastAsia="Arial" w:hAnsi="Arial"/>
                <w:sz w:val="30"/>
                <w:szCs w:val="30"/>
                <w:color w:val="auto"/>
                <w:w w:val="97"/>
                <w:vertAlign w:val="superscript"/>
              </w:rPr>
              <w:t>(8)</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jc w:val="right"/>
              <w:ind w:right="285"/>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period.</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9" w:lineRule="exact"/>
        <w:rPr>
          <w:rFonts w:ascii="Arial" w:cs="Arial" w:eastAsia="Arial" w:hAnsi="Arial"/>
          <w:sz w:val="18"/>
          <w:szCs w:val="18"/>
          <w:color w:val="auto"/>
        </w:rPr>
      </w:pPr>
    </w:p>
    <w:p>
      <w:pPr>
        <w:ind w:left="240" w:right="2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common shares for the three months ended March 31, 2012 is based on the change in net asset value from the secondary offering on February 10, 2012.</w:t>
      </w:r>
    </w:p>
    <w:p>
      <w:pPr>
        <w:ind w:left="240" w:right="2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ind w:left="240" w:right="14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jc w:val="both"/>
        <w:ind w:left="240" w:right="2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total returns are not annualized.</w:t>
      </w:r>
    </w:p>
    <w:p>
      <w:pPr>
        <w:spacing w:after="0" w:line="1" w:lineRule="exact"/>
        <w:rPr>
          <w:rFonts w:ascii="Arial" w:cs="Arial" w:eastAsia="Arial" w:hAnsi="Arial"/>
          <w:sz w:val="18"/>
          <w:szCs w:val="18"/>
          <w:color w:val="auto"/>
        </w:rPr>
      </w:pPr>
    </w:p>
    <w:p>
      <w:pPr>
        <w:jc w:val="both"/>
        <w:ind w:left="240" w:right="20" w:hanging="232"/>
        <w:spacing w:after="0" w:line="250"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1" w:lineRule="exact"/>
        <w:rPr>
          <w:rFonts w:ascii="Arial" w:cs="Arial" w:eastAsia="Arial" w:hAnsi="Arial"/>
          <w:sz w:val="18"/>
          <w:szCs w:val="18"/>
          <w:color w:val="auto"/>
        </w:rPr>
      </w:pPr>
    </w:p>
    <w:p>
      <w:pPr>
        <w:jc w:val="both"/>
        <w:ind w:left="240" w:right="20" w:hanging="232"/>
        <w:spacing w:after="0" w:line="295" w:lineRule="auto"/>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Highlights for periods of less than one year are annualized and the ratios of operating expenses to average net assets and net investment loss to average net assets are adjusted accordingly. Non-recurring expenses were not annualized. For the period from January 6, 2011 (date of inception) to December 31, 2011, the Company incurred $198,831 of Organizational Expenses, which were deemed to be non-recurring. Average net assets for the period from January 6, 2011 (date of inception) to December 31, 2011, were calculated starting from the issuance of 100 shares on February 28,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will elect to be treated for federal income tax purposes as a RIC. As a RIC, the Company generally will not pay corporate-level U.S. federal income taxes on any net ordinary income or capital gains that the Company distributes to its stockholders as dividends. 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March 31, 2012, the Company closed on investments of $45.4 million, plus transaction costs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$1,143,800, plus transaction costs, in Bloom Energy Corporation, a fuel cell energy company, on April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$9,999,996, plus transaction costs, in Violin Memory, Inc., a flash memory company, on April 11,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$4,000,000, plus transaction costs in Top Hat, Inc., an internet commerce company, on April 13, 2012.</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investments of $2,369,500, $1,277,500 and $350,000, plus transaction costs in Control4 Corporation, a smart home automation company, on April 18, 20102, April 19, 2012 and April 20, 2012,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$2,999,998, plus transaction costs in Global Education Learning (Holdings) Ltd., an education technology company, on April 19,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investments of $5,312,492, $4,875,010 and $7,312,498, plus transaction costs in Twitter, Inc., a social communication company, on April 25, 2012, April 27, 2012, and April 30,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$3,800,000, plus transaction costs in Silver Spring Networks, Inc., a smart grid company, on May 1,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$1,969,996, plus transaction costs in Fullbridge, Inc., a business education company, on May 4, 2012.</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presently in the final stages of negotiations with a handful of private company investments that it anticipates entering into within the next 30 to 60 days, subject to applicable closing conditions. These equity investments may be made through the secondary market and involve making deposits in escrow accounts until certain conditions are met. Moreover, each underlying issuer has the right to terminate the deal before such conditions are satisfied. Pursuant to the terms of our agreements with each of these prospective issuers, at such time that these conditions are satisfied, the escrow accounts will close, and our equity investments will be effectuated.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 looking statements contained in this quarterly report on Form 10-Q involve risks and uncertainties, including statements as to:</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analysis of our financial condition and results of operations should be read in conjunction with our financial statements and the related notes included in the annual report on Form 10-K for the year ended December 31, 2011 and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jc w:val="both"/>
        <w:ind w:firstLine="648"/>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media, mobility, cloud computing, software-as-a-service,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anticipate that substantially all of the net proceeds of our follow-on offering, which closed in February 2012, will be used for the above purposes within six to 12 months, depending on the availability of investment opportunities that are consistent with our investment objectives and market conditions.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seek to create a low-turnover portfolio that we expect will initially include investments in 25 to 35 companies representing a broad range of investment themes. As of March 31, 2012, we have completed investments in 25 companies for aggregate consideration of approximately $75.5 million (exclusive of transaction fees and costs), or 43.8% of the net proceeds from our initial public offering and subsequent follow-on offerings. We expect that the total number of portfolio companies in which we are invested will increase as our equity capital base grows.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28, 2011, we priced our initial public offering of 3,335,000 shares of our common stock at the offering price of $15.00 per share. The initial public offering closed on May 3, 2011, resulting in net proceeds to GSV Capital Corp. of approximately $46.5 million. On September 26, 2011, we priced a follow-on offering of 2,185,000 shares of our common stock at an offering price $14.15 per share. The follow-on offering included the full exercise of the underwriters’ option to purchase an additional 285,000 shares of our common stock, resulting in net proceeds to GSV Capital Corp. of approximately $29.6 million. On February 10, 2012, we priced a follow-on offering of 6,900,000 shares of our common stock at an offering price of $15.00 per share. The follow-on offering included the full exercise of the underwriters’ option to purchase an additional 900,000 share of our common stock, resulting in net proceeds to GSV Capital Corp. of approximately $96.2 million. Our shares are currently listed on the NASDAQ Capital Market under the symbol ‘‘GSVC’’.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our investments can be expected to fluctuate in future periods due to changes in our investments and changes in the fair value of the investments. The investments made during the three months ended March 31, 2012 include: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 plus transaction costs, in AlwaysOn, LLC, a social media company, on January 10,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$200,000, plus transaction costs, in Maven Research, Inc., a global knowledge marketplace, on February 28,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AltEgo, LLC, an avatar technology and games developer, on February 29,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$4,000,000, plus transaction costs, in Chegg, Inc., an online textbook rental company, on March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$150,000, plus transaction costs, in AlwaysOn, LLC, a social media company, on March 9,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$250,000, plus transaction costs, in The Echo System Corp., a social analytics company, on March 21, 2012.</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closed on an investment of $1,000,000, plus transaction costs, in StormWind, an electronic marketing and business services platform, on March 23,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$855,000, plus transaction costs, in Bloom Energy Corporation, a fuel cell energy company, on March 28, 2012.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We closed on an investment of $2,000,000, plus transaction costs, in CUX, Inc., a corporate education company, on March 29,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$750,000, plus transaction costs, in The Echo System Corp., a social media company, on March 30,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$750,000, plus transaction costs, in The rSmart Group, Inc., a higher education learning platform, on March 30, 2012.</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as of March 31, 2012, of all of our portfolio investments was $75,756,910. In addition, we held $16,000,000 in two money market funds as of March 31, 2012. We also held $75,391,344 in unrestricted cash on March 31,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2012 and the period from January 6, 2011(date of inception) to March 31, 2011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January 6, 2011 was our date of inception and April 28, 2011 was the date of our initial public offering, the period from January 6, 2011 to March 31, 2011 is not a directly comparable period to the three months ended March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2012, we had investment income of $117,805, or $0.01 per share, which consisted of $112,101 of interest income from our portfolio investments and $5,704 of dividend income from our money market investments.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did not have investment income for the period from January 6, 2011 (date of inception) to March 31, 2011, given that we had not yet at that time completed our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March 31, 2012, we had $1,211,807 in total operating expenses consisting primarily of investment management fees and administration fees, in addition to legal, audit and consulting fees. The investment advisory fee for the three months ended March 31, 2012, was $621,926, representing the base fee as provided in our investment advisory agreement. Costs incurred under our administration agreement for the three months ended March 31, 2012, were $345,594. Professional fees, consisting of legal, valuation, audit and consulting fees, were approximately $131,845 for the three months ended March 31, 2012.</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period from January 6, 2011 (date of inception) to March 31, 2011, we had $110,808 in total operating expenses, consisting primarily of organization expenses and professional fees relating to our initial public offering. Organizational expenses for the period from January 6, 2011 (date of inception) to March 31, 2011 were $94,640. Professional fees, consisting of legal, audit and consulting fees, were approximately $16,050 for the period from January 6, 2011 (date of inception) to March 31,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March 31, 2012, we had a net change in unrealized appreciation of $1,011,195, or $0.11 per share. The change in unrealized appreciation is primarily a result of an increase in the fair value of our investment in Facebook, Inc. Net investment loss was $1,094,002, or $0.12 per share, for the three months ended March 31, 2012, resulting primarily from operating expenses incurred during the quarter. Net decrease in net assets resulting from operations was $83,063, or $0.01 per share, for the three months ended March 31, 2012, which reflects the extent of operating expenses incurred during the quarter.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January 6, 2011 (date of inception) to March 31, 2011, we had a net investment loss and net decrease in net assets resulting from operations of $110,808, or $1,108.08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 share figures noted above are based on a weighted-average of 9,387,133 and 100 shares outstanding for the three months ended March 31, 2012 and for the period from January 6, 2011 (date of inception) to March 31, 2011,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2012, we had investments in 25 portfolio companies with costs totaling $76,325,515, two money market funds totaling $16,000,000 and cash in the amount of $75,391,344.</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February 10, 2012, we priced a follow-on offering of 6,900,000 shares of our common stock at an offering price of $15.00 per share. The follow-on offering included the full exercise of the underwriters’ option to purchase an additional 900,000 share of our common stock, resulting in net proceeds to GSV Capital Corp. of approximately $96.2 million. Our shares are currently listed on the NASDAQ Capital Market under the symbol ‘‘GSVC’’.</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March 31, 2012, except for amounts retained for purposes of funding our ongoing expenses.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current policy is to maintain cash reserves in an amount sufficient to pay our operating expenses, including investment management fees, incentive fees and costs incurred under the administration agreement, for approximately two years. For a description of the investment advisory and administration services we receive, see ‘‘Related Party Transactions and Certain Relationships’’. We incurred approximately $621,926 in investment management fees and $345,594 in costs incurred under the administration agreement for the three months ended March 31, 2012.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March 31, 2012, the fair value of our portfolio investments was equal to the cost of the investments, net of unrealized depreciation representing transaction costs and any fair value adjustments. Four of our investments, Echo, Facebook, Groupon and SharesPost, had fair value adjustments. In March 2012, Echo had a Series A financing round which was determined to be the best indication of value and was used to determine fair value. Given Facebook’s filing for an initial public offering and the significant activity on secondary markets, the recent secondary market transactions were considered to determine fair value. Groupon conducted an IPO on November 4, 2011. Our shares in Groupon are presently subject to a lock-up agreement that expires on May 1, 2012. The fair value for Groupon was estimated using the close price on a public exchange as of the valuation date, adjusted for a discount due to lack of marketability of 7% that was primarily based on the market price of publicly traded put options with a similar term as the lock-up as of March 31, 2012. Our investment in SharesPost includes Series B preferred shares and warrants. After our investment in SharesPost in July 2011, SharesPost held a subsequent financing for Series B preferred shares, which did not include warrants. Accordingly, only our investment in preferred shares was adjusted due to the subsequent financing. The fair value of our investments can be expected to fluctuate in future periods due to changes in our investments and changes in the fair value of the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2012, we had no off-balance sheet arrangements, including any risk management of commodity pricing or other hedging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2011 taxable year. To obtain and maintain RIC tax treatment, we must, among other things, distribute at least 90% of our ordinary income and realized net short-term capital gains in excess of realized net long-term capital losses, if any, for each taxable year. In addition, in order to avoid certain excise taxes imposed on RICs, we currently intend to distribute during each calendar year an amount at least equal to the sum of (1) 98% of our ordinary income for the calendar year,</w:t>
      </w:r>
    </w:p>
    <w:p>
      <w:pPr>
        <w:spacing w:after="0" w:line="2" w:lineRule="exact"/>
        <w:rPr>
          <w:sz w:val="20"/>
          <w:szCs w:val="20"/>
          <w:color w:val="auto"/>
        </w:rPr>
      </w:pPr>
    </w:p>
    <w:p>
      <w:pPr>
        <w:jc w:val="both"/>
        <w:ind w:firstLine="8"/>
        <w:spacing w:after="0" w:line="268" w:lineRule="auto"/>
        <w:tabs>
          <w:tab w:leader="none" w:pos="262" w:val="left"/>
        </w:tabs>
        <w:numPr>
          <w:ilvl w:val="0"/>
          <w:numId w:val="15"/>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one-year period ending on October 31 of the calendar year and (3) any ordinary income and net capital gains for preceding years that were not distributed during such years. Although we currently intend to distribute realized net capital gains (</w:t>
      </w:r>
      <w:r>
        <w:rPr>
          <w:rFonts w:ascii="Arial" w:cs="Arial" w:eastAsia="Arial" w:hAnsi="Arial"/>
          <w:sz w:val="17"/>
          <w:szCs w:val="17"/>
          <w:i w:val="1"/>
          <w:iCs w:val="1"/>
          <w:color w:val="auto"/>
        </w:rPr>
        <w:t>i.e.</w:t>
      </w:r>
      <w:r>
        <w:rPr>
          <w:rFonts w:ascii="Arial" w:cs="Arial" w:eastAsia="Arial" w:hAnsi="Arial"/>
          <w:sz w:val="17"/>
          <w:szCs w:val="17"/>
          <w:color w:val="auto"/>
        </w:rPr>
        <w:t>, net long-term capital gains in excess of net short-term capital losses), if any, at least annually, we may in the future decide to retain such capital gains for investment but designate the retained net capital gain as a “deemed distribution.”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jc w:val="both"/>
        <w:ind w:firstLine="648"/>
        <w:spacing w:after="0" w:line="270"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borrowings outstanding as of March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$621,926 in base fees and $0 in incentive fees for the three months ended March 31, 2012.</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2012, we were owed $14,220 from GSV Asset Management for reimbursement of travel-related expenses paid for by us that were the responsibility of GSV Asset Management.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as of March 31, 2012, we owed GSV Asset Management $16,524 for reimbursement of travel-related and other expenses. We owed certain officers and directors $5,669 in reimbursements for travel-related and other expenses.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$345,594 in such costs incurred under the Administration Agreement for the three months ended March 31, 2012.</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April 2012, in connection with our investment in Top Hat, Inc., Cherry Tree &amp; Associates, LLC, an investment banking firm, received a fee of approximately $259,000 for its representation of Top Hat, Inc. Mark Moe, who is the brother of our Chief Executive Officer, Michael Moe, presently serves as a Managing Director of Cherry Tree &amp; Associates, LLC, and may therefore be deemed to have an indirect material interest in such transaction.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fair value measurement guidance classifies the inputs used to measure these fair values into the following hierarchy:</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the ability to access.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asset’s categorization within the valuation hierarchy is based upon the lowest level of input that is significant to the fair value measurement.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intends to elect to be treated as a regulated investment company (“RIC”) under subchapter M of the Internal Revenue Code of 1986, as amended, and intends to operate in a manner so as to qualify for the tax treatment applicable to RICs. In order to qualify as a RIC, among other things, the Company is required to distribute to its stockholders on a timely basis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financial statements of the Company.</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evaluates tax positions taken or expected to be taken in the course of preparing its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This accounting standard is effective prospectively for interim and annual reporting periods beginning after December 15, 2011. The adoption of this guidance did not have a significant impact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March 31, 2012, the Company closed on investments of $45.4 million, plus transaction costs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$1,143,800, plus transaction costs, in Bloom Energy Corporation, a fuel cell energy company, on April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$9,999,996, plus transaction costs, in Violin Memory, Inc., a flash memory company, on April 11,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$4,000,000, plus transaction costs in Top Hat, Inc., an internet commerce company, on April 13, 2012.</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investments of $2,369,500, $1,277,500 and $350,000, plus transaction costs in Control4 Corporation, a smart home automation company, on April 18, 20102, April 19, 2012 and April 20, 2012,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$2,999,998, plus transaction costs in Global Education Learning (Holdings) Ltd., an education technology company, on April 19,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investments of $5,312,492, $4,875,010 and $7,312,498, plus transaction costs in Twitter, Inc., a social communication company, on April 25, 2012, April 27, 2012, and April 30, 2012,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The Company closed on an investment of $3,800,000, plus transaction costs in Silver Spring Networks, Inc., a smart grid company, on May 1,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$1,969,996, plus transaction costs in Fullbridge, Inc., a business education company, on May 4, 2012.</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presently in the final stages of negotiations with a handful of private company investments that it anticipates entering into within the next 30 to 60 days, subject to applicable closing conditions. These equity investments may be made through the secondary market and involve making deposits in escrow accounts until certain conditions are met. Moreover, each underlying issuer has the right to terminate the deal before such conditions are satisfied. Pursuant to the terms of our agreements with each of these prospective issuers, at such time that these conditions are satisfied, the escrow accounts will close, and our equity investments will be effectuated.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720"/>
        <w:spacing w:after="0" w:line="253" w:lineRule="auto"/>
        <w:rPr>
          <w:sz w:val="20"/>
          <w:szCs w:val="20"/>
          <w:color w:val="auto"/>
        </w:rPr>
      </w:pPr>
      <w:r>
        <w:rPr>
          <w:rFonts w:ascii="Arial" w:cs="Arial" w:eastAsia="Arial" w:hAnsi="Arial"/>
          <w:sz w:val="18"/>
          <w:szCs w:val="18"/>
          <w:color w:val="auto"/>
        </w:rPr>
        <w:t>As of March 31, 2012,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March 31, 2012 that have materially affected, or are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2011,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With the exception of the risk factors set forth below, there have been no material changes during the three months ended March 31, 2012 to the risk factors discussed in Item 1A. Risk Factors in our Annual Report on Form 10-K for the year ended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potential conflicts of interest, which could impact our investment returns and limit the flexibility of our investment policies.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any future offerings may incur immediate and substantial dilution.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Commissions and discounts payable to any underwriters, together with our organizational expense and other expenses of any future offering, may reduce the net proceeds of any such offering available for us to invest. As of March 31, 2012 our net asset value was $167,349,108, or $13.47 per share. Depending upon the public offering price, and after deducting the underwriting discounts and commissions and the related offering expenses payable by us, in connection with any future offering, investors in any such offering may be subject to an immediate and substantial dilution.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040"/>
        <w:spacing w:after="0"/>
        <w:rPr>
          <w:sz w:val="20"/>
          <w:szCs w:val="20"/>
          <w:color w:val="auto"/>
        </w:rPr>
      </w:pPr>
      <w:r>
        <w:rPr>
          <w:rFonts w:ascii="Arial" w:cs="Arial" w:eastAsia="Arial" w:hAnsi="Arial"/>
          <w:sz w:val="16"/>
          <w:szCs w:val="16"/>
          <w:b w:val="1"/>
          <w:bCs w:val="1"/>
          <w:color w:val="auto"/>
        </w:rPr>
        <w:t>Item 4. Mine Safety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Dividend Reinvestment Plan*</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Investment Advisory Agreement by and between Registrant and GSV Asset Management, LLC (f/k/a NeXt Asset Management, LLC) *</w:t>
      </w:r>
    </w:p>
    <w:p>
      <w:pPr>
        <w:spacing w:after="0" w:line="225" w:lineRule="exact"/>
        <w:rPr>
          <w:sz w:val="20"/>
          <w:szCs w:val="20"/>
          <w:color w:val="auto"/>
        </w:rPr>
      </w:pPr>
    </w:p>
    <w:p>
      <w:pPr>
        <w:ind w:left="860" w:right="560" w:hanging="755"/>
        <w:spacing w:after="0" w:line="277" w:lineRule="auto"/>
        <w:tabs>
          <w:tab w:leader="none" w:pos="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Administration Agreement by and between Registrant and GSV Capital Service Company, LLC (f/k/a NeXt Innovation Service Company, LLC)*</w:t>
      </w:r>
    </w:p>
    <w:p>
      <w:pPr>
        <w:spacing w:after="0" w:line="170"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Trademark License Agreement by and between Registrant and GSV Asset Management, LLC**</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 1934, as amended</w:t>
      </w:r>
    </w:p>
    <w:p>
      <w:pPr>
        <w:spacing w:after="0" w:line="23"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 1934, as amended.</w:t>
      </w:r>
    </w:p>
    <w:p>
      <w:pPr>
        <w:spacing w:after="0" w:line="211"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9" w:lineRule="exact"/>
        <w:rPr>
          <w:sz w:val="20"/>
          <w:szCs w:val="20"/>
          <w:color w:val="auto"/>
        </w:rPr>
      </w:pPr>
    </w:p>
    <w:p>
      <w:pPr>
        <w:ind w:firstLine="53"/>
        <w:spacing w:after="0" w:line="250"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rPr>
          <w:rFonts w:ascii="Arial" w:cs="Arial" w:eastAsia="Arial" w:hAnsi="Arial"/>
          <w:sz w:val="18"/>
          <w:szCs w:val="18"/>
          <w:color w:val="auto"/>
        </w:rPr>
      </w:pPr>
      <w:r>
        <w:rPr>
          <w:rFonts w:ascii="Arial" w:cs="Arial" w:eastAsia="Arial" w:hAnsi="Arial"/>
          <w:sz w:val="18"/>
          <w:szCs w:val="18"/>
          <w:color w:val="auto"/>
        </w:rPr>
        <w:t>** Previously filed in connection with Current Report on Form 8-K (File No. 814-00852) filed on June 1, 2011.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Arial" w:cs="Arial" w:eastAsia="Arial" w:hAnsi="Arial"/>
                <w:sz w:val="18"/>
                <w:szCs w:val="18"/>
                <w:b w:val="1"/>
                <w:bCs w:val="1"/>
                <w:color w:val="auto"/>
              </w:rPr>
              <w:t>GSV CAPITAL CORP.</w:t>
            </w:r>
          </w:p>
        </w:tc>
      </w:tr>
      <w:tr>
        <w:trPr>
          <w:trHeight w:val="432"/>
        </w:trPr>
        <w:tc>
          <w:tcPr>
            <w:tcW w:w="350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7, 2012</w:t>
            </w:r>
          </w:p>
        </w:tc>
        <w:tc>
          <w:tcPr>
            <w:tcW w:w="7920" w:type="dxa"/>
            <w:vAlign w:val="bottom"/>
            <w:gridSpan w:val="2"/>
          </w:tcPr>
          <w:p>
            <w:pPr>
              <w:ind w:left="22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35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President and Chairman of the Board of</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Directors</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56"/>
        </w:trPr>
        <w:tc>
          <w:tcPr>
            <w:tcW w:w="350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7, 2012</w:t>
            </w:r>
          </w:p>
        </w:tc>
        <w:tc>
          <w:tcPr>
            <w:tcW w:w="7920" w:type="dxa"/>
            <w:vAlign w:val="bottom"/>
            <w:gridSpan w:val="2"/>
          </w:tcPr>
          <w:p>
            <w:pPr>
              <w:ind w:left="22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Stephen D. Bard</w:t>
            </w:r>
          </w:p>
        </w:tc>
      </w:tr>
      <w:tr>
        <w:trPr>
          <w:trHeight w:val="195"/>
        </w:trPr>
        <w:tc>
          <w:tcPr>
            <w:tcW w:w="35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D. Bard</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5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5" w:name="page36"/>
    <w:bookmarkEnd w:id="35"/>
    <w:p>
      <w:pPr>
        <w:ind w:left="40"/>
        <w:spacing w:after="0"/>
        <w:rPr>
          <w:sz w:val="20"/>
          <w:szCs w:val="20"/>
          <w:color w:val="auto"/>
        </w:rPr>
      </w:pPr>
      <w:r>
        <w:rPr>
          <w:rFonts w:ascii="Arial" w:cs="Arial" w:eastAsia="Arial" w:hAnsi="Arial"/>
          <w:sz w:val="32"/>
          <w:szCs w:val="32"/>
          <w:b w:val="1"/>
          <w:bCs w:val="1"/>
          <w:color w:val="auto"/>
        </w:rPr>
        <w:t>Section 2: EX-31.1</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225"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56"/>
        <w:spacing w:after="0" w:line="277"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64" w:lineRule="auto"/>
        <w:tabs>
          <w:tab w:leader="none" w:pos="9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308" w:lineRule="auto"/>
        <w:tabs>
          <w:tab w:leader="none" w:pos="947"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656"/>
        <w:spacing w:after="0" w:line="277" w:lineRule="auto"/>
        <w:tabs>
          <w:tab w:leader="none" w:pos="9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2012.</w:t>
      </w:r>
    </w:p>
    <w:p>
      <w:pPr>
        <w:spacing w:after="0" w:line="120"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right="63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jc w:val="center"/>
        <w:ind w:right="63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ind w:left="40"/>
        <w:spacing w:after="0"/>
        <w:rPr>
          <w:sz w:val="20"/>
          <w:szCs w:val="20"/>
          <w:color w:val="auto"/>
        </w:rPr>
      </w:pPr>
      <w:r>
        <w:rPr>
          <w:rFonts w:ascii="Arial" w:cs="Arial" w:eastAsia="Arial" w:hAnsi="Arial"/>
          <w:sz w:val="32"/>
          <w:szCs w:val="32"/>
          <w:b w:val="1"/>
          <w:bCs w:val="1"/>
          <w:color w:val="auto"/>
        </w:rPr>
        <w:t>Section 3: EX-31.2</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225" w:lineRule="exact"/>
        <w:rPr>
          <w:sz w:val="20"/>
          <w:szCs w:val="20"/>
          <w:color w:val="auto"/>
        </w:rPr>
      </w:pPr>
    </w:p>
    <w:p>
      <w:pPr>
        <w:ind w:left="680" w:hanging="186"/>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494"/>
        <w:spacing w:after="0" w:line="342" w:lineRule="auto"/>
        <w:tabs>
          <w:tab w:leader="none" w:pos="6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494"/>
        <w:spacing w:after="0" w:line="277" w:lineRule="auto"/>
        <w:tabs>
          <w:tab w:leader="none" w:pos="6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494"/>
        <w:spacing w:after="0" w:line="264" w:lineRule="auto"/>
        <w:tabs>
          <w:tab w:leader="none" w:pos="7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94"/>
        <w:spacing w:after="0" w:line="277" w:lineRule="auto"/>
        <w:tabs>
          <w:tab w:leader="none" w:pos="74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94"/>
        <w:spacing w:after="0" w:line="264" w:lineRule="auto"/>
        <w:tabs>
          <w:tab w:leader="none" w:pos="7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94"/>
        <w:spacing w:after="0" w:line="308" w:lineRule="auto"/>
        <w:tabs>
          <w:tab w:leader="none" w:pos="67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94"/>
        <w:spacing w:after="0" w:line="277" w:lineRule="auto"/>
        <w:tabs>
          <w:tab w:leader="none" w:pos="7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7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2012.</w:t>
      </w:r>
    </w:p>
    <w:p>
      <w:pPr>
        <w:spacing w:after="0" w:line="120"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2727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27325" cy="17145"/>
                    </a:xfrm>
                    <a:prstGeom prst="rect">
                      <a:avLst/>
                    </a:prstGeom>
                    <a:noFill/>
                  </pic:spPr>
                </pic:pic>
              </a:graphicData>
            </a:graphic>
          </wp:anchor>
        </w:drawing>
      </w:r>
    </w:p>
    <w:p>
      <w:pPr>
        <w:spacing w:after="0" w:line="16" w:lineRule="exact"/>
        <w:rPr>
          <w:sz w:val="20"/>
          <w:szCs w:val="20"/>
          <w:color w:val="auto"/>
        </w:rPr>
      </w:pPr>
    </w:p>
    <w:p>
      <w:pPr>
        <w:jc w:val="center"/>
        <w:ind w:right="6460"/>
        <w:spacing w:after="0"/>
        <w:rPr>
          <w:sz w:val="20"/>
          <w:szCs w:val="20"/>
          <w:color w:val="auto"/>
        </w:rPr>
      </w:pPr>
      <w:r>
        <w:rPr>
          <w:rFonts w:ascii="Arial" w:cs="Arial" w:eastAsia="Arial" w:hAnsi="Arial"/>
          <w:sz w:val="18"/>
          <w:szCs w:val="18"/>
          <w:b w:val="1"/>
          <w:bCs w:val="1"/>
          <w:color w:val="auto"/>
        </w:rPr>
        <w:t>Stephen D. Bard</w:t>
      </w:r>
    </w:p>
    <w:p>
      <w:pPr>
        <w:spacing w:after="0" w:line="27" w:lineRule="exact"/>
        <w:rPr>
          <w:sz w:val="20"/>
          <w:szCs w:val="20"/>
          <w:color w:val="auto"/>
        </w:rPr>
      </w:pPr>
    </w:p>
    <w:p>
      <w:pPr>
        <w:jc w:val="center"/>
        <w:ind w:right="64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7" w:name="page38"/>
    <w:bookmarkEnd w:id="37"/>
    <w:p>
      <w:pPr>
        <w:ind w:left="40"/>
        <w:spacing w:after="0"/>
        <w:rPr>
          <w:sz w:val="20"/>
          <w:szCs w:val="20"/>
          <w:color w:val="auto"/>
        </w:rPr>
      </w:pPr>
      <w:r>
        <w:rPr>
          <w:rFonts w:ascii="Arial" w:cs="Arial" w:eastAsia="Arial" w:hAnsi="Arial"/>
          <w:sz w:val="32"/>
          <w:szCs w:val="32"/>
          <w:b w:val="1"/>
          <w:bCs w:val="1"/>
          <w:color w:val="auto"/>
        </w:rPr>
        <w:t>Section 4: EX-32.1</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March 31, 2012 (the “Report”) of GSV Capital Corp. (the “Registrant”), as filed with the Securities and Exchange Commission on the date hereof, I, Michael T. Moe, the Chief Executive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T. Moe</w:t>
            </w:r>
          </w:p>
        </w:tc>
      </w:tr>
      <w:tr>
        <w:trPr>
          <w:trHeight w:val="198"/>
        </w:trPr>
        <w:tc>
          <w:tcPr>
            <w:tcW w:w="7400" w:type="dxa"/>
            <w:vAlign w:val="bottom"/>
          </w:tcPr>
          <w:p>
            <w:pPr>
              <w:ind w:left="6860"/>
              <w:spacing w:after="0" w:line="198" w:lineRule="exact"/>
              <w:rPr>
                <w:sz w:val="20"/>
                <w:szCs w:val="20"/>
                <w:color w:val="auto"/>
              </w:rPr>
            </w:pPr>
            <w:r>
              <w:rPr>
                <w:rFonts w:ascii="Arial" w:cs="Arial" w:eastAsia="Arial" w:hAnsi="Arial"/>
                <w:sz w:val="18"/>
                <w:szCs w:val="18"/>
                <w:b w:val="1"/>
                <w:bCs w:val="1"/>
                <w:color w:val="auto"/>
                <w:w w:val="94"/>
              </w:rPr>
              <w:t>Name:</w:t>
            </w:r>
          </w:p>
        </w:tc>
        <w:tc>
          <w:tcPr>
            <w:tcW w:w="4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Michael T. Moe</w:t>
            </w:r>
          </w:p>
        </w:tc>
      </w:tr>
      <w:tr>
        <w:trPr>
          <w:trHeight w:val="234"/>
        </w:trPr>
        <w:tc>
          <w:tcPr>
            <w:tcW w:w="7400" w:type="dxa"/>
            <w:vAlign w:val="bottom"/>
          </w:tcPr>
          <w:p>
            <w:pPr>
              <w:ind w:left="6860"/>
              <w:spacing w:after="0"/>
              <w:rPr>
                <w:sz w:val="20"/>
                <w:szCs w:val="20"/>
                <w:color w:val="auto"/>
              </w:rPr>
            </w:pPr>
            <w:r>
              <w:rPr>
                <w:rFonts w:ascii="Arial" w:cs="Arial" w:eastAsia="Arial" w:hAnsi="Arial"/>
                <w:sz w:val="18"/>
                <w:szCs w:val="18"/>
                <w:b w:val="1"/>
                <w:bCs w:val="1"/>
                <w:color w:val="auto"/>
              </w:rPr>
              <w:t>Date:</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93"/>
              </w:rPr>
              <w:t>May 7, 2012</w:t>
            </w:r>
          </w:p>
        </w:tc>
      </w:tr>
      <w:tr>
        <w:trPr>
          <w:trHeight w:val="216"/>
        </w:trPr>
        <w:tc>
          <w:tcPr>
            <w:tcW w:w="740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747" w:right="239" w:bottom="1440" w:gutter="0" w:footer="0" w:header="0"/>
        </w:sectPr>
      </w:pPr>
    </w:p>
    <w:bookmarkStart w:id="38" w:name="page39"/>
    <w:bookmarkEnd w:id="38"/>
    <w:p>
      <w:pPr>
        <w:ind w:left="40"/>
        <w:spacing w:after="0"/>
        <w:rPr>
          <w:sz w:val="20"/>
          <w:szCs w:val="20"/>
          <w:color w:val="auto"/>
        </w:rPr>
      </w:pPr>
      <w:r>
        <w:rPr>
          <w:rFonts w:ascii="Arial" w:cs="Arial" w:eastAsia="Arial" w:hAnsi="Arial"/>
          <w:sz w:val="32"/>
          <w:szCs w:val="32"/>
          <w:b w:val="1"/>
          <w:bCs w:val="1"/>
          <w:color w:val="auto"/>
        </w:rPr>
        <w:t>Section 5: EX-32.2</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March 31, 2012 (the “Report”) of GSV Capital Corp. (the “Registrant”), as filed with the Securities and Exchange Commission on the date hereof, I, Stephen D. Bard, the Chief Financial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60" w:type="dxa"/>
            <w:vAlign w:val="bottom"/>
          </w:tcPr>
          <w:p>
            <w:pPr>
              <w:spacing w:after="0"/>
              <w:rPr>
                <w:sz w:val="20"/>
                <w:szCs w:val="20"/>
                <w:color w:val="auto"/>
              </w:rPr>
            </w:pPr>
          </w:p>
        </w:tc>
        <w:tc>
          <w:tcPr>
            <w:tcW w:w="40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/s/ Stephen D. Bard</w:t>
            </w:r>
          </w:p>
        </w:tc>
      </w:tr>
      <w:tr>
        <w:trPr>
          <w:trHeight w:val="198"/>
        </w:trPr>
        <w:tc>
          <w:tcPr>
            <w:tcW w:w="7360" w:type="dxa"/>
            <w:vAlign w:val="bottom"/>
          </w:tcPr>
          <w:p>
            <w:pPr>
              <w:ind w:left="6860"/>
              <w:spacing w:after="0" w:line="198" w:lineRule="exact"/>
              <w:rPr>
                <w:sz w:val="20"/>
                <w:szCs w:val="20"/>
                <w:color w:val="auto"/>
              </w:rPr>
            </w:pPr>
            <w:r>
              <w:rPr>
                <w:rFonts w:ascii="Arial" w:cs="Arial" w:eastAsia="Arial" w:hAnsi="Arial"/>
                <w:sz w:val="18"/>
                <w:szCs w:val="18"/>
                <w:b w:val="1"/>
                <w:bCs w:val="1"/>
                <w:color w:val="auto"/>
                <w:w w:val="87"/>
              </w:rPr>
              <w:t>Name:</w:t>
            </w:r>
          </w:p>
        </w:tc>
        <w:tc>
          <w:tcPr>
            <w:tcW w:w="4060" w:type="dxa"/>
            <w:vAlign w:val="bottom"/>
          </w:tcPr>
          <w:p>
            <w:pPr>
              <w:jc w:val="center"/>
              <w:ind w:left="90"/>
              <w:spacing w:after="0" w:line="198" w:lineRule="exact"/>
              <w:rPr>
                <w:sz w:val="20"/>
                <w:szCs w:val="20"/>
                <w:color w:val="auto"/>
              </w:rPr>
            </w:pPr>
            <w:r>
              <w:rPr>
                <w:rFonts w:ascii="Arial" w:cs="Arial" w:eastAsia="Arial" w:hAnsi="Arial"/>
                <w:sz w:val="18"/>
                <w:szCs w:val="18"/>
                <w:b w:val="1"/>
                <w:bCs w:val="1"/>
                <w:color w:val="auto"/>
                <w:w w:val="91"/>
              </w:rPr>
              <w:t>Stephen D. Bard</w:t>
            </w:r>
          </w:p>
        </w:tc>
      </w:tr>
      <w:tr>
        <w:trPr>
          <w:trHeight w:val="234"/>
        </w:trPr>
        <w:tc>
          <w:tcPr>
            <w:tcW w:w="7360" w:type="dxa"/>
            <w:vAlign w:val="bottom"/>
          </w:tcPr>
          <w:p>
            <w:pPr>
              <w:ind w:left="6860"/>
              <w:spacing w:after="0"/>
              <w:rPr>
                <w:sz w:val="20"/>
                <w:szCs w:val="20"/>
                <w:color w:val="auto"/>
              </w:rPr>
            </w:pPr>
            <w:r>
              <w:rPr>
                <w:rFonts w:ascii="Arial" w:cs="Arial" w:eastAsia="Arial" w:hAnsi="Arial"/>
                <w:sz w:val="18"/>
                <w:szCs w:val="18"/>
                <w:b w:val="1"/>
                <w:bCs w:val="1"/>
                <w:color w:val="auto"/>
              </w:rPr>
              <w:t>Date:</w:t>
            </w:r>
          </w:p>
        </w:tc>
        <w:tc>
          <w:tcPr>
            <w:tcW w:w="40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May 7, 2012</w:t>
            </w:r>
          </w:p>
        </w:tc>
      </w:tr>
      <w:tr>
        <w:trPr>
          <w:trHeight w:val="216"/>
        </w:trPr>
        <w:tc>
          <w:tcPr>
            <w:tcW w:w="73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5"/>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2019-12-09T21:06:41Z</dcterms:created>
  <dcterms:modified xsi:type="dcterms:W3CDTF">2019-12-09T21:06:41Z</dcterms:modified>
</cp:coreProperties>
</file>