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10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1005"/>
            <w:bookmarkEnd w:id="6"/>
            <w:r>
              <w:rPr>
                <w:rFonts w:ascii="Times New Roman;Times;Serif" w:hAnsi="Times New Roman;Times;Serif"/>
                <w:b/>
                <w:i w:val="false"/>
                <w:caps w:val="false"/>
                <w:smallCaps w:val="false"/>
                <w:sz w:val="20"/>
              </w:rPr>
              <w:t>1-35156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27-4443543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640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AddressLine2_"/>
      <w:bookmarkEnd w:id="9"/>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New York, </w:t>
      </w:r>
      <w:bookmarkStart w:id="11" w:name="xdx_904_edei--EntityAddressStateOrProvin"/>
      <w:bookmarkEnd w:id="11"/>
      <w:r>
        <w:rPr>
          <w:rFonts w:ascii="Times New Roman;Times;Serif" w:hAnsi="Times New Roman;Times;Serif"/>
          <w:b/>
          <w:i w:val="false"/>
          <w:caps w:val="false"/>
          <w:smallCaps w:val="false"/>
          <w:sz w:val="20"/>
        </w:rPr>
        <w:t xml:space="preserve">NY </w:t>
      </w:r>
      <w:bookmarkStart w:id="12" w:name="xdx_90B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61005__20"/>
      <w:bookmarkEnd w:id="13"/>
      <w:r>
        <w:rPr>
          <w:rFonts w:ascii="Times New Roman;Times;Serif" w:hAnsi="Times New Roman;Times;Serif"/>
          <w:b/>
          <w:i w:val="false"/>
          <w:caps w:val="false"/>
          <w:smallCaps w:val="false"/>
          <w:sz w:val="20"/>
        </w:rPr>
        <w:t xml:space="preserve">(212) </w:t>
      </w:r>
      <w:bookmarkStart w:id="14" w:name="xdx_909_edei--LocalPhoneNumber_c20261005"/>
      <w:bookmarkEnd w:id="14"/>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6_edei--SolicitingMaterial_c202610"/>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410"/>
        <w:gridCol w:w="60"/>
        <w:gridCol w:w="1445"/>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1005"/>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1005__2"/>
            <w:bookmarkEnd w:id="20"/>
            <w:r>
              <w:rPr>
                <w:rFonts w:ascii="Times New Roman;Times;Serif" w:hAnsi="Times New Roman;Times;Serif"/>
                <w:b w:val="false"/>
                <w:i w:val="false"/>
                <w:caps w:val="false"/>
                <w:smallCaps w:val="false"/>
                <w:sz w:val="20"/>
              </w:rPr>
              <w:t>NSLR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1005"/>
            <w:bookmarkEnd w:id="22"/>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1005__2"/>
            <w:bookmarkEnd w:id="23"/>
            <w:r>
              <w:rPr>
                <w:rFonts w:ascii="Times New Roman;Times;Serif" w:hAnsi="Times New Roman;Times;Serif"/>
                <w:b w:val="false"/>
                <w:i w:val="false"/>
                <w:caps w:val="false"/>
                <w:smallCaps w:val="false"/>
                <w:sz w:val="20"/>
              </w:rPr>
              <w:t>NSLRL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2_edei--SecurityExchangeName_c2026"/>
            <w:bookmarkEnd w:id="24"/>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Neostellar Capital Corp. (“Neostellar” or the “Company”) issued a press release containing preliminary estimates of its results for the third quarter ended September 30, 2026 (the “Press Release”). A copy of the Press Release is included as Exhibit 99.1 to this Current Report on Form 8-K and is incorporated into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including the information set forth in Exhibit 99.1 hereto, is being “furnished” and shall not be deemed “filed” for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Estimates and Investment Portfolio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disclosed the following information in the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Net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the Company’s net assets totaled approximately $355.9 million, or $13.44 per share, as of June 30, 2026, compared to approximately $231.8 million, or $9.23 per share,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Company’s net asset value is estimated to be between $12.25 and $12.75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Portfolio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 held positions in 34 portfolio companies – 30 privately held and 4 publicly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2026, the Company made the following investment:</w:t>
      </w:r>
    </w:p>
    <w:p>
      <w:pPr>
        <w:pStyle w:val="TextBody"/>
        <w:bidi w:val="0"/>
        <w:spacing w:before="0" w:after="0"/>
        <w:ind w:left="0" w:right="0" w:firstLine="720"/>
        <w:jc w:val="both"/>
        <w:rPr>
          <w:caps w:val="false"/>
          <w:smallCaps w:val="false"/>
        </w:rPr>
      </w:pPr>
      <w:r>
        <w:rPr>
          <w:caps w:val="false"/>
          <w:smallCaps w:val="false"/>
        </w:rPr>
        <w:t> </w:t>
      </w:r>
    </w:p>
    <w:tbl>
      <w:tblPr>
        <w:tblW w:w="7615" w:type="dxa"/>
        <w:jc w:val="left"/>
        <w:tblInd w:w="0" w:type="dxa"/>
        <w:tblLayout w:type="fixed"/>
        <w:tblCellMar>
          <w:top w:w="0" w:type="dxa"/>
          <w:left w:w="0" w:type="dxa"/>
          <w:bottom w:w="28" w:type="dxa"/>
          <w:right w:w="0" w:type="dxa"/>
        </w:tblCellMar>
      </w:tblPr>
      <w:tblGrid>
        <w:gridCol w:w="3380"/>
        <w:gridCol w:w="60"/>
        <w:gridCol w:w="1340"/>
        <w:gridCol w:w="60"/>
        <w:gridCol w:w="1490"/>
        <w:gridCol w:w="60"/>
        <w:gridCol w:w="125"/>
        <w:gridCol w:w="1025"/>
        <w:gridCol w:w="75"/>
      </w:tblGrid>
      <w:tr>
        <w:trPr/>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r>
              <w:rPr>
                <w:rFonts w:ascii="Times New Roman;Times;Serif" w:hAnsi="Times New Roman;Times;Serif"/>
                <w:b/>
                <w:i w:val="false"/>
                <w:caps w:val="false"/>
                <w:smallCaps w:val="false"/>
                <w:position w:val="7"/>
                <w:sz w:val="16"/>
                <w:sz w:val="20"/>
              </w:rPr>
              <w:t>(1)</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Shogun Enterprises, Inc. (d/b/a Hearth)</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&lt;0.1 million</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252" w:type="dxa"/>
            <w:tcBorders/>
            <w:vAlign w:val="center"/>
          </w:tcPr>
          <w:p>
            <w:pPr>
              <w:pStyle w:val="TableContents"/>
              <w:bidi w:val="0"/>
              <w:spacing w:before="0" w:after="283"/>
              <w:jc w:val="both"/>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exercised 86,076 warrants and received 86,076 Common Shares of Shogun Enterprises, Inc. (d/b/a Hearth).</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2026, the Company exited and/or received proceeds from the following investments: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13"/>
        <w:gridCol w:w="60"/>
        <w:gridCol w:w="1055"/>
        <w:gridCol w:w="60"/>
        <w:gridCol w:w="71"/>
        <w:gridCol w:w="1009"/>
        <w:gridCol w:w="185"/>
        <w:gridCol w:w="60"/>
        <w:gridCol w:w="249"/>
        <w:gridCol w:w="759"/>
        <w:gridCol w:w="60"/>
        <w:gridCol w:w="60"/>
        <w:gridCol w:w="125"/>
        <w:gridCol w:w="864"/>
        <w:gridCol w:w="60"/>
        <w:gridCol w:w="60"/>
        <w:gridCol w:w="162"/>
        <w:gridCol w:w="1171"/>
        <w:gridCol w:w="222"/>
      </w:tblGrid>
      <w:tr>
        <w:trPr/>
        <w:tc>
          <w:tcPr>
            <w:tcW w:w="391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Quantity /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Capital</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Price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Gain/(Loss)</w:t>
            </w:r>
          </w:p>
        </w:tc>
        <w:tc>
          <w:tcPr>
            <w:tcW w:w="22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GrabAGun Digital Holdings Inc. - </w:t>
            </w:r>
            <w:r>
              <w:rPr>
                <w:rFonts w:ascii="Times New Roman;Times;Serif" w:hAnsi="Times New Roman;Times;Serif"/>
                <w:b w:val="false"/>
                <w:i/>
                <w:caps w:val="false"/>
                <w:smallCaps w:val="false"/>
                <w:sz w:val="20"/>
              </w:rPr>
              <w:t>Common Shares</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143,655</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 million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million</w:t>
            </w:r>
          </w:p>
        </w:tc>
        <w:tc>
          <w:tcPr>
            <w:tcW w:w="2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Aventine Property Group,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&lt;0.1 million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million)</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million</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r>
      <w:tr>
        <w:trPr/>
        <w:tc>
          <w:tcPr>
            <w:tcW w:w="39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Learneo, Inc. (f/k/a Course Hero,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2,421,168</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million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million)</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CTN Holdings, Inc. (d/b/a Catona Climate, f/k/a Aspiration Partners, Inc.)</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565,182</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million)</w:t>
            </w:r>
          </w:p>
        </w:tc>
        <w:tc>
          <w:tcPr>
            <w:tcW w:w="2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 holds 308,964 common shares of GrabAGun Digital Holdings, Inc.</w:t>
            </w:r>
          </w:p>
        </w:tc>
      </w:tr>
      <w:tr>
        <w:trPr/>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Realized gain is calculated based on the current reporting by the SPV and may be subject to change or adjustment due to the impact of performance fees.</w:t>
            </w:r>
          </w:p>
        </w:tc>
      </w:tr>
      <w:tr>
        <w:trPr/>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Company abandoned its investment in CTN Holdings, Inc. (d/b/a Catona Climate, f/k/a Aspiration Partners,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 assets were approximately $42.2 million as of September 30, 2026, consisting of cash and securities of publicly traded portfolio companies not subject to certain restrictions at quarter-end.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there were 26,473,222 shares of the Company’s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Magnetar 6.50% Redeemable Promissory Note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Company received gross proceeds of $20.0 million pursuant to a redeemable promissory note issued to a Magnetar-affiliated entity. The redeemable promissory note bears interest at 6.50% per annum, payable semiannually in cash, and matures on July 16, 2029, unless earlier repaid through the issuance of shares of the Company’s common stock upon the completion of a transaction or series of transactions that result in at least $230.0 million of gross proceeds to the Company. In such event, the outstanding principal and accrued interest would be satisfied through the issuance of shares of the Company’s common stock at the price per share of common stock sold by the Company in the latest of such transactions in which the Company raised at least $5.0 million in aggregate net proceeds from sales to purchasers that were not affiliates of the Company. The Company believes the financing enhances liquidity and financial flexibility as the Company continues to execute its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Company’s Board of Directors approved an extension of the discretionary note repurchase program (the “Note Repurchase Program”) which allows the Company to repurchase up to an additional $40.0 million, or the remaining aggregate principal amount, of its 6.00% Notes due 2026 (the “6.00% Notes”) through open market purchases, including block purchases, in such manner as will comply with the provisions of the Investment Company Act of 1940, as amended,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2026, the Company repurchased an additional 1,984 of the 6.00% Notes under the Note Repurchase Program. As of September 30, 2026, the Company had repurchased 1,568,791 of the 6.00% Notes under the Note Repurchase Program. The aggregate principal dollar amount of 6.00% Notes that may yet be repurchased by the Company under the Note Repurchase Program is approximately $35.8 million, or the remaining aggregate principal amount, of its 6.00%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Estimates and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estimates provided herein are unaudited and have been prepared by, and are the responsibility of, the management of the Company. Neither the Company’s independent registered public accounting firm, nor any other independent accountants, have audited, reviewed, compiled, or performed any procedures with respect to the preliminary financial data included herein. Actual results may differ materially.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announce its third quarter ended September 30, 2026 results in November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including statements regarding the Company’s beliefs, expectations, intentions, or strategies for the future, may constitute “forward-looking statements.” The Company cautions that any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risks relating to our externally managed structure and our relationship with Neostellar Advisors LLC (the “Adviser”), Magnetar Holdings LLC and their respective affiliates, including actual and potential conflicts of interest; our ability to retain key personnel and execute our investment strategy; and other risks and uncertainties that could cause actual results to differ materially from the plans, intentions, and expectations reflected in or suggested by the forward-looking statements. Risk factors, cautionary statements, and other conditions which could cause the Company’s actual results to differ from management’s current expectations, are contained in the Company’s filings with the Securities and Exchange Commission. The Company undertakes no obligation to update any forward-looking statement to reflect events or circumstances that may arise after the date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1055"/>
        <w:gridCol w:w="60"/>
        <w:gridCol w:w="648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5, 2026*</w:t>
              </w:r>
            </w:hyperlink>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press release attached hereto as Exhibit 99.1 is “furnished” and not “filed,” as described in Item 2.02 of this Current Report on Form 8-K.</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820"/>
        <w:gridCol w:w="365"/>
        <w:gridCol w:w="3080"/>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tc>
        <w:tc>
          <w:tcPr>
            <w:tcW w:w="3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765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38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Neostellar Capital Corp. Announces Third Quarter 2026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Investment Portfolio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Asset Value Expected to be $12.25 to $12.75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October 5, 2026 (GLOBE NEWSWIRE)</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Neostellar Capital Corp.</w:t>
      </w:r>
      <w:r>
        <w:rPr>
          <w:rFonts w:ascii="Times New Roman;Times;Serif" w:hAnsi="Times New Roman;Times;Serif"/>
          <w:b/>
          <w:i w:val="false"/>
          <w:caps w:val="false"/>
          <w:smallCaps w:val="false"/>
          <w:sz w:val="20"/>
        </w:rPr>
        <w:t xml:space="preserve"> (“Neostellar Capital”, the “Company”, “we”, “us”, and “our”)</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i w:val="false"/>
          <w:caps w:val="false"/>
          <w:smallCaps w:val="false"/>
          <w:sz w:val="20"/>
          <w:u w:val="single"/>
        </w:rPr>
        <w:t>NSLR</w:t>
      </w:r>
      <w:r>
        <w:rPr>
          <w:rFonts w:ascii="Times New Roman;Times;Serif" w:hAnsi="Times New Roman;Times;Serif"/>
          <w:b w:val="false"/>
          <w:i w:val="false"/>
          <w:caps w:val="false"/>
          <w:smallCaps w:val="false"/>
          <w:sz w:val="20"/>
        </w:rPr>
        <w:t>) today provided a preliminary update on its investment portfolio for the third quarter ended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third quarter, we remained encouraged by the growth prospects of our core portfolio, supported by expanding AI adoption, increasing demand for compute and continued innovation in digital health,” said Mark Klein, Chairman and Chief Executive Officer of Neostellar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the IPO market showed early signs of reopening in Q3, the recovery has been slower than anticipated amid macroeconomic and geopolitical uncertainty. We remain confident in the strength of our portfolio companies and their ability to pursue liquidity opportunities, including IPOs, when timing and market conditions support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always, our shareholders’ best interests guide our decisions. Consistent with our prior practice, our shelf registration filing preserves the flexibility to raise capital when doing so would be accretive to shareholders. We will exercise that flexibility with discipline and a continued focus on building long-term shareholder value,” Mr. Klein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Net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the Company’s net assets totaled approximately $355.9 million, or $13.44 per share, as of June 30, 2026, compared to approximately $231.8 million, or $9.23 per share, as of September 30, 2025. As of September 30, 2026, the Company’s net asset value is estimated to be between $12.25 and $12.75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 held positions in 34 portfolio companies – 30 privately held and 4 publicly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2026, the Company made the following investment:</w:t>
      </w:r>
    </w:p>
    <w:p>
      <w:pPr>
        <w:pStyle w:val="TextBody"/>
        <w:bidi w:val="0"/>
        <w:spacing w:before="0" w:after="0"/>
        <w:ind w:left="0" w:right="0" w:hanging="0"/>
        <w:jc w:val="both"/>
        <w:rPr>
          <w:caps w:val="false"/>
          <w:smallCaps w:val="false"/>
        </w:rPr>
      </w:pPr>
      <w:r>
        <w:rPr>
          <w:caps w:val="false"/>
          <w:smallCaps w:val="false"/>
        </w:rPr>
        <w:t> </w:t>
      </w:r>
    </w:p>
    <w:tbl>
      <w:tblPr>
        <w:tblW w:w="8000" w:type="dxa"/>
        <w:jc w:val="left"/>
        <w:tblInd w:w="0" w:type="dxa"/>
        <w:tblLayout w:type="fixed"/>
        <w:tblCellMar>
          <w:top w:w="0" w:type="dxa"/>
          <w:left w:w="0" w:type="dxa"/>
          <w:bottom w:w="28" w:type="dxa"/>
          <w:right w:w="0" w:type="dxa"/>
        </w:tblCellMar>
      </w:tblPr>
      <w:tblGrid>
        <w:gridCol w:w="3380"/>
        <w:gridCol w:w="60"/>
        <w:gridCol w:w="1340"/>
        <w:gridCol w:w="60"/>
        <w:gridCol w:w="1790"/>
        <w:gridCol w:w="60"/>
        <w:gridCol w:w="1310"/>
      </w:tblGrid>
      <w:tr>
        <w:trPr/>
        <w:tc>
          <w:tcPr>
            <w:tcW w:w="3380" w:type="dxa"/>
            <w:tcBorders>
              <w:bottom w:val="single" w:sz="8" w:space="0" w:color="000000"/>
            </w:tcBorders>
            <w:shd w:fill="FFFFFF" w:val="clear"/>
            <w:vAlign w:val="center"/>
          </w:tcPr>
          <w:p>
            <w:pPr>
              <w:pStyle w:val="TableContents"/>
              <w:bidi w:val="0"/>
              <w:spacing w:before="0" w:after="283"/>
              <w:jc w:val="left"/>
              <w:rPr>
                <w:b/>
              </w:rPr>
            </w:pPr>
            <w:r>
              <w:rPr>
                <w:b/>
              </w:rPr>
              <w:t>Portfolio Company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Investment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90" w:type="dxa"/>
            <w:tcBorders>
              <w:bottom w:val="single" w:sz="8" w:space="0" w:color="000000"/>
            </w:tcBorders>
            <w:shd w:fill="FFFFFF" w:val="clear"/>
            <w:vAlign w:val="center"/>
          </w:tcPr>
          <w:p>
            <w:pPr>
              <w:pStyle w:val="TableContents"/>
              <w:bidi w:val="0"/>
              <w:spacing w:before="0" w:after="283"/>
              <w:jc w:val="center"/>
              <w:rPr>
                <w:b/>
              </w:rPr>
            </w:pPr>
            <w:r>
              <w:rPr>
                <w:b/>
              </w:rPr>
              <w:t>Transaction Date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r>
              <w:rPr>
                <w:rFonts w:ascii="Times New Roman;Times;Serif" w:hAnsi="Times New Roman;Times;Serif"/>
                <w:b/>
                <w:position w:val="7"/>
                <w:sz w:val="16"/>
                <w:sz w:val="20"/>
              </w:rPr>
              <w:t>(1)</w:t>
            </w:r>
          </w:p>
        </w:tc>
      </w:tr>
      <w:tr>
        <w:trPr/>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Shogun Enterprises, Inc. (d/b/a Hearth)</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7/10/2026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pPr>
            <w:r>
              <w:rPr/>
              <w:t>&lt;$0.1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exercised 86,076 warrants and received 86,076 Common Shares of Shogun Enterprises, Inc. (d/b/a Hearth).</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76500"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76500" cy="438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2026, the Company exited and/or received proceeds from the following investments: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31"/>
        <w:gridCol w:w="60"/>
        <w:gridCol w:w="1055"/>
        <w:gridCol w:w="60"/>
        <w:gridCol w:w="60"/>
        <w:gridCol w:w="980"/>
        <w:gridCol w:w="215"/>
        <w:gridCol w:w="60"/>
        <w:gridCol w:w="223"/>
        <w:gridCol w:w="704"/>
        <w:gridCol w:w="60"/>
        <w:gridCol w:w="60"/>
        <w:gridCol w:w="140"/>
        <w:gridCol w:w="1030"/>
        <w:gridCol w:w="60"/>
        <w:gridCol w:w="60"/>
        <w:gridCol w:w="140"/>
        <w:gridCol w:w="970"/>
        <w:gridCol w:w="237"/>
      </w:tblGrid>
      <w:tr>
        <w:trPr/>
        <w:tc>
          <w:tcPr>
            <w:tcW w:w="4031" w:type="dxa"/>
            <w:tcBorders>
              <w:bottom w:val="single" w:sz="8" w:space="0" w:color="000000"/>
            </w:tcBorders>
            <w:vAlign w:val="center"/>
          </w:tcPr>
          <w:p>
            <w:pPr>
              <w:pStyle w:val="TableContents"/>
              <w:bidi w:val="0"/>
              <w:spacing w:before="0" w:after="283"/>
              <w:jc w:val="both"/>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Average Net</w:t>
            </w:r>
          </w:p>
          <w:p>
            <w:pPr>
              <w:pStyle w:val="TableContents"/>
              <w:bidi w:val="0"/>
              <w:jc w:val="center"/>
              <w:rPr>
                <w:rFonts w:ascii="Times New Roman;Times;Serif" w:hAnsi="Times New Roman;Times;Serif"/>
                <w:b/>
                <w:sz w:val="20"/>
              </w:rPr>
            </w:pPr>
            <w:r>
              <w:rPr>
                <w:rFonts w:ascii="Times New Roman;Times;Serif" w:hAnsi="Times New Roman;Times;Serif"/>
                <w:b/>
                <w:sz w:val="20"/>
              </w:rPr>
              <w:t>Share</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Gain/(Loss)</w:t>
            </w:r>
          </w:p>
        </w:tc>
        <w:tc>
          <w:tcPr>
            <w:tcW w:w="237" w:type="dxa"/>
            <w:tcBorders/>
            <w:tcMar>
              <w:bottom w:w="0" w:type="dxa"/>
            </w:tcMar>
            <w:vAlign w:val="center"/>
          </w:tcPr>
          <w:p>
            <w:pPr>
              <w:pStyle w:val="TableContents"/>
              <w:bidi w:val="0"/>
              <w:spacing w:before="0" w:after="283"/>
              <w:jc w:val="left"/>
              <w:rPr/>
            </w:pPr>
            <w:r>
              <w:rPr/>
              <w:t> </w:t>
            </w:r>
          </w:p>
        </w:tc>
      </w:tr>
      <w:tr>
        <w:trPr/>
        <w:tc>
          <w:tcPr>
            <w:tcW w:w="40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GrabAGun Digital Holdings Inc. - </w:t>
            </w:r>
            <w:r>
              <w:rPr>
                <w:rFonts w:ascii="Times New Roman;Times;Serif" w:hAnsi="Times New Roman;Times;Serif"/>
                <w:i/>
                <w:sz w:val="20"/>
              </w:rPr>
              <w:t>Common Shares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143,655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30" w:type="dxa"/>
            <w:tcBorders/>
            <w:shd w:fill="CCEEFF" w:val="clear"/>
            <w:tcMar>
              <w:bottom w:w="0" w:type="dxa"/>
            </w:tcMar>
            <w:vAlign w:val="center"/>
          </w:tcPr>
          <w:p>
            <w:pPr>
              <w:pStyle w:val="TableContents"/>
              <w:bidi w:val="0"/>
              <w:spacing w:before="0" w:after="283"/>
              <w:jc w:val="right"/>
              <w:rPr/>
            </w:pPr>
            <w:r>
              <w:rPr/>
              <w:t>0.4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70" w:type="dxa"/>
            <w:tcBorders/>
            <w:shd w:fill="CCEEFF" w:val="clear"/>
            <w:tcMar>
              <w:bottom w:w="0" w:type="dxa"/>
            </w:tcMar>
            <w:vAlign w:val="center"/>
          </w:tcPr>
          <w:p>
            <w:pPr>
              <w:pStyle w:val="TableContents"/>
              <w:bidi w:val="0"/>
              <w:spacing w:before="0" w:after="283"/>
              <w:jc w:val="right"/>
              <w:rPr/>
            </w:pPr>
            <w:r>
              <w:rPr/>
              <w:t>0.3 million</w:t>
            </w:r>
          </w:p>
        </w:tc>
        <w:tc>
          <w:tcPr>
            <w:tcW w:w="237" w:type="dxa"/>
            <w:tcBorders/>
            <w:shd w:fill="CCEEFF" w:val="clear"/>
            <w:tcMar>
              <w:bottom w:w="0" w:type="dxa"/>
            </w:tcMar>
            <w:vAlign w:val="center"/>
          </w:tcPr>
          <w:p>
            <w:pPr>
              <w:pStyle w:val="TableContents"/>
              <w:bidi w:val="0"/>
              <w:spacing w:before="0" w:after="283"/>
              <w:jc w:val="left"/>
              <w:rPr/>
            </w:pPr>
            <w:r>
              <w:rPr/>
              <w:t> </w:t>
            </w:r>
          </w:p>
        </w:tc>
      </w:tr>
      <w:tr>
        <w:trPr/>
        <w:tc>
          <w:tcPr>
            <w:tcW w:w="4031" w:type="dxa"/>
            <w:tcBorders/>
            <w:shd w:fill="FFFFFF" w:val="clear"/>
            <w:tcMar>
              <w:bottom w:w="0" w:type="dxa"/>
            </w:tcMar>
            <w:vAlign w:val="center"/>
          </w:tcPr>
          <w:p>
            <w:pPr>
              <w:pStyle w:val="TableContents"/>
              <w:bidi w:val="0"/>
              <w:spacing w:before="0" w:after="283"/>
              <w:jc w:val="left"/>
              <w:rPr/>
            </w:pPr>
            <w:r>
              <w:rPr/>
              <w:t>Aventine Property Group,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pPr>
            <w:r>
              <w:rPr/>
              <w:t>7/8/2026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312,500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704" w:type="dxa"/>
            <w:tcBorders/>
            <w:shd w:fill="FFFFFF" w:val="clear"/>
            <w:tcMar>
              <w:bottom w:w="0" w:type="dxa"/>
            </w:tcMar>
            <w:vAlign w:val="center"/>
          </w:tcPr>
          <w:p>
            <w:pPr>
              <w:pStyle w:val="TableContents"/>
              <w:bidi w:val="0"/>
              <w:spacing w:before="0" w:after="283"/>
              <w:jc w:val="right"/>
              <w:rPr/>
            </w:pPr>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0" w:type="dxa"/>
            <w:tcBorders/>
            <w:shd w:fill="FFFFFF" w:val="clear"/>
            <w:tcMar>
              <w:bottom w:w="0" w:type="dxa"/>
            </w:tcMar>
            <w:vAlign w:val="center"/>
          </w:tcPr>
          <w:p>
            <w:pPr>
              <w:pStyle w:val="TableContents"/>
              <w:bidi w:val="0"/>
              <w:spacing w:before="0" w:after="283"/>
              <w:jc w:val="right"/>
              <w:rPr/>
            </w:pPr>
            <w:r>
              <w:rPr/>
              <w:t>&lt;$0.1 million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70" w:type="dxa"/>
            <w:tcBorders/>
            <w:shd w:fill="FFFFFF" w:val="clear"/>
            <w:tcMar>
              <w:bottom w:w="0" w:type="dxa"/>
            </w:tcMar>
            <w:vAlign w:val="center"/>
          </w:tcPr>
          <w:p>
            <w:pPr>
              <w:pStyle w:val="TableContents"/>
              <w:bidi w:val="0"/>
              <w:spacing w:before="0" w:after="283"/>
              <w:jc w:val="right"/>
              <w:rPr/>
            </w:pPr>
            <w:r>
              <w:rPr/>
              <w:t>(2.5 million)</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4031" w:type="dxa"/>
            <w:tcBorders/>
            <w:shd w:fill="CCEEFF" w:val="clear"/>
            <w:tcMar>
              <w:bottom w:w="0" w:type="dxa"/>
            </w:tcMar>
            <w:vAlign w:val="center"/>
          </w:tcPr>
          <w:p>
            <w:pPr>
              <w:pStyle w:val="TableContents"/>
              <w:bidi w:val="0"/>
              <w:spacing w:before="0" w:after="283"/>
              <w:jc w:val="left"/>
              <w:rPr/>
            </w:pPr>
            <w:r>
              <w:rPr/>
              <w:t>CW Opportunity 2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8/21/2026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30" w:type="dxa"/>
            <w:tcBorders/>
            <w:shd w:fill="CCEEFF" w:val="clear"/>
            <w:tcMar>
              <w:bottom w:w="0" w:type="dxa"/>
            </w:tcMar>
            <w:vAlign w:val="center"/>
          </w:tcPr>
          <w:p>
            <w:pPr>
              <w:pStyle w:val="TableContents"/>
              <w:bidi w:val="0"/>
              <w:spacing w:before="0" w:after="283"/>
              <w:jc w:val="right"/>
              <w:rPr/>
            </w:pPr>
            <w:r>
              <w:rPr/>
              <w:t>2.0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 million</w:t>
            </w:r>
          </w:p>
        </w:tc>
        <w:tc>
          <w:tcPr>
            <w:tcW w:w="237"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r>
      <w:tr>
        <w:trPr/>
        <w:tc>
          <w:tcPr>
            <w:tcW w:w="4031" w:type="dxa"/>
            <w:tcBorders/>
            <w:shd w:fill="FFFFFF" w:val="clear"/>
            <w:tcMar>
              <w:bottom w:w="0" w:type="dxa"/>
            </w:tcMar>
            <w:vAlign w:val="center"/>
          </w:tcPr>
          <w:p>
            <w:pPr>
              <w:pStyle w:val="TableContents"/>
              <w:bidi w:val="0"/>
              <w:spacing w:before="0" w:after="283"/>
              <w:jc w:val="left"/>
              <w:rPr/>
            </w:pPr>
            <w:r>
              <w:rPr/>
              <w:t>Learneo, Inc. (f/k/a Course Hero,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pPr>
            <w:r>
              <w:rPr/>
              <w:t>9/21/2026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2,421,168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704" w:type="dxa"/>
            <w:tcBorders/>
            <w:shd w:fill="FFFFFF" w:val="clear"/>
            <w:tcMar>
              <w:bottom w:w="0" w:type="dxa"/>
            </w:tcMar>
            <w:vAlign w:val="center"/>
          </w:tcPr>
          <w:p>
            <w:pPr>
              <w:pStyle w:val="TableContents"/>
              <w:bidi w:val="0"/>
              <w:spacing w:before="0" w:after="283"/>
              <w:jc w:val="right"/>
              <w:rPr/>
            </w:pPr>
            <w:r>
              <w:rPr/>
              <w:t>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30" w:type="dxa"/>
            <w:tcBorders/>
            <w:shd w:fill="FFFFFF" w:val="clear"/>
            <w:tcMar>
              <w:bottom w:w="0" w:type="dxa"/>
            </w:tcMar>
            <w:vAlign w:val="center"/>
          </w:tcPr>
          <w:p>
            <w:pPr>
              <w:pStyle w:val="TableContents"/>
              <w:bidi w:val="0"/>
              <w:spacing w:before="0" w:after="283"/>
              <w:jc w:val="right"/>
              <w:rPr/>
            </w:pPr>
            <w:r>
              <w:rPr/>
              <w:t>9.4 million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70" w:type="dxa"/>
            <w:tcBorders/>
            <w:shd w:fill="FFFFFF" w:val="clear"/>
            <w:tcMar>
              <w:bottom w:w="0" w:type="dxa"/>
            </w:tcMar>
            <w:vAlign w:val="center"/>
          </w:tcPr>
          <w:p>
            <w:pPr>
              <w:pStyle w:val="TableContents"/>
              <w:bidi w:val="0"/>
              <w:spacing w:before="0" w:after="283"/>
              <w:jc w:val="right"/>
              <w:rPr/>
            </w:pPr>
            <w:r>
              <w:rPr/>
              <w:t>(5.6 million)</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40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CTN Holdings, Inc. (d/b/a Catona Climate, f/k/a Aspiration Partners, Inc.)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9/25/2026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565,182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70" w:type="dxa"/>
            <w:tcBorders/>
            <w:shd w:fill="CCEEFF" w:val="clear"/>
            <w:tcMar>
              <w:bottom w:w="0" w:type="dxa"/>
            </w:tcMar>
            <w:vAlign w:val="center"/>
          </w:tcPr>
          <w:p>
            <w:pPr>
              <w:pStyle w:val="TableContents"/>
              <w:bidi w:val="0"/>
              <w:spacing w:before="0" w:after="283"/>
              <w:jc w:val="right"/>
              <w:rPr/>
            </w:pPr>
            <w:r>
              <w:rPr/>
              <w:t>(1.3 million)</w:t>
            </w:r>
          </w:p>
        </w:tc>
        <w:tc>
          <w:tcPr>
            <w:tcW w:w="2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 holds 308,964 common shares of GrabAGun Digital Holdings,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Realized gain is calculated based on the current reporting by the SPV and may be subject to change or adjustment due to the impact of performance fees.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Company abandoned its investment in CTN Holdings, Inc. (d/b/a Catona Climate, f/k/a Aspiration Partners,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 assets were approximately $42.2 million as of September 30, 2026, consisting of cash and securities of publicly traded portfolio companies not subject to certain restrictions at quarter-end.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there were 26,473,222 shares of the Company’s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6.50% Redeemable Promissory Note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Company received gross proceeds of $20.0 million pursuant to a redeemable promissory note issued to a Magnetar-affiliated entity. The redeemable promissory note bears interest at 6.50% per annum, payable semiannually in cash, and matures on July 16, 2029, unless earlier repaid through the issuance of shares of the Company’s common stock upon the completion of a transaction or series of transactions that result in at least $230.0 million of gross proceeds to the Company. In such event, the outstanding principal and accrued interest would be satisfied through the issuance of shares of the Company’s common stock at the price per share of common stock sold by the Company in the latest of such transactions in which the Company raised at least $5.0 million in aggregate net proceeds from sales to purchasers that were not affiliates of the Company. The Company believes the financing enhances liquidity and financial flexibility as the Company continues to execute its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Company’s Board of Directors approved an extension of the discretionary note repurchase program (the “Note Repurchase Program”) which allows the Company to repurchase up to an additional $40.0 million or the remaining aggregate principal amount, of its 6.00% Notes due 2026 (the “6.00% Notes”) through open market purchases, including block purchases, in such manner as will comply with the provisions of the Investment Company Act of 1940, as amended, and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2026, we repurchased an additional 1,984 of the 6.00% Notes under the Note Repurchase Program. As of September 30, 2026, we had repurchased 1,568,791 of the 6.00% Notes under the Note Repurchase Program. The aggregate principal dollar amount of 6.00% Notes that may yet be repurchased by the Company under the Note Repurchase Program is approximately $35.8 million, or the remaining aggregate principal amount, of its 6.00% Notes.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476500"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76500" cy="438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Estimates and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estimates provided herein are unaudited and have been prepared by, and are the responsibility of, the management of the Company. Neither our independent registered public accounting firm, nor any other independent accountants, have audited, reviewed, compiled, or performed any procedures with respect to the preliminary financial data included herein. Actual results may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announce its third quarter ended September 30, 2026 results in November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including statements regarding Neostellar Capital’s beliefs, expectations, intentions, or strategies for the future, may constitute “forward-looking statements”. Neostellar Capital cautions you that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risks relating to our externally managed structure and our relationship with Neostellar Advisors LLC (the “Adviser”), Magnetar Holdings LLC and their respective affiliates, including actual and potential conflicts of interest; our ability to retain key personnel and execute our investment strategy; and other risks and uncertainties that could cause actual results to differ materially from the plans, intentions, and expectations reflected in or suggested by the forward-looking statements. Risk factors, cautionary statements, and other conditions which could cause Neostellar Capital’s actual results to differ from management’s current expectations are contained in Neostellar Capital’s filings with the Securities and Exchange Commission. Neostellar Capital undertakes no obligation to update any forward-looking statement to reflect events or circumstances that may arise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securities of Neostellar Capital. The information contained herein is for informational purposes only and is not intended to be a substitute for financial, legal, or tax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Neostellar Capital Corp. (Nasdaq: </w:t>
      </w:r>
      <w:r>
        <w:rPr>
          <w:rFonts w:ascii="Times New Roman;Times;Serif" w:hAnsi="Times New Roman;Times;Serif"/>
          <w:b/>
          <w:i w:val="false"/>
          <w:caps w:val="false"/>
          <w:smallCaps w:val="false"/>
          <w:sz w:val="20"/>
          <w:u w:val="single"/>
        </w:rPr>
        <w:t>NSLR</w:t>
      </w:r>
      <w:r>
        <w:rPr>
          <w:rFonts w:ascii="Times New Roman;Times;Serif" w:hAnsi="Times New Roman;Times;Serif"/>
          <w:b w:val="false"/>
          <w:i w:val="false"/>
          <w:caps w:val="false"/>
          <w:smallCaps w:val="false"/>
          <w:sz w:val="20"/>
        </w:rPr>
        <w:t xml:space="preserve">), formerly SuRo Capital Corp. (Nasdaq: SSSS), has been a publicly traded investment company focused on investing in private, venture-backed businesses for over 15 years. In simple terms, Neostellar invests in companies that are not yet listed on a public stock exchange. By owning shares of Neostellar, investors can gain exposure to a portfolio of VC-backed companies through a publicly traded stock. Neostellar is externally managed by Neostellar Advisors LLC, a joint venture owned by certain Neostellar Advisors employees and Magnetar Holdings LLC. Together, the platform combines experience in private company investing with institutional investment management capabilities. Neostellar Capital Corp. is headquartered in New York, NY and has an office in San Francisco, CA. Connect with the Company on X, LinkedIn, and at </w:t>
      </w:r>
      <w:r>
        <w:rPr>
          <w:rFonts w:ascii="Times New Roman;Times;Serif" w:hAnsi="Times New Roman;Times;Serif"/>
          <w:b w:val="false"/>
          <w:i w:val="false"/>
          <w:caps w:val="false"/>
          <w:smallCaps w:val="false"/>
          <w:sz w:val="20"/>
          <w:u w:val="single"/>
        </w:rPr>
        <w:t>neostellar.vc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Advisors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is registered with the SEC as an investment adviser under the Investment Advisers Act of 1940, and serves as the external investment adviser to Neostellar Capital Corp. Formed in 2026, Neostellar Advisors LLC is a joint venture between certain executives of Neostellar Capital Corp. and Magnetar Holdings LLC, combining Neostellar’s publicly traded venture investing experience with Magnetar’s institutional sourcing and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IR@neostellaradvisors.com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Deborah Kostroun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Neostellar.pr@zitopartners.com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3123</Words>
  <Characters>17678</Characters>
  <CharactersWithSpaces>20825</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