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NEOSTELLAR CAPITAL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 FIFTH AVENUE,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Neostellar Capital Corp.</w:t>
              </w:r>
            </w:hyperlink>
            <w:r>
              <w:rPr/>
              <w:t xml:space="preserve"> [ </w:t>
            </w:r>
            <w:r>
              <w:rPr>
                <w:rFonts w:ascii="Times;serif" w:hAnsi="Times;serif"/>
                <w:color w:val="0000FF"/>
                <w:sz w:val="24"/>
                <w:shd w:fill="FFFFFF" w:val="clear"/>
              </w:rPr>
              <w:t>NSLR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710"/>
        <w:gridCol w:w="1317"/>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7.91</w:t>
            </w:r>
            <w:r>
              <w:rPr>
                <w:rFonts w:ascii="Times;serif" w:hAnsi="Times;serif"/>
                <w:color w:val="008000"/>
                <w:position w:val="7"/>
                <w:sz w:val="16"/>
                <w:sz w:val="20"/>
                <w:shd w:fill="FFFFFF" w:val="clear"/>
              </w:rPr>
              <w:t>(1)</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1,763,796</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weighted-average price, rounded to the nearest hundredth. The Reporting Person undertakes to provide upon request by the staff of the Securities and Exchange Commission, Neostellar Capital Corp. (the "Company"), or a security holder of the Company,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total includes (i) 837,686 shares of the Company's common stock owned by Mr. Klein's spouse, which may be deemed to be beneficially owned by Mr. Klein; (ii) restricted shares granted under the SuRo Capital Corp. Amended and Restated 2019 Equity Incentive Plan on December 15, 2023, December 10, 2024 and May 16, 2025; and (iii) restricted shares granted under the SuRo Capital Corp. Second Amended and Restated 2019 Equity Incentive Plan on November 21, 2025 and June 12, 2026. On June 15, 2026, in connection with the stockholders' approval of the Company's externalization and the Board's approval of the acceleration of vesting of all unvested restricted shares, such plans were terminated and the Reporting Person entered into a lock-up agreement. Such shares are fully vested but remain subject to transfer restrictions under the lock-up agreement that expire on the dates such shares otherwise would have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D.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2402" TargetMode="External"/><Relationship Id="rId5" Type="http://schemas.openxmlformats.org/officeDocument/2006/relationships/hyperlink" Target="http://www.sec.gov/cgi-bin/browse-edgar?action=getcompany&amp;CIK=0001509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4185</Characters>
  <CharactersWithSpaces>4891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