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25" w:lineRule="exact"/>
        <w:rPr>
          <w:sz w:val="24"/>
          <w:szCs w:val="24"/>
          <w:color w:val="auto"/>
        </w:rPr>
      </w:pPr>
    </w:p>
    <w:p>
      <w:pPr>
        <w:ind w:left="3920" w:right="1920" w:hanging="3912"/>
        <w:spacing w:after="0" w:line="532"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SuRo Capital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80" w:type="dxa"/>
        <w:tblCellMar>
          <w:top w:w="0" w:type="dxa"/>
          <w:left w:w="0" w:type="dxa"/>
          <w:bottom w:w="0" w:type="dxa"/>
          <w:right w:w="0" w:type="dxa"/>
        </w:tblCellMar>
      </w:tblPr>
      <w:tr>
        <w:trPr>
          <w:trHeight w:val="220"/>
        </w:trPr>
        <w:tc>
          <w:tcPr>
            <w:tcW w:w="47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6"/>
              </w:rPr>
              <w:t>Maryland</w:t>
            </w:r>
          </w:p>
        </w:tc>
        <w:tc>
          <w:tcPr>
            <w:tcW w:w="3980" w:type="dxa"/>
            <w:vAlign w:val="bottom"/>
          </w:tcPr>
          <w:p>
            <w:pPr>
              <w:jc w:val="right"/>
              <w:ind w:right="790"/>
              <w:spacing w:after="0"/>
              <w:rPr>
                <w:sz w:val="20"/>
                <w:szCs w:val="20"/>
                <w:color w:val="auto"/>
              </w:rPr>
            </w:pPr>
            <w:r>
              <w:rPr>
                <w:rFonts w:ascii="Arial" w:cs="Arial" w:eastAsia="Arial" w:hAnsi="Arial"/>
                <w:sz w:val="18"/>
                <w:szCs w:val="18"/>
                <w:b w:val="1"/>
                <w:bCs w:val="1"/>
                <w:color w:val="auto"/>
              </w:rPr>
              <w:t>27-4443543</w:t>
            </w:r>
          </w:p>
        </w:tc>
      </w:tr>
      <w:tr>
        <w:trPr>
          <w:trHeight w:val="230"/>
        </w:trPr>
        <w:tc>
          <w:tcPr>
            <w:tcW w:w="4740" w:type="dxa"/>
            <w:vAlign w:val="bottom"/>
          </w:tcPr>
          <w:p>
            <w:pPr>
              <w:jc w:val="center"/>
              <w:ind w:right="1290"/>
              <w:spacing w:after="0"/>
              <w:rPr>
                <w:sz w:val="20"/>
                <w:szCs w:val="20"/>
                <w:color w:val="auto"/>
              </w:rPr>
            </w:pPr>
            <w:r>
              <w:rPr>
                <w:rFonts w:ascii="Arial" w:cs="Arial" w:eastAsia="Arial" w:hAnsi="Arial"/>
                <w:sz w:val="18"/>
                <w:szCs w:val="18"/>
                <w:color w:val="auto"/>
                <w:w w:val="91"/>
              </w:rPr>
              <w:t>(State of incorporation)</w:t>
            </w:r>
          </w:p>
        </w:tc>
        <w:tc>
          <w:tcPr>
            <w:tcW w:w="3980" w:type="dxa"/>
            <w:vAlign w:val="bottom"/>
          </w:tcPr>
          <w:p>
            <w:pPr>
              <w:jc w:val="center"/>
              <w:ind w:left="1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7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640 Fifth Avenue, 12th Floor, New York, NY</w:t>
            </w:r>
          </w:p>
        </w:tc>
        <w:tc>
          <w:tcPr>
            <w:tcW w:w="39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10019</w:t>
            </w:r>
          </w:p>
        </w:tc>
      </w:tr>
      <w:tr>
        <w:trPr>
          <w:trHeight w:val="230"/>
        </w:trPr>
        <w:tc>
          <w:tcPr>
            <w:tcW w:w="4740" w:type="dxa"/>
            <w:vAlign w:val="bottom"/>
          </w:tcPr>
          <w:p>
            <w:pPr>
              <w:jc w:val="center"/>
              <w:ind w:right="1290"/>
              <w:spacing w:after="0"/>
              <w:rPr>
                <w:sz w:val="20"/>
                <w:szCs w:val="20"/>
                <w:color w:val="auto"/>
              </w:rPr>
            </w:pPr>
            <w:r>
              <w:rPr>
                <w:rFonts w:ascii="Arial" w:cs="Arial" w:eastAsia="Arial" w:hAnsi="Arial"/>
                <w:sz w:val="18"/>
                <w:szCs w:val="18"/>
                <w:color w:val="auto"/>
                <w:w w:val="92"/>
              </w:rPr>
              <w:t>(Address of principal executive offices)</w:t>
            </w:r>
          </w:p>
        </w:tc>
        <w:tc>
          <w:tcPr>
            <w:tcW w:w="398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931-6331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17"/>
                <w:szCs w:val="17"/>
                <w:color w:val="auto"/>
              </w:rPr>
            </w:pP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83"/>
              </w:rPr>
              <w:t>SSSS</w:t>
            </w:r>
          </w:p>
        </w:tc>
        <w:tc>
          <w:tcPr>
            <w:tcW w:w="240" w:type="dxa"/>
            <w:vAlign w:val="bottom"/>
          </w:tcPr>
          <w:p>
            <w:pPr>
              <w:spacing w:after="0"/>
              <w:rPr>
                <w:sz w:val="17"/>
                <w:szCs w:val="17"/>
                <w:color w:val="auto"/>
              </w:rPr>
            </w:pPr>
          </w:p>
        </w:tc>
        <w:tc>
          <w:tcPr>
            <w:tcW w:w="4260" w:type="dxa"/>
            <w:vAlign w:val="bottom"/>
          </w:tcPr>
          <w:p>
            <w:pPr>
              <w:jc w:val="center"/>
              <w:spacing w:after="0" w:line="201" w:lineRule="exact"/>
              <w:rPr>
                <w:sz w:val="20"/>
                <w:szCs w:val="20"/>
                <w:color w:val="auto"/>
              </w:rPr>
            </w:pPr>
            <w:r>
              <w:rPr>
                <w:rFonts w:ascii="Arial" w:cs="Arial" w:eastAsia="Arial" w:hAnsi="Arial"/>
                <w:sz w:val="18"/>
                <w:szCs w:val="18"/>
                <w:color w:val="auto"/>
                <w:w w:val="90"/>
              </w:rPr>
              <w:t>Nasdaq Global Select Market</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6.00% Notes due 2026</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SSSSL</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10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sectPr>
      </w:pPr>
    </w:p>
    <w:p>
      <w:pPr>
        <w:spacing w:after="0" w:line="139" w:lineRule="exact"/>
        <w:rPr>
          <w:sz w:val="24"/>
          <w:szCs w:val="24"/>
          <w:color w:val="auto"/>
        </w:rPr>
      </w:pPr>
    </w:p>
    <w:p>
      <w:pPr>
        <w:ind w:left="5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ind w:left="5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8" w:lineRule="exact"/>
        <w:rPr>
          <w:sz w:val="24"/>
          <w:szCs w:val="24"/>
          <w:color w:val="auto"/>
        </w:rPr>
      </w:pPr>
    </w:p>
    <w:p>
      <w:pPr>
        <w:sectPr>
          <w:pgSz w:w="11900" w:h="16838" w:orient="portrait"/>
          <w:cols w:equalWidth="0" w:num="2">
            <w:col w:w="6920" w:space="720"/>
            <w:col w:w="3600"/>
          </w:cols>
          <w:pgMar w:left="320" w:top="746" w:right="339" w:bottom="1440" w:gutter="0" w:footer="0" w:header="0"/>
          <w:type w:val="continuous"/>
        </w:sectPr>
      </w:pPr>
    </w:p>
    <w:p>
      <w:pPr>
        <w:spacing w:after="0" w:line="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issuer had 25,398,640 shares of common stock, $0.01 par value per share, outstanding as of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gridSpan w:val="10"/>
          </w:tcPr>
          <w:p>
            <w:pPr>
              <w:ind w:left="460"/>
              <w:spacing w:after="0"/>
              <w:rPr>
                <w:sz w:val="20"/>
                <w:szCs w:val="20"/>
                <w:color w:val="auto"/>
              </w:rPr>
            </w:pPr>
            <w:r>
              <w:rPr>
                <w:rFonts w:ascii="Arial" w:cs="Arial" w:eastAsia="Arial" w:hAnsi="Arial"/>
                <w:sz w:val="18"/>
                <w:szCs w:val="18"/>
                <w:b w:val="1"/>
                <w:bCs w:val="1"/>
                <w:color w:val="auto"/>
              </w:rPr>
              <w:t>SURO CAPITAL CORP.</w:t>
            </w:r>
          </w:p>
        </w:tc>
        <w:tc>
          <w:tcPr>
            <w:tcW w:w="7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gridSpan w:val="10"/>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53"/>
        </w:trPr>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175"/>
        </w:trPr>
        <w:tc>
          <w:tcPr>
            <w:tcW w:w="104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FINANCIAL INFORMATION</w:t>
            </w:r>
          </w:p>
        </w:tc>
        <w:tc>
          <w:tcPr>
            <w:tcW w:w="780" w:type="dxa"/>
            <w:vAlign w:val="bottom"/>
            <w:shd w:val="clear" w:color="auto" w:fill="CCEEFF"/>
          </w:tcPr>
          <w:p>
            <w:pPr>
              <w:spacing w:after="0"/>
              <w:rPr>
                <w:sz w:val="15"/>
                <w:szCs w:val="15"/>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Condensed Consolidated Financial Statements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Condensed Consolidated Statements of Assets and Liabilities as of June 30, 2023 (Unaudited) and December 31, 2022</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w w:val="95"/>
              </w:rPr>
              <w:t>Condensed Consolidated Statements of Operations for the Three and Six Months Ended June 30, 2023 and 2022 (Unaudited)</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w w:val="94"/>
              </w:rPr>
              <w:t>Condensed Consolidated Statements of Changes in Net Assets for the Six Months Ended June 30, 2023 and 2022 (Unaudited)</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June 30, 2023 and 2022 (Unaudited)</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Condensed Consolidated Schedule of Investments as of June 30, 2023 (Unaudited)</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Condensed Consolidated Schedule of Investments as of December 31, 2022</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Notes to Condensed Consolidated Financial Statements as of June 30, 2023 (Unaudited)</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60" w:type="dxa"/>
            <w:vAlign w:val="bottom"/>
          </w:tcPr>
          <w:p>
            <w:pPr>
              <w:spacing w:after="0" w:line="189"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ind w:left="100"/>
              <w:spacing w:after="0" w:line="189" w:lineRule="exact"/>
              <w:rPr>
                <w:sz w:val="20"/>
                <w:szCs w:val="20"/>
                <w:color w:val="auto"/>
              </w:rPr>
            </w:pPr>
            <w:r>
              <w:rPr>
                <w:rFonts w:ascii="Arial" w:cs="Arial" w:eastAsia="Arial" w:hAnsi="Arial"/>
                <w:sz w:val="18"/>
                <w:szCs w:val="18"/>
                <w:color w:val="0000EE"/>
              </w:rPr>
              <w:t>Controls and Procedures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768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Legal Proceedings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Risk Factors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Defaults Upon Senior Securities</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Mine Safety Disclosures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20"/>
            <w:shd w:val="clear" w:color="auto" w:fill="CCEEFF"/>
          </w:tcPr>
          <w:p>
            <w:pPr>
              <w:ind w:left="100"/>
              <w:spacing w:after="0" w:line="176" w:lineRule="exact"/>
              <w:rPr>
                <w:sz w:val="20"/>
                <w:szCs w:val="20"/>
                <w:color w:val="auto"/>
              </w:rPr>
            </w:pPr>
            <w:r>
              <w:rPr>
                <w:rFonts w:ascii="Arial" w:cs="Arial" w:eastAsia="Arial" w:hAnsi="Arial"/>
                <w:sz w:val="18"/>
                <w:szCs w:val="18"/>
                <w:color w:val="0000EE"/>
              </w:rPr>
              <w:t>Other Information</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20"/>
          </w:tcPr>
          <w:p>
            <w:pPr>
              <w:ind w:left="100"/>
              <w:spacing w:after="0" w:line="176" w:lineRule="exact"/>
              <w:rPr>
                <w:sz w:val="20"/>
                <w:szCs w:val="20"/>
                <w:color w:val="auto"/>
              </w:rPr>
            </w:pPr>
            <w:r>
              <w:rPr>
                <w:rFonts w:ascii="Arial" w:cs="Arial" w:eastAsia="Arial" w:hAnsi="Arial"/>
                <w:sz w:val="18"/>
                <w:szCs w:val="18"/>
                <w:color w:val="0000EE"/>
              </w:rPr>
              <w:t>Exhibits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7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5"/>
              </w:rPr>
              <w:t>Signatures</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r>
      <w:tr>
        <w:trPr>
          <w:trHeight w:val="21"/>
        </w:trPr>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Non-controlled/non-affiliate investments (cost of $159,012,912 and $155,103,810,</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120,620,316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130,901,546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w w:val="99"/>
              </w:rPr>
              <w:t>Non-controlled/affiliate investments (cost of $30,195,780 and $41,140,804, respectively)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11,546,197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12,591,162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 (cost of $19,883,894 and $19,883,894, respectively)</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28,116,633</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13,695,870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Portfolio Investments</w:t>
            </w: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160,283,146</w:t>
            </w: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157,188,578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U.S. Treasury bills (cost of $75,478,668 and $84,999,598, respectively)</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75,895,534</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85,056,817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Investments (cost of $284,571,254 and $301,128,106, respectively)</w:t>
            </w: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236,178,680</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242,245,395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24,542,729</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40,117,598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664,470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Escrow proceeds receivable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375,965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and dividends receivable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119,548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590,430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980" w:type="dxa"/>
            <w:vAlign w:val="bottom"/>
          </w:tcPr>
          <w:p>
            <w:pPr>
              <w:spacing w:after="0" w:line="270" w:lineRule="exact"/>
              <w:rPr>
                <w:sz w:val="20"/>
                <w:szCs w:val="20"/>
                <w:color w:val="auto"/>
              </w:rPr>
            </w:pPr>
            <w:r>
              <w:rPr>
                <w:rFonts w:ascii="Arial" w:cs="Arial" w:eastAsia="Arial" w:hAnsi="Arial"/>
                <w:sz w:val="18"/>
                <w:szCs w:val="18"/>
                <w:color w:val="auto"/>
              </w:rPr>
              <w:t>Prepaid expenses and other assets</w:t>
            </w:r>
            <w:r>
              <w:rPr>
                <w:rFonts w:ascii="Arial" w:cs="Arial" w:eastAsia="Arial" w:hAnsi="Arial"/>
                <w:sz w:val="29"/>
                <w:szCs w:val="29"/>
                <w:color w:val="auto"/>
                <w:vertAlign w:val="superscript"/>
              </w:rPr>
              <w:t>(1)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485,171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727,006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262,956,993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284,412,858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Accounts payable and accrued expenses</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2,511,200</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708,827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Dividends payable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188,357</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296,170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6980" w:type="dxa"/>
            <w:vAlign w:val="bottom"/>
            <w:shd w:val="clear" w:color="auto" w:fill="CCEEFF"/>
          </w:tcPr>
          <w:p>
            <w:pPr>
              <w:spacing w:after="0" w:line="276" w:lineRule="exact"/>
              <w:rPr>
                <w:sz w:val="20"/>
                <w:szCs w:val="20"/>
                <w:color w:val="auto"/>
              </w:rPr>
            </w:pPr>
            <w:r>
              <w:rPr>
                <w:rFonts w:ascii="Arial" w:cs="Arial" w:eastAsia="Arial" w:hAnsi="Arial"/>
                <w:sz w:val="18"/>
                <w:szCs w:val="18"/>
                <w:color w:val="auto"/>
              </w:rPr>
              <w:t>6.00% Notes due December 30, 2026</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73,564,712</w:t>
            </w: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73,387,159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9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76,264,269</w:t>
            </w:r>
          </w:p>
        </w:tc>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74,392,156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(Notes 7 and 10)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186,692,724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210,020,702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 (100,000,000 authorized; 25,398,640 and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28,429,499 issued and outstanding, respectively)</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253,986</w:t>
            </w:r>
          </w:p>
        </w:tc>
        <w:tc>
          <w:tcPr>
            <w:tcW w:w="3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284,295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318,605,100</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330,899,254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Accumulated net investment loss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(72,859,710)</w:t>
            </w:r>
          </w:p>
        </w:tc>
        <w:tc>
          <w:tcPr>
            <w:tcW w:w="16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(64,832,605)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gain/(loss) on investments, net of distributions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(10,528,391)</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Accumulated net unrealized appreciation/(depreciation) of investments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(48,778,261)</w:t>
            </w:r>
          </w:p>
        </w:tc>
        <w:tc>
          <w:tcPr>
            <w:tcW w:w="16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(58,882,707)</w:t>
            </w:r>
          </w:p>
        </w:tc>
        <w:tc>
          <w:tcPr>
            <w:tcW w:w="0" w:type="dxa"/>
            <w:vAlign w:val="bottom"/>
          </w:tcPr>
          <w:p>
            <w:pPr>
              <w:spacing w:after="0"/>
              <w:rPr>
                <w:sz w:val="1"/>
                <w:szCs w:val="1"/>
                <w:color w:val="auto"/>
              </w:rPr>
            </w:pPr>
          </w:p>
        </w:tc>
      </w:tr>
      <w:tr>
        <w:trPr>
          <w:trHeight w:val="229"/>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186,692,724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210,020,702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balance includes a right of use asset and corresponding operating lease liability, respectively. Refer to “Note 7—Commitments and Contingencies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Leases and Related Deposits</w:t>
      </w:r>
      <w:r>
        <w:rPr>
          <w:rFonts w:ascii="Arial" w:cs="Arial" w:eastAsia="Arial" w:hAnsi="Arial"/>
          <w:sz w:val="18"/>
          <w:szCs w:val="18"/>
          <w:color w:val="auto"/>
        </w:rPr>
        <w:t>” for more detail.</w:t>
      </w:r>
    </w:p>
    <w:p>
      <w:pPr>
        <w:spacing w:after="0" w:line="9"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June 30, 2023, the 6.00% Notes due December 30, 2026 (effective interest rate of 6.53%) had a face value $75,000,000. As of December 31, 2022, the 6.00% Notes due December 30, 2026 (effective interest rate of 6.53%) had a face value $75,000,000. Refer to “Note 10—Debt Capital Activities” for a reconciliation of the carrying value to the face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w w:val="93"/>
              </w:rPr>
              <w:t>Three Months Ended June 30,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jc w:val="right"/>
              <w:ind w:right="421"/>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Non-controlled/non-affiliate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40,394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149,282</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89,869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63,145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191,349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126,290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318,425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554,425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U.S. Treasury bills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950,254</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1,900,716</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Investment Income</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1,372,218</w:t>
            </w:r>
          </w:p>
        </w:tc>
        <w:tc>
          <w:tcPr>
            <w:tcW w:w="3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890,631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2,671,300</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1,473,731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Compensation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2,117,872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1,759,261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4,254,626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3,619,963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Directors’ fees</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161,661</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191,829</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322,226</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916,579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1,078,459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1,907,413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2,351,172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1,214,267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2,427,553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90,826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620,606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676,353</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439,512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1,165,981</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5,177,558</w:t>
            </w:r>
          </w:p>
        </w:tc>
        <w:tc>
          <w:tcPr>
            <w:tcW w:w="3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4,701,519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10,698,405</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9,509,324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Investment Loss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(3,805,340</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(3,810,888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(8,027,105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(8,035,593</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Arial" w:cs="Arial" w:eastAsia="Arial" w:hAnsi="Arial"/>
                <w:sz w:val="18"/>
                <w:szCs w:val="18"/>
                <w:b w:val="1"/>
                <w:bCs w:val="1"/>
                <w:color w:val="auto"/>
              </w:rPr>
              <w:t>Realized Gain/(Loss) on Investments: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Non-controlled/non-affiliated investments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(2,325,175)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(1,895,846)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(2,135,832)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Non-controlled/affiliate investments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(10,945,024)</w:t>
            </w:r>
          </w:p>
        </w:tc>
        <w:tc>
          <w:tcPr>
            <w:tcW w:w="240" w:type="dxa"/>
            <w:vAlign w:val="bottom"/>
          </w:tcPr>
          <w:p>
            <w:pPr>
              <w:spacing w:after="0"/>
              <w:rPr>
                <w:sz w:val="20"/>
                <w:szCs w:val="20"/>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(70,379)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(10,945,024)</w:t>
            </w:r>
          </w:p>
        </w:tc>
        <w:tc>
          <w:tcPr>
            <w:tcW w:w="24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(70,379)</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Realized Gain/(Loss) on Investments</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(13,270,199)</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(13,080,856)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Arial" w:cs="Arial" w:eastAsia="Arial" w:hAnsi="Arial"/>
                <w:sz w:val="18"/>
                <w:szCs w:val="18"/>
                <w:b w:val="1"/>
                <w:bCs w:val="1"/>
                <w:color w:val="auto"/>
              </w:rPr>
              <w:t>Change in Unrealized Appreciation/(Depreciation) of</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Non-controlled/non-affiliated investments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(12,152,800)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(88,620,056)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(14,216,377)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(66,876,069)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Non-controlled/affiliate investments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11,220,424</w:t>
            </w:r>
          </w:p>
        </w:tc>
        <w:tc>
          <w:tcPr>
            <w:tcW w:w="24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(72,519)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9,900,060</w:t>
            </w:r>
          </w:p>
        </w:tc>
        <w:tc>
          <w:tcPr>
            <w:tcW w:w="2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(361,621)</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Controlled investments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2,387,891</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14,420,763</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4860" w:type="dxa"/>
            <w:vAlign w:val="bottom"/>
            <w:tcBorders>
              <w:top w:val="single" w:sz="8" w:color="CCEEFF"/>
            </w:tcBorders>
          </w:tcPr>
          <w:p>
            <w:pPr>
              <w:ind w:left="180"/>
              <w:spacing w:after="0" w:line="171" w:lineRule="exact"/>
              <w:rPr>
                <w:sz w:val="20"/>
                <w:szCs w:val="20"/>
                <w:color w:val="auto"/>
              </w:rPr>
            </w:pPr>
            <w:r>
              <w:rPr>
                <w:rFonts w:ascii="Arial" w:cs="Arial" w:eastAsia="Arial" w:hAnsi="Arial"/>
                <w:sz w:val="18"/>
                <w:szCs w:val="18"/>
                <w:b w:val="1"/>
                <w:bCs w:val="1"/>
                <w:color w:val="auto"/>
                <w:w w:val="97"/>
              </w:rPr>
              <w:t>Net Change in Unrealized Appreciation/(Depreciation) of</w:t>
            </w:r>
          </w:p>
        </w:tc>
        <w:tc>
          <w:tcPr>
            <w:tcW w:w="3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Investments</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1,455,515</w:t>
            </w:r>
          </w:p>
        </w:tc>
        <w:tc>
          <w:tcPr>
            <w:tcW w:w="240" w:type="dxa"/>
            <w:vAlign w:val="bottom"/>
          </w:tcPr>
          <w:p>
            <w:pPr>
              <w:spacing w:after="0"/>
              <w:rPr>
                <w:sz w:val="22"/>
                <w:szCs w:val="22"/>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(88,562,575)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10,104,446</w:t>
            </w:r>
          </w:p>
        </w:tc>
        <w:tc>
          <w:tcPr>
            <w:tcW w:w="240" w:type="dxa"/>
            <w:vAlign w:val="bottom"/>
          </w:tcPr>
          <w:p>
            <w:pPr>
              <w:spacing w:after="0"/>
              <w:rPr>
                <w:sz w:val="22"/>
                <w:szCs w:val="22"/>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(66,977,690)</w:t>
            </w:r>
          </w:p>
        </w:tc>
        <w:tc>
          <w:tcPr>
            <w:tcW w:w="0" w:type="dxa"/>
            <w:vAlign w:val="bottom"/>
          </w:tcPr>
          <w:p>
            <w:pPr>
              <w:spacing w:after="0"/>
              <w:rPr>
                <w:sz w:val="1"/>
                <w:szCs w:val="1"/>
                <w:color w:val="auto"/>
              </w:rPr>
            </w:pPr>
          </w:p>
        </w:tc>
      </w:tr>
      <w:tr>
        <w:trPr>
          <w:trHeight w:val="270"/>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3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(15,620,024</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(94,339,688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(11,003,515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(73,883,233</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65"/>
        </w:trPr>
        <w:tc>
          <w:tcPr>
            <w:tcW w:w="4860" w:type="dxa"/>
            <w:vAlign w:val="bottom"/>
          </w:tcPr>
          <w:p>
            <w:pPr>
              <w:ind w:left="180"/>
              <w:spacing w:after="0" w:line="164" w:lineRule="exact"/>
              <w:rPr>
                <w:sz w:val="20"/>
                <w:szCs w:val="20"/>
                <w:color w:val="auto"/>
              </w:rPr>
            </w:pPr>
            <w:r>
              <w:rPr>
                <w:rFonts w:ascii="Arial" w:cs="Arial" w:eastAsia="Arial" w:hAnsi="Arial"/>
                <w:sz w:val="18"/>
                <w:szCs w:val="18"/>
                <w:b w:val="1"/>
                <w:bCs w:val="1"/>
                <w:color w:val="auto"/>
                <w:w w:val="96"/>
              </w:rPr>
              <w:t>Net Change in Net Assets Resulting from Operations per</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Common Share: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360"/>
              <w:spacing w:after="0" w:line="277"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(0.60)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(3.08)</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1"/>
              <w:spacing w:after="0"/>
              <w:rPr>
                <w:sz w:val="20"/>
                <w:szCs w:val="20"/>
                <w:color w:val="auto"/>
              </w:rPr>
            </w:pPr>
            <w:r>
              <w:rPr>
                <w:rFonts w:ascii="Arial" w:cs="Arial" w:eastAsia="Arial" w:hAnsi="Arial"/>
                <w:sz w:val="18"/>
                <w:szCs w:val="18"/>
                <w:color w:val="auto"/>
              </w:rPr>
              <w:t>(0.41)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Common Shares Outstanding</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30"/>
              <w:spacing w:after="0"/>
              <w:rPr>
                <w:sz w:val="20"/>
                <w:szCs w:val="20"/>
                <w:color w:val="auto"/>
              </w:rPr>
            </w:pPr>
            <w:r>
              <w:rPr>
                <w:rFonts w:ascii="Arial" w:cs="Arial" w:eastAsia="Arial" w:hAnsi="Arial"/>
                <w:sz w:val="18"/>
                <w:szCs w:val="18"/>
                <w:color w:val="auto"/>
              </w:rPr>
              <w:t>25,952,447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30,633,878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color w:val="auto"/>
              </w:rPr>
              <w:t>27,158,786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30,929,321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25,952,447</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30,633,878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27,158,786</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30,929,321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 to “Note 11 — Stock-Based Compensation” for more detail.</w:t>
      </w:r>
    </w:p>
    <w:p>
      <w:pPr>
        <w:spacing w:after="0" w:line="2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six months ended June 30, 2023 and June 30, 2022, there were no potentially dilutive securities outstanding. Refer to “Note 6 — Net Change in Net Assets Resulting from Operations per Common Share — Basic and Diluted”.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6"/>
          </w:tcPr>
          <w:p>
            <w:pPr>
              <w:jc w:val="right"/>
              <w:ind w:right="1041"/>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60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Beginning of Year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210,020,702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364,846,624</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tcPr>
          <w:p>
            <w:pPr>
              <w:jc w:val="right"/>
              <w:ind w:right="280"/>
              <w:spacing w:after="0"/>
              <w:rPr>
                <w:sz w:val="20"/>
                <w:szCs w:val="20"/>
                <w:color w:val="auto"/>
              </w:rPr>
            </w:pPr>
            <w:r>
              <w:rPr>
                <w:rFonts w:ascii="Arial" w:cs="Arial" w:eastAsia="Arial" w:hAnsi="Arial"/>
                <w:sz w:val="18"/>
                <w:szCs w:val="18"/>
                <w:color w:val="auto"/>
              </w:rPr>
              <w:t>(4,221,765)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1"/>
              <w:spacing w:after="0"/>
              <w:rPr>
                <w:sz w:val="20"/>
                <w:szCs w:val="20"/>
                <w:color w:val="auto"/>
              </w:rPr>
            </w:pPr>
            <w:r>
              <w:rPr>
                <w:rFonts w:ascii="Arial" w:cs="Arial" w:eastAsia="Arial" w:hAnsi="Arial"/>
                <w:sz w:val="18"/>
                <w:szCs w:val="18"/>
                <w:color w:val="auto"/>
              </w:rPr>
              <w:t>(4,224,705)</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gain on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189,343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3,096,275</w:t>
            </w:r>
          </w:p>
        </w:tc>
        <w:tc>
          <w:tcPr>
            <w:tcW w:w="100" w:type="dxa"/>
            <w:vAlign w:val="bottom"/>
            <w:shd w:val="clear" w:color="auto" w:fill="CCEEFF"/>
          </w:tcPr>
          <w:p>
            <w:pPr>
              <w:spacing w:after="0"/>
              <w:rPr>
                <w:sz w:val="18"/>
                <w:szCs w:val="18"/>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8,648,931</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21,584,885</w:t>
            </w:r>
          </w:p>
        </w:tc>
        <w:tc>
          <w:tcPr>
            <w:tcW w:w="100" w:type="dxa"/>
            <w:vAlign w:val="bottom"/>
          </w:tcPr>
          <w:p>
            <w:pPr>
              <w:spacing w:after="0"/>
              <w:rPr>
                <w:sz w:val="20"/>
                <w:szCs w:val="20"/>
                <w:color w:val="auto"/>
              </w:rPr>
            </w:pPr>
          </w:p>
        </w:tc>
      </w:tr>
      <w:tr>
        <w:trPr>
          <w:trHeight w:val="216"/>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4,616,509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20,456,455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Distributions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declared</w:t>
            </w: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(3,441,824)</w:t>
            </w:r>
          </w:p>
        </w:tc>
      </w:tr>
      <w:tr>
        <w:trPr>
          <w:trHeight w:val="203"/>
        </w:trPr>
        <w:tc>
          <w:tcPr>
            <w:tcW w:w="60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b w:val="1"/>
                <w:bCs w:val="1"/>
                <w:color w:val="auto"/>
              </w:rPr>
              <w:t>Total Distributions</w:t>
            </w: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(3,441,824)</w:t>
            </w: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Issuance of common stock from public offering</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229,896</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405,858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(30,016)</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00" w:type="dxa"/>
            <w:vAlign w:val="bottom"/>
            <w:gridSpan w:val="2"/>
          </w:tcPr>
          <w:p>
            <w:pPr>
              <w:jc w:val="right"/>
              <w:ind w:right="21"/>
              <w:spacing w:after="0"/>
              <w:rPr>
                <w:sz w:val="20"/>
                <w:szCs w:val="20"/>
                <w:color w:val="auto"/>
              </w:rPr>
            </w:pPr>
            <w:r>
              <w:rPr>
                <w:rFonts w:ascii="Arial" w:cs="Arial" w:eastAsia="Arial" w:hAnsi="Arial"/>
                <w:sz w:val="18"/>
                <w:szCs w:val="18"/>
                <w:color w:val="auto"/>
              </w:rPr>
              <w:t>(1,359,607)</w:t>
            </w:r>
          </w:p>
        </w:tc>
      </w:tr>
      <w:tr>
        <w:trPr>
          <w:trHeight w:val="236"/>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Capital Transactions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(1,159,727</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b w:val="1"/>
                <w:bCs w:val="1"/>
                <w:color w:val="auto"/>
              </w:rPr>
              <w:t>Total Change in Net Assets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5,022,367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15,854,904</w:t>
            </w:r>
          </w:p>
        </w:tc>
        <w:tc>
          <w:tcPr>
            <w:tcW w:w="100" w:type="dxa"/>
            <w:vAlign w:val="bottom"/>
          </w:tcPr>
          <w:p>
            <w:pPr>
              <w:spacing w:after="0"/>
              <w:rPr>
                <w:sz w:val="17"/>
                <w:szCs w:val="17"/>
                <w:color w:val="auto"/>
              </w:rPr>
            </w:pPr>
          </w:p>
        </w:tc>
      </w:tr>
      <w:tr>
        <w:trPr>
          <w:trHeight w:val="24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March 31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215,043,069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380,701,528</w:t>
            </w:r>
          </w:p>
        </w:tc>
        <w:tc>
          <w:tcPr>
            <w:tcW w:w="100" w:type="dxa"/>
            <w:vAlign w:val="bottom"/>
            <w:shd w:val="clear" w:color="auto" w:fill="CCEEFF"/>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Net investment loss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8"/>
                <w:szCs w:val="18"/>
                <w:color w:val="auto"/>
              </w:rPr>
              <w:t>(3,805,340)</w:t>
            </w: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Arial" w:cs="Arial" w:eastAsia="Arial" w:hAnsi="Arial"/>
                <w:sz w:val="18"/>
                <w:szCs w:val="18"/>
                <w:color w:val="auto"/>
              </w:rPr>
              <w:t>(3,810,888)</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loss on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(13,270,199)</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(1,966,225)</w:t>
            </w:r>
          </w:p>
        </w:tc>
      </w:tr>
      <w:tr>
        <w:trPr>
          <w:trHeight w:val="236"/>
        </w:trPr>
        <w:tc>
          <w:tcPr>
            <w:tcW w:w="6060" w:type="dxa"/>
            <w:vAlign w:val="bottom"/>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340"/>
              <w:spacing w:after="0"/>
              <w:rPr>
                <w:sz w:val="20"/>
                <w:szCs w:val="20"/>
                <w:color w:val="auto"/>
              </w:rPr>
            </w:pPr>
            <w:r>
              <w:rPr>
                <w:rFonts w:ascii="Arial" w:cs="Arial" w:eastAsia="Arial" w:hAnsi="Arial"/>
                <w:sz w:val="18"/>
                <w:szCs w:val="18"/>
                <w:color w:val="auto"/>
              </w:rPr>
              <w:t>1,455,515</w:t>
            </w:r>
          </w:p>
        </w:tc>
        <w:tc>
          <w:tcPr>
            <w:tcW w:w="120" w:type="dxa"/>
            <w:vAlign w:val="bottom"/>
          </w:tcPr>
          <w:p>
            <w:pPr>
              <w:spacing w:after="0"/>
              <w:rPr>
                <w:sz w:val="20"/>
                <w:szCs w:val="20"/>
                <w:color w:val="auto"/>
              </w:rPr>
            </w:pPr>
          </w:p>
        </w:tc>
        <w:tc>
          <w:tcPr>
            <w:tcW w:w="1900" w:type="dxa"/>
            <w:vAlign w:val="bottom"/>
            <w:gridSpan w:val="2"/>
          </w:tcPr>
          <w:p>
            <w:pPr>
              <w:jc w:val="right"/>
              <w:ind w:right="21"/>
              <w:spacing w:after="0"/>
              <w:rPr>
                <w:sz w:val="20"/>
                <w:szCs w:val="20"/>
                <w:color w:val="auto"/>
              </w:rPr>
            </w:pPr>
            <w:r>
              <w:rPr>
                <w:rFonts w:ascii="Arial" w:cs="Arial" w:eastAsia="Arial" w:hAnsi="Arial"/>
                <w:sz w:val="18"/>
                <w:szCs w:val="18"/>
                <w:color w:val="auto"/>
              </w:rPr>
              <w:t>(88,562,575)</w:t>
            </w:r>
          </w:p>
        </w:tc>
      </w:tr>
      <w:tr>
        <w:trPr>
          <w:trHeight w:val="216"/>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(15,620,024)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(94,339,688)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769,679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703,566</w:t>
            </w:r>
          </w:p>
        </w:tc>
        <w:tc>
          <w:tcPr>
            <w:tcW w:w="100" w:type="dxa"/>
            <w:vAlign w:val="bottom"/>
            <w:shd w:val="clear" w:color="auto" w:fill="CCEEFF"/>
          </w:tcPr>
          <w:p>
            <w:pPr>
              <w:spacing w:after="0"/>
              <w:rPr>
                <w:sz w:val="18"/>
                <w:szCs w:val="18"/>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8"/>
                <w:szCs w:val="18"/>
                <w:color w:val="auto"/>
              </w:rPr>
              <w:t>(13,500,000)</w:t>
            </w:r>
          </w:p>
        </w:tc>
        <w:tc>
          <w:tcPr>
            <w:tcW w:w="120" w:type="dxa"/>
            <w:vAlign w:val="bottom"/>
          </w:tcPr>
          <w:p>
            <w:pPr>
              <w:spacing w:after="0"/>
              <w:rPr>
                <w:sz w:val="20"/>
                <w:szCs w:val="20"/>
                <w:color w:val="auto"/>
              </w:rPr>
            </w:pPr>
          </w:p>
        </w:tc>
        <w:tc>
          <w:tcPr>
            <w:tcW w:w="1900" w:type="dxa"/>
            <w:vAlign w:val="bottom"/>
            <w:gridSpan w:val="2"/>
          </w:tcPr>
          <w:p>
            <w:pPr>
              <w:jc w:val="right"/>
              <w:ind w:right="21"/>
              <w:spacing w:after="0"/>
              <w:rPr>
                <w:sz w:val="20"/>
                <w:szCs w:val="20"/>
                <w:color w:val="auto"/>
              </w:rPr>
            </w:pPr>
            <w:r>
              <w:rPr>
                <w:rFonts w:ascii="Arial" w:cs="Arial" w:eastAsia="Arial" w:hAnsi="Arial"/>
                <w:sz w:val="18"/>
                <w:szCs w:val="18"/>
                <w:color w:val="auto"/>
              </w:rPr>
              <w:t>(6,892,934)</w:t>
            </w:r>
          </w:p>
        </w:tc>
      </w:tr>
      <w:tr>
        <w:trPr>
          <w:trHeight w:val="236"/>
        </w:trPr>
        <w:tc>
          <w:tcPr>
            <w:tcW w:w="6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Change in Net Assets Resulting from Capital Transactions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(12,730,321</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(6,189,368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60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Change in Net Assets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(28,350,345</w:t>
            </w:r>
          </w:p>
        </w:tc>
        <w:tc>
          <w:tcPr>
            <w:tcW w:w="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(100,529,056</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at June 30</w:t>
            </w: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186,692,724</w:t>
            </w: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280,172,472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Shares outstanding at beginning of year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28,429,499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31,118,556</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from public offering</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17,807</w:t>
            </w:r>
          </w:p>
        </w:tc>
        <w:tc>
          <w:tcPr>
            <w:tcW w:w="100" w:type="dxa"/>
            <w:vAlign w:val="bottom"/>
            <w:shd w:val="clear" w:color="auto" w:fill="CCEEFF"/>
          </w:tcPr>
          <w:p>
            <w:pPr>
              <w:spacing w:after="0"/>
              <w:rPr>
                <w:sz w:val="18"/>
                <w:szCs w:val="18"/>
                <w:color w:val="auto"/>
              </w:rPr>
            </w:pPr>
          </w:p>
        </w:tc>
      </w:tr>
      <w:tr>
        <w:trPr>
          <w:trHeight w:val="256"/>
        </w:trPr>
        <w:tc>
          <w:tcPr>
            <w:tcW w:w="6060" w:type="dxa"/>
            <w:vAlign w:val="bottom"/>
          </w:tcPr>
          <w:p>
            <w:pPr>
              <w:ind w:left="180"/>
              <w:spacing w:after="0" w:line="256" w:lineRule="exact"/>
              <w:rPr>
                <w:sz w:val="20"/>
                <w:szCs w:val="20"/>
                <w:color w:val="auto"/>
              </w:rPr>
            </w:pPr>
            <w:r>
              <w:rPr>
                <w:rFonts w:ascii="Arial" w:cs="Arial" w:eastAsia="Arial" w:hAnsi="Arial"/>
                <w:sz w:val="18"/>
                <w:szCs w:val="18"/>
                <w:color w:val="auto"/>
              </w:rPr>
              <w:t>Issuance of common stock under restricted stock plan, net</w:t>
            </w:r>
            <w:r>
              <w:rPr>
                <w:rFonts w:ascii="Arial" w:cs="Arial" w:eastAsia="Arial" w:hAnsi="Arial"/>
                <w:sz w:val="29"/>
                <w:szCs w:val="29"/>
                <w:color w:val="auto"/>
                <w:vertAlign w:val="superscript"/>
              </w:rPr>
              <w:t>(1)</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3"/>
          </w:tcPr>
          <w:p>
            <w:pPr>
              <w:jc w:val="right"/>
              <w:ind w:right="280"/>
              <w:spacing w:after="0"/>
              <w:rPr>
                <w:sz w:val="20"/>
                <w:szCs w:val="20"/>
                <w:color w:val="auto"/>
              </w:rPr>
            </w:pPr>
            <w:r>
              <w:rPr>
                <w:rFonts w:ascii="Arial" w:cs="Arial" w:eastAsia="Arial" w:hAnsi="Arial"/>
                <w:sz w:val="18"/>
                <w:szCs w:val="18"/>
                <w:color w:val="auto"/>
              </w:rPr>
              <w:t>(30,859)</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197,500</w:t>
            </w:r>
          </w:p>
        </w:tc>
        <w:tc>
          <w:tcPr>
            <w:tcW w:w="100" w:type="dxa"/>
            <w:vAlign w:val="bottom"/>
          </w:tcPr>
          <w:p>
            <w:pPr>
              <w:spacing w:after="0"/>
              <w:rPr>
                <w:sz w:val="22"/>
                <w:szCs w:val="22"/>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repurchased</w:t>
            </w: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(1,008,676)</w:t>
            </w:r>
          </w:p>
        </w:tc>
      </w:tr>
      <w:tr>
        <w:trPr>
          <w:trHeight w:val="217"/>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Shares Outstanding at End of Period</w:t>
            </w: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25,398,640</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30,325,187</w:t>
            </w:r>
          </w:p>
        </w:tc>
        <w:tc>
          <w:tcPr>
            <w:tcW w:w="100" w:type="dxa"/>
            <w:vAlign w:val="bottom"/>
            <w:tcBorders>
              <w:top w:val="single" w:sz="8" w:color="CCEEFF"/>
            </w:tcBorders>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 Refer to “Note 11 — Stock-Based Compensation” for more detail.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40" w:type="dxa"/>
            <w:vAlign w:val="bottom"/>
            <w:gridSpan w:val="6"/>
          </w:tcPr>
          <w:p>
            <w:pPr>
              <w:jc w:val="right"/>
              <w:ind w:right="1101"/>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69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change in net assets resulting from operations</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(11,003,515)</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(73,883,233)</w:t>
            </w:r>
          </w:p>
        </w:tc>
      </w:tr>
      <w:tr>
        <w:trPr>
          <w:trHeight w:val="202"/>
        </w:trPr>
        <w:tc>
          <w:tcPr>
            <w:tcW w:w="6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Adjustments to reconcile net change in net assets resulting from operations to net cash</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used in operating activities:</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Net realized (gain)/loss on investments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13,080,856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(1,130,050)</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(10,104,446)</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66,977,690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Amortization of discount on 6.00% Notes due 2026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142,894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211,033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1,175,537</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673,550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Adjustments to escrow proceeds receivable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211,918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179,134</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on U.S. Treasury bills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(385,692)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Purchases of investments in:</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Portfolio investments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(12,514,713)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(11,008,515)</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U.S. Treasury bills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(141,793,045)</w:t>
            </w:r>
          </w:p>
        </w:tc>
        <w:tc>
          <w:tcPr>
            <w:tcW w:w="44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or maturity of investments in:</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Portfolio investments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6,257,861</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5,051,279</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bills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151,313,976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241,835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349,485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Interest and dividends receivable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19,218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(72,982)</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receivable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(664,470)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(3,450)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Escrow proceeds receivable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252,367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41,626</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1,802,373</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1,830,782</w:t>
            </w:r>
          </w:p>
        </w:tc>
        <w:tc>
          <w:tcPr>
            <w:tcW w:w="100" w:type="dxa"/>
            <w:vAlign w:val="bottom"/>
            <w:shd w:val="clear" w:color="auto" w:fill="CCEEFF"/>
          </w:tcPr>
          <w:p>
            <w:pPr>
              <w:spacing w:after="0"/>
              <w:rPr>
                <w:sz w:val="18"/>
                <w:szCs w:val="18"/>
                <w:color w:val="auto"/>
              </w:rPr>
            </w:pPr>
          </w:p>
        </w:tc>
      </w:tr>
      <w:tr>
        <w:trPr>
          <w:trHeight w:val="236"/>
        </w:trPr>
        <w:tc>
          <w:tcPr>
            <w:tcW w:w="698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(162,500)</w:t>
            </w:r>
          </w:p>
        </w:tc>
      </w:tr>
      <w:tr>
        <w:trPr>
          <w:trHeight w:val="23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(1,967,046</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(10,946,151</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03"/>
        </w:trPr>
        <w:tc>
          <w:tcPr>
            <w:tcW w:w="69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229,896</w:t>
            </w:r>
          </w:p>
        </w:tc>
        <w:tc>
          <w:tcPr>
            <w:tcW w:w="10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(13,500,000)</w:t>
            </w: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(8,252,541)</w:t>
            </w:r>
          </w:p>
        </w:tc>
      </w:tr>
      <w:tr>
        <w:trPr>
          <w:trHeight w:val="24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(107,823)</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(26,481,943)</w:t>
            </w: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(1,540)</w:t>
            </w:r>
          </w:p>
        </w:tc>
      </w:tr>
      <w:tr>
        <w:trPr>
          <w:trHeight w:val="23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(13,607,823</w:t>
            </w:r>
          </w:p>
        </w:tc>
        <w:tc>
          <w:tcPr>
            <w:tcW w:w="3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(34,506,128</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6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Decrease in Cash Balance</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(15,574,869</w:t>
            </w:r>
          </w:p>
        </w:tc>
        <w:tc>
          <w:tcPr>
            <w:tcW w:w="34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(45,452,279</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36"/>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Balance at Beginning of Year</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40,117,598</w:t>
            </w: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198,437,078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980" w:type="dxa"/>
            <w:vAlign w:val="bottom"/>
          </w:tcPr>
          <w:p>
            <w:pPr>
              <w:spacing w:after="0" w:line="203" w:lineRule="exact"/>
              <w:rPr>
                <w:sz w:val="20"/>
                <w:szCs w:val="20"/>
                <w:color w:val="auto"/>
              </w:rPr>
            </w:pPr>
            <w:r>
              <w:rPr>
                <w:rFonts w:ascii="Arial" w:cs="Arial" w:eastAsia="Arial" w:hAnsi="Arial"/>
                <w:sz w:val="18"/>
                <w:szCs w:val="18"/>
                <w:b w:val="1"/>
                <w:bCs w:val="1"/>
                <w:color w:val="auto"/>
              </w:rPr>
              <w:t>Cash Balance at End of Period</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24,542,729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152,984,799</w:t>
            </w:r>
          </w:p>
        </w:tc>
        <w:tc>
          <w:tcPr>
            <w:tcW w:w="100" w:type="dxa"/>
            <w:vAlign w:val="bottom"/>
          </w:tcPr>
          <w:p>
            <w:pPr>
              <w:spacing w:after="0"/>
              <w:rPr>
                <w:sz w:val="18"/>
                <w:szCs w:val="18"/>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Supplemental Information:</w:t>
            </w: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2,412,500</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Taxes paid</w:t>
            </w:r>
          </w:p>
        </w:tc>
        <w:tc>
          <w:tcPr>
            <w:tcW w:w="46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530,556</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7,569</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(UNAUDITED) June 30, 2023</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200" w:type="dxa"/>
            <w:vAlign w:val="bottom"/>
            <w:gridSpan w:val="18"/>
          </w:tcPr>
          <w:p>
            <w:pPr>
              <w:spacing w:after="0"/>
              <w:rPr>
                <w:sz w:val="20"/>
                <w:szCs w:val="20"/>
                <w:color w:val="auto"/>
              </w:rPr>
            </w:pPr>
            <w:r>
              <w:rPr>
                <w:rFonts w:ascii="Arial" w:cs="Arial" w:eastAsia="Arial" w:hAnsi="Arial"/>
                <w:sz w:val="18"/>
                <w:szCs w:val="18"/>
                <w:b w:val="1"/>
                <w:bCs w:val="1"/>
                <w:color w:val="auto"/>
              </w:rPr>
              <w:t>Portfolio Investments*</w:t>
            </w: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5"/>
              </w:rPr>
              <w:t>Industry</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Principal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8"/>
        </w:trPr>
        <w:tc>
          <w:tcPr>
            <w:tcW w:w="3200" w:type="dxa"/>
            <w:vAlign w:val="bottom"/>
            <w:tcBorders>
              <w:top w:val="single" w:sz="8" w:color="auto"/>
            </w:tcBorders>
            <w:gridSpan w:val="18"/>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NON-CONTROLLED/NON-</w:t>
            </w:r>
          </w:p>
        </w:tc>
        <w:tc>
          <w:tcPr>
            <w:tcW w:w="2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AFFILIATE</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0" w:type="dxa"/>
            <w:vAlign w:val="bottom"/>
            <w:gridSpan w:val="18"/>
          </w:tcPr>
          <w:p>
            <w:pPr>
              <w:spacing w:after="0" w:line="176" w:lineRule="exact"/>
              <w:rPr>
                <w:sz w:val="20"/>
                <w:szCs w:val="20"/>
                <w:color w:val="auto"/>
              </w:rPr>
            </w:pPr>
            <w:r>
              <w:rPr>
                <w:rFonts w:ascii="Arial" w:cs="Arial" w:eastAsia="Arial" w:hAnsi="Arial"/>
                <w:sz w:val="18"/>
                <w:szCs w:val="18"/>
                <w:b w:val="1"/>
                <w:bCs w:val="1"/>
                <w:color w:val="auto"/>
                <w:w w:val="99"/>
              </w:rPr>
              <w:t>Learneo, Inc. (f/k/a Course Hero, Inc.)</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2"/>
              </w:rPr>
              <w:t>Redwood City, CA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Preferred shares, Series A 8%</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9/18/2014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2,145,509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$ 22,545,618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7"/>
        </w:trPr>
        <w:tc>
          <w:tcPr>
            <w:tcW w:w="3200" w:type="dxa"/>
            <w:vAlign w:val="bottom"/>
            <w:gridSpan w:val="18"/>
          </w:tcPr>
          <w:p>
            <w:pPr>
              <w:spacing w:after="0"/>
              <w:rPr>
                <w:sz w:val="20"/>
                <w:szCs w:val="20"/>
                <w:color w:val="auto"/>
              </w:rPr>
            </w:pPr>
            <w:r>
              <w:rPr>
                <w:rFonts w:ascii="Arial" w:cs="Arial" w:eastAsia="Arial" w:hAnsi="Arial"/>
                <w:sz w:val="18"/>
                <w:szCs w:val="18"/>
                <w:color w:val="auto"/>
              </w:rPr>
              <w:t>Preferred shares, Series C 8%</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11/5/2021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275,659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9,999,971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14,999,972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32,545,589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8"/>
          </w:tcPr>
          <w:p>
            <w:pPr>
              <w:spacing w:after="0" w:line="163" w:lineRule="exact"/>
              <w:rPr>
                <w:sz w:val="20"/>
                <w:szCs w:val="20"/>
                <w:color w:val="auto"/>
              </w:rPr>
            </w:pPr>
            <w:r>
              <w:rPr>
                <w:rFonts w:ascii="Arial" w:cs="Arial" w:eastAsia="Arial" w:hAnsi="Arial"/>
                <w:sz w:val="18"/>
                <w:szCs w:val="18"/>
                <w:b w:val="1"/>
                <w:bCs w:val="1"/>
                <w:color w:val="auto"/>
              </w:rPr>
              <w:t>Blink Health, Inc.</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5"/>
              </w:rPr>
              <w:t>New York, NY</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Pharmaceutical</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color w:val="auto"/>
              </w:rPr>
              <w:t>Preferred shares, Series A</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Technology</w:t>
            </w:r>
          </w:p>
        </w:tc>
        <w:tc>
          <w:tcPr>
            <w:tcW w:w="11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10/27/2020</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238,095</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5,000,423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1,692,856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7"/>
        </w:trPr>
        <w:tc>
          <w:tcPr>
            <w:tcW w:w="3200" w:type="dxa"/>
            <w:vAlign w:val="bottom"/>
            <w:gridSpan w:val="18"/>
          </w:tcPr>
          <w:p>
            <w:pPr>
              <w:spacing w:after="0"/>
              <w:rPr>
                <w:sz w:val="20"/>
                <w:szCs w:val="20"/>
                <w:color w:val="auto"/>
              </w:rPr>
            </w:pPr>
            <w:r>
              <w:rPr>
                <w:rFonts w:ascii="Arial" w:cs="Arial" w:eastAsia="Arial" w:hAnsi="Arial"/>
                <w:sz w:val="18"/>
                <w:szCs w:val="18"/>
                <w:color w:val="auto"/>
              </w:rPr>
              <w:t>Preferred shares, Series C</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10/27/2020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261,944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10,003,917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9,999,975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15,004,340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11,692,831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8"/>
          </w:tcPr>
          <w:p>
            <w:pPr>
              <w:spacing w:after="0" w:line="163" w:lineRule="exact"/>
              <w:rPr>
                <w:sz w:val="20"/>
                <w:szCs w:val="20"/>
                <w:color w:val="auto"/>
              </w:rPr>
            </w:pPr>
            <w:r>
              <w:rPr>
                <w:rFonts w:ascii="Arial" w:cs="Arial" w:eastAsia="Arial" w:hAnsi="Arial"/>
                <w:sz w:val="18"/>
                <w:szCs w:val="18"/>
                <w:b w:val="1"/>
                <w:bCs w:val="1"/>
                <w:color w:val="auto"/>
              </w:rPr>
              <w:t>Locus Robotics Corp.</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8"/>
              </w:rPr>
              <w:t>Wilmington, MA</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Preferred shares, Series F 6%</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Warehouse Automation</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11/30/2022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10,004,286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10,008,042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76"/>
        </w:trPr>
        <w:tc>
          <w:tcPr>
            <w:tcW w:w="3200" w:type="dxa"/>
            <w:vAlign w:val="bottom"/>
            <w:gridSpan w:val="18"/>
          </w:tcPr>
          <w:p>
            <w:pPr>
              <w:spacing w:after="0" w:line="176" w:lineRule="exact"/>
              <w:rPr>
                <w:sz w:val="20"/>
                <w:szCs w:val="20"/>
                <w:color w:val="auto"/>
              </w:rPr>
            </w:pPr>
            <w:r>
              <w:rPr>
                <w:rFonts w:ascii="Arial" w:cs="Arial" w:eastAsia="Arial" w:hAnsi="Arial"/>
                <w:sz w:val="18"/>
                <w:szCs w:val="18"/>
                <w:b w:val="1"/>
                <w:bCs w:val="1"/>
                <w:color w:val="auto"/>
              </w:rPr>
              <w:t>ServiceTitan, Inc.</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3"/>
              </w:rPr>
              <w:t>Glendale, CA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Contractor Management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Software</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6/30/2023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151,515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10,008,075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9,999,990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200" w:type="dxa"/>
            <w:vAlign w:val="bottom"/>
            <w:gridSpan w:val="18"/>
          </w:tcPr>
          <w:p>
            <w:pPr>
              <w:spacing w:after="0" w:line="216" w:lineRule="exact"/>
              <w:rPr>
                <w:sz w:val="20"/>
                <w:szCs w:val="20"/>
                <w:color w:val="auto"/>
              </w:rPr>
            </w:pPr>
            <w:r>
              <w:rPr>
                <w:rFonts w:ascii="Arial" w:cs="Arial" w:eastAsia="Arial" w:hAnsi="Arial"/>
                <w:sz w:val="16"/>
                <w:szCs w:val="16"/>
                <w:b w:val="1"/>
                <w:bCs w:val="1"/>
                <w:color w:val="auto"/>
              </w:rPr>
              <w:t>Orchard Technologies, Inc.</w:t>
            </w:r>
            <w:r>
              <w:rPr>
                <w:rFonts w:ascii="Arial" w:cs="Arial" w:eastAsia="Arial" w:hAnsi="Arial"/>
                <w:sz w:val="25"/>
                <w:szCs w:val="25"/>
                <w:b w:val="1"/>
                <w:bCs w:val="1"/>
                <w:color w:val="auto"/>
                <w:vertAlign w:val="superscript"/>
              </w:rPr>
              <w:t>(14)</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Preferred shares, Series D 8%</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Real Estate Platform</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8/9/2021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3,751,518</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18"/>
          </w:tcPr>
          <w:p>
            <w:pPr>
              <w:spacing w:after="0"/>
              <w:rPr>
                <w:sz w:val="20"/>
                <w:szCs w:val="20"/>
                <w:color w:val="auto"/>
              </w:rPr>
            </w:pPr>
            <w:r>
              <w:rPr>
                <w:rFonts w:ascii="Arial" w:cs="Arial" w:eastAsia="Arial" w:hAnsi="Arial"/>
                <w:sz w:val="18"/>
                <w:szCs w:val="18"/>
                <w:color w:val="auto"/>
              </w:rPr>
              <w:t>Senior Preferred shares, Series 2</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8/9/2021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587,951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Senior Preferred shares, Series 1 7%</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1/13/2023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4,418,406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9,014,642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3200" w:type="dxa"/>
            <w:vAlign w:val="bottom"/>
            <w:gridSpan w:val="18"/>
          </w:tcPr>
          <w:p>
            <w:pPr>
              <w:spacing w:after="0"/>
              <w:rPr>
                <w:sz w:val="20"/>
                <w:szCs w:val="20"/>
                <w:color w:val="auto"/>
              </w:rPr>
            </w:pPr>
            <w:r>
              <w:rPr>
                <w:rFonts w:ascii="Arial" w:cs="Arial" w:eastAsia="Arial" w:hAnsi="Arial"/>
                <w:sz w:val="18"/>
                <w:szCs w:val="18"/>
                <w:color w:val="auto"/>
              </w:rPr>
              <w:t>Common shares</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8/9/2021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558,053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3,751,518</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12,509,393</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9,014,642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8"/>
          </w:tcPr>
          <w:p>
            <w:pPr>
              <w:spacing w:after="0" w:line="163" w:lineRule="exact"/>
              <w:rPr>
                <w:sz w:val="20"/>
                <w:szCs w:val="20"/>
                <w:color w:val="auto"/>
              </w:rPr>
            </w:pPr>
            <w:r>
              <w:rPr>
                <w:rFonts w:ascii="Arial" w:cs="Arial" w:eastAsia="Arial" w:hAnsi="Arial"/>
                <w:sz w:val="18"/>
                <w:szCs w:val="18"/>
                <w:b w:val="1"/>
                <w:bCs w:val="1"/>
                <w:color w:val="auto"/>
                <w:w w:val="95"/>
              </w:rPr>
              <w:t>Shogun Enterprises, Inc. (d/b/a Hearth)</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6"/>
              </w:rPr>
              <w:t>Austin, TX</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Home Improvement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Preferred shares, Series B-1</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Finance</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2/26/2021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3,501,657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3,499,994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3200" w:type="dxa"/>
            <w:vAlign w:val="bottom"/>
            <w:gridSpan w:val="18"/>
          </w:tcPr>
          <w:p>
            <w:pPr>
              <w:spacing w:after="0"/>
              <w:rPr>
                <w:sz w:val="20"/>
                <w:szCs w:val="20"/>
                <w:color w:val="auto"/>
              </w:rPr>
            </w:pPr>
            <w:r>
              <w:rPr>
                <w:rFonts w:ascii="Arial" w:cs="Arial" w:eastAsia="Arial" w:hAnsi="Arial"/>
                <w:sz w:val="18"/>
                <w:szCs w:val="18"/>
                <w:color w:val="auto"/>
              </w:rPr>
              <w:t>Preferred shares, Series B-2</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2/26/2021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301,750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3,501,661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3,499,998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w w:val="96"/>
              </w:rPr>
              <w:t>Convertible Note 0.5%, Due 4/18/2024***</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5/2/2022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655,373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7,503,318</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7,655,365</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63"/>
        </w:trPr>
        <w:tc>
          <w:tcPr>
            <w:tcW w:w="1560" w:type="dxa"/>
            <w:vAlign w:val="bottom"/>
            <w:tcBorders>
              <w:bottom w:val="single" w:sz="8" w:color="auto"/>
            </w:tcBorders>
            <w:gridSpan w:val="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Forge Global, Inc.</w:t>
            </w:r>
            <w:r>
              <w:rPr>
                <w:rFonts w:ascii="Arial" w:cs="Arial" w:eastAsia="Arial" w:hAnsi="Arial"/>
                <w:sz w:val="25"/>
                <w:szCs w:val="25"/>
                <w:b w:val="1"/>
                <w:bCs w:val="1"/>
                <w:color w:val="auto"/>
                <w:vertAlign w:val="superscript"/>
              </w:rPr>
              <w:t>**</w:t>
            </w:r>
          </w:p>
        </w:tc>
        <w:tc>
          <w:tcPr>
            <w:tcW w:w="1640" w:type="dxa"/>
            <w:vAlign w:val="bottom"/>
            <w:tcBorders>
              <w:bottom w:val="single" w:sz="8" w:color="CCEEFF"/>
            </w:tcBorders>
            <w:gridSpan w:val="11"/>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San Francisco, CA</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200" w:type="dxa"/>
            <w:vAlign w:val="bottom"/>
            <w:gridSpan w:val="18"/>
            <w:vMerge w:val="restart"/>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tcPr>
          <w:p>
            <w:pPr>
              <w:spacing w:after="0"/>
              <w:rPr>
                <w:sz w:val="17"/>
                <w:szCs w:val="17"/>
                <w:color w:val="auto"/>
              </w:rPr>
            </w:pP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2"/>
              </w:rPr>
              <w:t>Online Marketplace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8"/>
            <w:vMerge w:val="continue"/>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Finance</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7/20/2011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2,508,074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3,443,483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6,094,620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gridSpan w:val="1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True Global Ventures 4 Plus Pte Ltd**</w:t>
            </w:r>
          </w:p>
        </w:tc>
        <w:tc>
          <w:tcPr>
            <w:tcW w:w="22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Singapore, Singapore</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0" w:type="dxa"/>
            <w:vAlign w:val="bottom"/>
            <w:gridSpan w:val="18"/>
          </w:tcPr>
          <w:p>
            <w:pPr>
              <w:spacing w:after="0" w:line="256" w:lineRule="exact"/>
              <w:rPr>
                <w:sz w:val="20"/>
                <w:szCs w:val="20"/>
                <w:color w:val="auto"/>
              </w:rPr>
            </w:pPr>
            <w:r>
              <w:rPr>
                <w:rFonts w:ascii="Arial" w:cs="Arial" w:eastAsia="Arial" w:hAnsi="Arial"/>
                <w:sz w:val="18"/>
                <w:szCs w:val="18"/>
                <w:color w:val="auto"/>
              </w:rPr>
              <w:t>Limited Partner Fund Investment</w:t>
            </w:r>
            <w:r>
              <w:rPr>
                <w:rFonts w:ascii="Arial" w:cs="Arial" w:eastAsia="Arial" w:hAnsi="Arial"/>
                <w:sz w:val="29"/>
                <w:szCs w:val="29"/>
                <w:color w:val="auto"/>
                <w:vertAlign w:val="superscript"/>
              </w:rPr>
              <w:t>(8)</w:t>
            </w:r>
          </w:p>
        </w:tc>
        <w:tc>
          <w:tcPr>
            <w:tcW w:w="2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Venture Investment Fund</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8/27/2021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1,077,371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4,081,077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6"/>
        </w:trPr>
        <w:tc>
          <w:tcPr>
            <w:tcW w:w="32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Varo Money, Inc.**</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Common shares</w:t>
            </w:r>
          </w:p>
        </w:tc>
        <w:tc>
          <w:tcPr>
            <w:tcW w:w="1700" w:type="dxa"/>
            <w:vAlign w:val="bottom"/>
            <w:tcBorders>
              <w:top w:val="single" w:sz="8" w:color="CCEEFF"/>
            </w:tcBorders>
            <w:gridSpan w:val="1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Financial Services</w:t>
            </w:r>
          </w:p>
        </w:tc>
        <w:tc>
          <w:tcPr>
            <w:tcW w:w="1100" w:type="dxa"/>
            <w:vAlign w:val="bottom"/>
            <w:tcBorders>
              <w:top w:val="single" w:sz="8" w:color="CCEEFF"/>
            </w:tcBorders>
            <w:gridSpan w:val="2"/>
          </w:tcPr>
          <w:p>
            <w:pPr>
              <w:jc w:val="center"/>
              <w:ind w:left="130"/>
              <w:spacing w:after="0"/>
              <w:rPr>
                <w:sz w:val="20"/>
                <w:szCs w:val="20"/>
                <w:color w:val="auto"/>
              </w:rPr>
            </w:pPr>
            <w:r>
              <w:rPr>
                <w:rFonts w:ascii="Arial" w:cs="Arial" w:eastAsia="Arial" w:hAnsi="Arial"/>
                <w:sz w:val="18"/>
                <w:szCs w:val="18"/>
                <w:color w:val="auto"/>
                <w:w w:val="89"/>
              </w:rPr>
              <w:t>8/11/2021</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1,079,266</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8"/>
              </w:rPr>
              <w:t>10,005,548</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3,776,219</w:t>
            </w: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32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Aspiration Partners, Inc.</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Marina Del Rey, CA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89"/>
              </w:rPr>
              <w:t>Preferred shares, Series A</w:t>
            </w:r>
          </w:p>
        </w:tc>
        <w:tc>
          <w:tcPr>
            <w:tcW w:w="1280" w:type="dxa"/>
            <w:vAlign w:val="bottom"/>
            <w:tcBorders>
              <w:top w:val="single" w:sz="8" w:color="CCEEFF"/>
            </w:tcBorders>
            <w:gridSpan w:val="9"/>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Financial Services</w:t>
            </w:r>
          </w:p>
        </w:tc>
        <w:tc>
          <w:tcPr>
            <w:tcW w:w="1100" w:type="dxa"/>
            <w:vAlign w:val="bottom"/>
            <w:tcBorders>
              <w:top w:val="single" w:sz="8" w:color="CCEEFF"/>
            </w:tcBorders>
            <w:gridSpan w:val="2"/>
          </w:tcPr>
          <w:p>
            <w:pPr>
              <w:jc w:val="center"/>
              <w:ind w:left="130"/>
              <w:spacing w:after="0"/>
              <w:rPr>
                <w:sz w:val="20"/>
                <w:szCs w:val="20"/>
                <w:color w:val="auto"/>
              </w:rPr>
            </w:pPr>
            <w:r>
              <w:rPr>
                <w:rFonts w:ascii="Arial" w:cs="Arial" w:eastAsia="Arial" w:hAnsi="Arial"/>
                <w:sz w:val="18"/>
                <w:szCs w:val="18"/>
                <w:color w:val="auto"/>
                <w:w w:val="89"/>
              </w:rPr>
              <w:t>8/11/2015</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540,270</w:t>
            </w: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1,001,815</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3,473,594</w:t>
            </w: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6"/>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Preferred shares, Series C-3</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8/12/2019</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281,190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216,239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1,283,005</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3,689,833</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2"/>
        </w:trPr>
        <w:tc>
          <w:tcPr>
            <w:tcW w:w="320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5"/>
              </w:rPr>
              <w:t>Residential Homes for Rent, LLC (d/b/a</w:t>
            </w:r>
          </w:p>
        </w:tc>
        <w:tc>
          <w:tcPr>
            <w:tcW w:w="2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220" w:type="dxa"/>
            <w:vAlign w:val="bottom"/>
            <w:tcBorders>
              <w:top w:val="single" w:sz="8" w:color="auto"/>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5"/>
              </w:rPr>
              <w:t>Second Avenue)</w:t>
            </w:r>
          </w:p>
        </w:tc>
        <w:tc>
          <w:tcPr>
            <w:tcW w:w="1860" w:type="dxa"/>
            <w:vAlign w:val="bottom"/>
            <w:tcBorders>
              <w:top w:val="single" w:sz="8" w:color="auto"/>
              <w:bottom w:val="single" w:sz="8" w:color="CCEEFF"/>
            </w:tcBorders>
            <w:gridSpan w:val="14"/>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200" w:type="dxa"/>
            <w:vAlign w:val="bottom"/>
            <w:gridSpan w:val="18"/>
          </w:tcPr>
          <w:p>
            <w:pPr>
              <w:spacing w:after="0" w:line="296" w:lineRule="exact"/>
              <w:rPr>
                <w:sz w:val="20"/>
                <w:szCs w:val="20"/>
                <w:color w:val="auto"/>
              </w:rPr>
            </w:pPr>
            <w:r>
              <w:rPr>
                <w:rFonts w:ascii="Arial" w:cs="Arial" w:eastAsia="Arial" w:hAnsi="Arial"/>
                <w:sz w:val="18"/>
                <w:szCs w:val="18"/>
                <w:color w:val="auto"/>
              </w:rPr>
              <w:t>Preferred shares, Series A</w:t>
            </w:r>
            <w:r>
              <w:rPr>
                <w:rFonts w:ascii="Arial" w:cs="Arial" w:eastAsia="Arial" w:hAnsi="Arial"/>
                <w:sz w:val="29"/>
                <w:szCs w:val="29"/>
                <w:color w:val="auto"/>
                <w:vertAlign w:val="superscript"/>
              </w:rPr>
              <w:t>(6)</w:t>
            </w:r>
          </w:p>
        </w:tc>
        <w:tc>
          <w:tcPr>
            <w:tcW w:w="2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Real Estate Platform</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12/23/2020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2,870,381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90"/>
        </w:trPr>
        <w:tc>
          <w:tcPr>
            <w:tcW w:w="3200" w:type="dxa"/>
            <w:vAlign w:val="bottom"/>
            <w:gridSpan w:val="18"/>
            <w:shd w:val="clear" w:color="auto" w:fill="CCEEFF"/>
          </w:tcPr>
          <w:p>
            <w:pPr>
              <w:spacing w:after="0" w:line="270" w:lineRule="exact"/>
              <w:rPr>
                <w:sz w:val="20"/>
                <w:szCs w:val="20"/>
                <w:color w:val="auto"/>
              </w:rPr>
            </w:pPr>
            <w:r>
              <w:rPr>
                <w:rFonts w:ascii="Arial" w:cs="Arial" w:eastAsia="Arial" w:hAnsi="Arial"/>
                <w:sz w:val="18"/>
                <w:szCs w:val="18"/>
                <w:color w:val="auto"/>
              </w:rPr>
              <w:t>Term loan 15%, Due 12/23/2023***</w:t>
            </w:r>
            <w:r>
              <w:rPr>
                <w:rFonts w:ascii="Arial" w:cs="Arial" w:eastAsia="Arial" w:hAnsi="Arial"/>
                <w:sz w:val="29"/>
                <w:szCs w:val="29"/>
                <w:color w:val="auto"/>
                <w:vertAlign w:val="superscript"/>
              </w:rPr>
              <w:t>(11)</w:t>
            </w:r>
          </w:p>
        </w:tc>
        <w:tc>
          <w:tcPr>
            <w:tcW w:w="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12/23/2020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2,000,000</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3,370,381</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Whoop, Inc.</w:t>
            </w:r>
          </w:p>
        </w:tc>
        <w:tc>
          <w:tcPr>
            <w:tcW w:w="2240" w:type="dxa"/>
            <w:vAlign w:val="bottom"/>
            <w:tcBorders>
              <w:bottom w:val="single" w:sz="8" w:color="CCEEFF"/>
            </w:tcBorders>
            <w:gridSpan w:val="16"/>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Boston, MA</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18"/>
          </w:tcPr>
          <w:p>
            <w:pPr>
              <w:spacing w:after="0"/>
              <w:rPr>
                <w:sz w:val="20"/>
                <w:szCs w:val="20"/>
                <w:color w:val="auto"/>
              </w:rPr>
            </w:pPr>
            <w:r>
              <w:rPr>
                <w:rFonts w:ascii="Arial" w:cs="Arial" w:eastAsia="Arial" w:hAnsi="Arial"/>
                <w:sz w:val="18"/>
                <w:szCs w:val="18"/>
                <w:color w:val="auto"/>
              </w:rPr>
              <w:t>Preferred shares, Series C</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Fitness Technology</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6/30/2022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13,293,450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10,011,460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3,308,740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32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PayJoy, Inc.</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1"/>
              </w:rPr>
              <w:t>Mobile Access</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8"/>
          </w:tcPr>
          <w:p>
            <w:pPr>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7/23/2021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2,501,570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320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Simple Agreement for Future Equity</w:t>
            </w: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5/25/2023</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501,470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8"/>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3,003,040</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3,000,002</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1.61</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32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Nextdoor Holdings, Inc.**</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20" w:type="dxa"/>
            <w:vAlign w:val="bottom"/>
            <w:tcBorders>
              <w:top w:val="single" w:sz="8" w:color="auto"/>
            </w:tcBorders>
            <w:gridSpan w:val="10"/>
          </w:tcPr>
          <w:p>
            <w:pPr>
              <w:spacing w:after="0" w:line="296" w:lineRule="exact"/>
              <w:rPr>
                <w:sz w:val="20"/>
                <w:szCs w:val="20"/>
                <w:color w:val="auto"/>
              </w:rPr>
            </w:pPr>
            <w:r>
              <w:rPr>
                <w:rFonts w:ascii="Arial" w:cs="Arial" w:eastAsia="Arial" w:hAnsi="Arial"/>
                <w:sz w:val="18"/>
                <w:szCs w:val="18"/>
                <w:color w:val="auto"/>
                <w:w w:val="87"/>
              </w:rPr>
              <w:t>Common shares, Class B</w:t>
            </w:r>
            <w:r>
              <w:rPr>
                <w:rFonts w:ascii="Arial" w:cs="Arial" w:eastAsia="Arial" w:hAnsi="Arial"/>
                <w:sz w:val="29"/>
                <w:szCs w:val="29"/>
                <w:color w:val="auto"/>
                <w:w w:val="87"/>
                <w:vertAlign w:val="superscript"/>
              </w:rPr>
              <w:t>(3)</w:t>
            </w:r>
          </w:p>
        </w:tc>
        <w:tc>
          <w:tcPr>
            <w:tcW w:w="1180" w:type="dxa"/>
            <w:vAlign w:val="bottom"/>
            <w:tcBorders>
              <w:top w:val="single" w:sz="8" w:color="CCEEFF"/>
            </w:tcBorders>
            <w:gridSpan w:val="8"/>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4"/>
              </w:rPr>
              <w:t>Social Networking</w:t>
            </w:r>
          </w:p>
        </w:tc>
        <w:tc>
          <w:tcPr>
            <w:tcW w:w="1100" w:type="dxa"/>
            <w:vAlign w:val="bottom"/>
            <w:tcBorders>
              <w:top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2"/>
              </w:rPr>
              <w:t>9/27/2018</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852,416</w:t>
            </w:r>
          </w:p>
        </w:tc>
        <w:tc>
          <w:tcPr>
            <w:tcW w:w="3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4,678,896</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2,778,876</w:t>
            </w: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5"/>
        </w:trPr>
        <w:tc>
          <w:tcPr>
            <w:tcW w:w="32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NewLake Capital Partners, Inc. (f/k/a</w:t>
            </w: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60" w:type="dxa"/>
            <w:vAlign w:val="bottom"/>
            <w:tcBorders>
              <w:top w:val="single" w:sz="8" w:color="auto"/>
              <w:bottom w:val="single" w:sz="8" w:color="auto"/>
            </w:tcBorders>
            <w:gridSpan w:val="1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GreenAcreage Real Estate Corp.)**</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New Canaan, CT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200" w:type="dxa"/>
            <w:vAlign w:val="bottom"/>
            <w:gridSpan w:val="18"/>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Cannabis REIT</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8/12/2019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2,198,836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1,460,316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19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9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Initial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100" w:type="dxa"/>
            <w:vAlign w:val="bottom"/>
            <w:gridSpan w:val="17"/>
          </w:tcPr>
          <w:p>
            <w:pPr>
              <w:spacing w:after="0"/>
              <w:rPr>
                <w:sz w:val="20"/>
                <w:szCs w:val="20"/>
                <w:color w:val="auto"/>
              </w:rPr>
            </w:pPr>
            <w:r>
              <w:rPr>
                <w:rFonts w:ascii="Arial" w:cs="Arial" w:eastAsia="Arial" w:hAnsi="Arial"/>
                <w:sz w:val="18"/>
                <w:szCs w:val="18"/>
                <w:b w:val="1"/>
                <w:bCs w:val="1"/>
                <w:color w:val="auto"/>
              </w:rPr>
              <w:t>Portfolio Investments*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5"/>
              </w:rPr>
              <w:t>Industry</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0" w:type="dxa"/>
            <w:vAlign w:val="bottom"/>
          </w:tcPr>
          <w:p>
            <w:pPr>
              <w:spacing w:after="0"/>
              <w:rPr>
                <w:sz w:val="1"/>
                <w:szCs w:val="1"/>
                <w:color w:val="auto"/>
              </w:rPr>
            </w:pPr>
          </w:p>
        </w:tc>
      </w:tr>
      <w:tr>
        <w:trPr>
          <w:trHeight w:val="196"/>
        </w:trPr>
        <w:tc>
          <w:tcPr>
            <w:tcW w:w="2360" w:type="dxa"/>
            <w:vAlign w:val="bottom"/>
            <w:tcBorders>
              <w:top w:val="single" w:sz="8" w:color="auto"/>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Aventine Property Group, Inc.</w:t>
            </w:r>
          </w:p>
        </w:tc>
        <w:tc>
          <w:tcPr>
            <w:tcW w:w="740" w:type="dxa"/>
            <w:vAlign w:val="bottom"/>
            <w:tcBorders>
              <w:top w:val="single" w:sz="8" w:color="auto"/>
              <w:bottom w:val="single" w:sz="8" w:color="CCEEFF"/>
            </w:tcBorders>
            <w:gridSpan w:val="7"/>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Chicago, IL</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shares***</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Cannabis REIT</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9/11/2019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312,500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2,580,750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1,363,844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175"/>
        </w:trPr>
        <w:tc>
          <w:tcPr>
            <w:tcW w:w="31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Skillsoft Corp.**</w:t>
            </w: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Nashua, NH</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gridSpan w:val="17"/>
          </w:tcPr>
          <w:p>
            <w:pPr>
              <w:spacing w:after="0" w:line="256"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6/8/2021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981,843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9,818,430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1,217,485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Commercial Streaming Solutions Inc.</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100" w:type="dxa"/>
            <w:vAlign w:val="bottom"/>
            <w:gridSpan w:val="17"/>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(d/b/a BettorView)</w:t>
            </w:r>
            <w:r>
              <w:rPr>
                <w:rFonts w:ascii="Arial" w:cs="Arial" w:eastAsia="Arial" w:hAnsi="Arial"/>
                <w:sz w:val="28"/>
                <w:szCs w:val="28"/>
                <w:b w:val="1"/>
                <w:bCs w:val="1"/>
                <w:color w:val="auto"/>
                <w:vertAlign w:val="superscript"/>
              </w:rPr>
              <w:t>(7)</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Las Vegas, NV</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4"/>
              </w:rPr>
              <w:t>Interactive Media &amp;</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Simple Agreement for Future Equity</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1,004,240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175"/>
        </w:trPr>
        <w:tc>
          <w:tcPr>
            <w:tcW w:w="2480" w:type="dxa"/>
            <w:vAlign w:val="bottom"/>
            <w:tcBorders>
              <w:bottom w:val="single" w:sz="8" w:color="auto"/>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Xgroup Holdings Limited (d/b/a</w:t>
            </w:r>
          </w:p>
        </w:tc>
        <w:tc>
          <w:tcPr>
            <w:tcW w:w="620" w:type="dxa"/>
            <w:vAlign w:val="bottom"/>
            <w:tcBorders>
              <w:bottom w:val="single" w:sz="8" w:color="CCEEFF"/>
            </w:tcBorders>
            <w:gridSpan w:val="6"/>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960" w:type="dxa"/>
            <w:vAlign w:val="bottom"/>
            <w:tcBorders>
              <w:bottom w:val="single" w:sz="8" w:color="auto"/>
            </w:tcBorders>
            <w:gridSpan w:val="3"/>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Xpoint)**</w:t>
            </w:r>
            <w:r>
              <w:rPr>
                <w:rFonts w:ascii="Arial" w:cs="Arial" w:eastAsia="Arial" w:hAnsi="Arial"/>
                <w:sz w:val="27"/>
                <w:szCs w:val="27"/>
                <w:b w:val="1"/>
                <w:bCs w:val="1"/>
                <w:color w:val="auto"/>
                <w:vertAlign w:val="superscript"/>
              </w:rPr>
              <w:t>(7)</w:t>
            </w:r>
          </w:p>
        </w:tc>
        <w:tc>
          <w:tcPr>
            <w:tcW w:w="2140" w:type="dxa"/>
            <w:vAlign w:val="bottom"/>
            <w:tcBorders>
              <w:bottom w:val="single" w:sz="8" w:color="CCEEFF"/>
            </w:tcBorders>
            <w:gridSpan w:val="14"/>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Dubai, UAE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w w:val="98"/>
              </w:rPr>
              <w:t>Convertible Note 6%, Due 8/17/2023***</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Geolocation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8/17/2022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1,000,000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1,010,091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auto"/>
            </w:tcBorders>
            <w:gridSpan w:val="13"/>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Rebric, Inc. (d/b/a Compliable)</w:t>
            </w:r>
            <w:r>
              <w:rPr>
                <w:rFonts w:ascii="Arial" w:cs="Arial" w:eastAsia="Arial" w:hAnsi="Arial"/>
                <w:sz w:val="26"/>
                <w:szCs w:val="26"/>
                <w:b w:val="1"/>
                <w:bCs w:val="1"/>
                <w:color w:val="auto"/>
                <w:vertAlign w:val="superscript"/>
              </w:rPr>
              <w:t>(7)</w:t>
            </w:r>
          </w:p>
        </w:tc>
        <w:tc>
          <w:tcPr>
            <w:tcW w:w="520" w:type="dxa"/>
            <w:vAlign w:val="bottom"/>
            <w:tcBorders>
              <w:bottom w:val="single" w:sz="8" w:color="CCEEFF"/>
            </w:tcBorders>
            <w:gridSpan w:val="4"/>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Denver, CO</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Seed-4</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Gaming Licensing</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10/12/2021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2,477,585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1,003,227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822,937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YouBet Technology, Inc. (d/b/a</w:t>
            </w:r>
          </w:p>
        </w:tc>
        <w:tc>
          <w:tcPr>
            <w:tcW w:w="740" w:type="dxa"/>
            <w:vAlign w:val="bottom"/>
            <w:tcBorders>
              <w:bottom w:val="single" w:sz="8" w:color="CCEEFF"/>
            </w:tcBorders>
            <w:gridSpan w:val="7"/>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4"/>
            <w:shd w:val="clear" w:color="auto" w:fill="CCEEFF"/>
          </w:tcPr>
          <w:p>
            <w:pPr>
              <w:spacing w:after="0" w:line="236" w:lineRule="exact"/>
              <w:rPr>
                <w:sz w:val="20"/>
                <w:szCs w:val="20"/>
                <w:color w:val="auto"/>
              </w:rPr>
            </w:pPr>
            <w:r>
              <w:rPr>
                <w:rFonts w:ascii="Arial" w:cs="Arial" w:eastAsia="Arial" w:hAnsi="Arial"/>
                <w:sz w:val="17"/>
                <w:szCs w:val="17"/>
                <w:b w:val="1"/>
                <w:bCs w:val="1"/>
                <w:color w:val="auto"/>
                <w:w w:val="93"/>
              </w:rPr>
              <w:t>FanPower)</w:t>
            </w:r>
            <w:r>
              <w:rPr>
                <w:rFonts w:ascii="Arial" w:cs="Arial" w:eastAsia="Arial" w:hAnsi="Arial"/>
                <w:sz w:val="27"/>
                <w:szCs w:val="27"/>
                <w:b w:val="1"/>
                <w:bCs w:val="1"/>
                <w:color w:val="auto"/>
                <w:w w:val="93"/>
                <w:vertAlign w:val="superscript"/>
              </w:rPr>
              <w:t>(7)</w:t>
            </w:r>
          </w:p>
        </w:tc>
        <w:tc>
          <w:tcPr>
            <w:tcW w:w="2060" w:type="dxa"/>
            <w:vAlign w:val="bottom"/>
            <w:tcBorders>
              <w:bottom w:val="single" w:sz="8" w:color="CCEEFF"/>
            </w:tcBorders>
            <w:gridSpan w:val="13"/>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Seed-2</w:t>
            </w:r>
          </w:p>
        </w:tc>
        <w:tc>
          <w:tcPr>
            <w:tcW w:w="21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Digital Media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8/26/2021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578,029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752,943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749,998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75"/>
        </w:trPr>
        <w:tc>
          <w:tcPr>
            <w:tcW w:w="31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Trax Ltd.**</w:t>
            </w: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Singapore, Singapore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Retail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6/9/2021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55,591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2,781,148</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Preferred shares, Investec Series</w:t>
            </w:r>
          </w:p>
        </w:tc>
        <w:tc>
          <w:tcPr>
            <w:tcW w:w="2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6/9/2021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144,409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7,224,600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686,528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10,005,748</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686,528</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tcBorders>
            <w:gridSpan w:val="8"/>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EDGE Markets, Inc.</w:t>
            </w:r>
            <w:r>
              <w:rPr>
                <w:rFonts w:ascii="Arial" w:cs="Arial" w:eastAsia="Arial" w:hAnsi="Arial"/>
                <w:sz w:val="25"/>
                <w:szCs w:val="25"/>
                <w:b w:val="1"/>
                <w:bCs w:val="1"/>
                <w:color w:val="auto"/>
                <w:vertAlign w:val="superscript"/>
              </w:rPr>
              <w:t>(7)</w:t>
            </w:r>
          </w:p>
        </w:tc>
        <w:tc>
          <w:tcPr>
            <w:tcW w:w="1320" w:type="dxa"/>
            <w:vAlign w:val="bottom"/>
            <w:tcBorders>
              <w:bottom w:val="single" w:sz="8" w:color="CCEEFF"/>
            </w:tcBorders>
            <w:gridSpan w:val="9"/>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San Diego, CA</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Gaming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5/18/2022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456,704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501,330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7"/>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Churchill Sponsor VII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292,100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205,820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205,820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49"/>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94,180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AltC Sponsor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7/21/2021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239,300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250,855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6"/>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Churchill Sponsor VI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195,000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134,297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134,297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0"/>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65,703</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5"/>
        </w:trPr>
        <w:tc>
          <w:tcPr>
            <w:tcW w:w="31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Kinetiq Holdings, LLC</w:t>
            </w: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Philadelphia, PA</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00" w:type="dxa"/>
            <w:vAlign w:val="bottom"/>
            <w:gridSpan w:val="17"/>
          </w:tcPr>
          <w:p>
            <w:pPr>
              <w:spacing w:after="0" w:line="198" w:lineRule="exact"/>
              <w:rPr>
                <w:sz w:val="20"/>
                <w:szCs w:val="20"/>
                <w:color w:val="auto"/>
              </w:rPr>
            </w:pPr>
            <w:r>
              <w:rPr>
                <w:rFonts w:ascii="Arial" w:cs="Arial" w:eastAsia="Arial" w:hAnsi="Arial"/>
                <w:sz w:val="18"/>
                <w:szCs w:val="18"/>
                <w:color w:val="auto"/>
              </w:rPr>
              <w:t>Common shares, Class A</w:t>
            </w:r>
          </w:p>
        </w:tc>
        <w:tc>
          <w:tcPr>
            <w:tcW w:w="200" w:type="dxa"/>
            <w:vAlign w:val="bottom"/>
          </w:tcPr>
          <w:p>
            <w:pPr>
              <w:spacing w:after="0"/>
              <w:rPr>
                <w:sz w:val="17"/>
                <w:szCs w:val="17"/>
                <w:color w:val="auto"/>
              </w:rPr>
            </w:pPr>
          </w:p>
        </w:tc>
        <w:tc>
          <w:tcPr>
            <w:tcW w:w="1900" w:type="dxa"/>
            <w:vAlign w:val="bottom"/>
          </w:tcPr>
          <w:p>
            <w:pPr>
              <w:jc w:val="center"/>
              <w:spacing w:after="0" w:line="198" w:lineRule="exact"/>
              <w:rPr>
                <w:sz w:val="20"/>
                <w:szCs w:val="20"/>
                <w:color w:val="auto"/>
              </w:rPr>
            </w:pPr>
            <w:r>
              <w:rPr>
                <w:rFonts w:ascii="Arial" w:cs="Arial" w:eastAsia="Arial" w:hAnsi="Arial"/>
                <w:sz w:val="18"/>
                <w:szCs w:val="18"/>
                <w:color w:val="auto"/>
                <w:w w:val="92"/>
              </w:rPr>
              <w:t>Social Data Platform</w:t>
            </w:r>
          </w:p>
        </w:tc>
        <w:tc>
          <w:tcPr>
            <w:tcW w:w="1080" w:type="dxa"/>
            <w:vAlign w:val="bottom"/>
            <w:gridSpan w:val="2"/>
          </w:tcPr>
          <w:p>
            <w:pPr>
              <w:jc w:val="center"/>
              <w:ind w:left="110"/>
              <w:spacing w:after="0" w:line="198" w:lineRule="exact"/>
              <w:rPr>
                <w:sz w:val="20"/>
                <w:szCs w:val="20"/>
                <w:color w:val="auto"/>
              </w:rPr>
            </w:pPr>
            <w:r>
              <w:rPr>
                <w:rFonts w:ascii="Arial" w:cs="Arial" w:eastAsia="Arial" w:hAnsi="Arial"/>
                <w:sz w:val="18"/>
                <w:szCs w:val="18"/>
                <w:color w:val="auto"/>
                <w:w w:val="89"/>
              </w:rPr>
              <w:t>3/30/2012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line="198" w:lineRule="exact"/>
              <w:rPr>
                <w:sz w:val="20"/>
                <w:szCs w:val="20"/>
                <w:color w:val="auto"/>
              </w:rPr>
            </w:pPr>
            <w:r>
              <w:rPr>
                <w:rFonts w:ascii="Arial" w:cs="Arial" w:eastAsia="Arial" w:hAnsi="Arial"/>
                <w:sz w:val="18"/>
                <w:szCs w:val="18"/>
                <w:color w:val="auto"/>
              </w:rPr>
              <w:t>112,374</w:t>
            </w:r>
          </w:p>
        </w:tc>
        <w:tc>
          <w:tcPr>
            <w:tcW w:w="1320" w:type="dxa"/>
            <w:vAlign w:val="bottom"/>
            <w:gridSpan w:val="2"/>
          </w:tcPr>
          <w:p>
            <w:pPr>
              <w:jc w:val="right"/>
              <w:ind w:right="300"/>
              <w:spacing w:after="0" w:line="198"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line="198" w:lineRule="exact"/>
              <w:rPr>
                <w:sz w:val="20"/>
                <w:szCs w:val="20"/>
                <w:color w:val="auto"/>
              </w:rPr>
            </w:pPr>
            <w:r>
              <w:rPr>
                <w:rFonts w:ascii="Arial" w:cs="Arial" w:eastAsia="Arial" w:hAnsi="Arial"/>
                <w:sz w:val="18"/>
                <w:szCs w:val="18"/>
                <w:color w:val="auto"/>
              </w:rPr>
              <w:t>53,001</w:t>
            </w: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4"/>
        </w:trPr>
        <w:tc>
          <w:tcPr>
            <w:tcW w:w="3100" w:type="dxa"/>
            <w:vAlign w:val="bottom"/>
            <w:gridSpan w:val="17"/>
          </w:tcPr>
          <w:p>
            <w:pPr>
              <w:spacing w:after="0" w:line="194" w:lineRule="exact"/>
              <w:rPr>
                <w:sz w:val="20"/>
                <w:szCs w:val="20"/>
                <w:color w:val="auto"/>
              </w:rPr>
            </w:pPr>
            <w:r>
              <w:rPr>
                <w:rFonts w:ascii="Arial" w:cs="Arial" w:eastAsia="Arial" w:hAnsi="Arial"/>
                <w:sz w:val="18"/>
                <w:szCs w:val="18"/>
                <w:b w:val="1"/>
                <w:bCs w:val="1"/>
                <w:color w:val="auto"/>
              </w:rPr>
              <w:t>Neutron Holdings, Inc. (d/b/a/ Lime)</w:t>
            </w:r>
          </w:p>
        </w:tc>
        <w:tc>
          <w:tcPr>
            <w:tcW w:w="20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Arial" w:cs="Arial" w:eastAsia="Arial" w:hAnsi="Arial"/>
                <w:sz w:val="18"/>
                <w:szCs w:val="18"/>
                <w:color w:val="auto"/>
                <w:w w:val="90"/>
              </w:rPr>
              <w:t>San Francisco, CA</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Junior Preferred shares, Series 1-D</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Micromobility</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1/25/2019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41,237,113</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10,007,322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00" w:type="dxa"/>
            <w:vAlign w:val="bottom"/>
            <w:gridSpan w:val="17"/>
          </w:tcPr>
          <w:p>
            <w:pPr>
              <w:spacing w:after="0" w:line="200" w:lineRule="exact"/>
              <w:rPr>
                <w:sz w:val="20"/>
                <w:szCs w:val="20"/>
                <w:color w:val="auto"/>
              </w:rPr>
            </w:pPr>
            <w:r>
              <w:rPr>
                <w:rFonts w:ascii="Arial" w:cs="Arial" w:eastAsia="Arial" w:hAnsi="Arial"/>
                <w:sz w:val="18"/>
                <w:szCs w:val="18"/>
                <w:color w:val="auto"/>
                <w:w w:val="91"/>
              </w:rPr>
              <w:t>Junior Preferred Convertible Note 4% Due</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920" w:type="dxa"/>
            <w:vAlign w:val="bottom"/>
            <w:gridSpan w:val="2"/>
          </w:tcPr>
          <w:p>
            <w:pPr>
              <w:spacing w:after="0" w:line="299" w:lineRule="exact"/>
              <w:rPr>
                <w:sz w:val="20"/>
                <w:szCs w:val="20"/>
                <w:color w:val="auto"/>
              </w:rPr>
            </w:pPr>
            <w:r>
              <w:rPr>
                <w:rFonts w:ascii="Arial" w:cs="Arial" w:eastAsia="Arial" w:hAnsi="Arial"/>
                <w:sz w:val="18"/>
                <w:szCs w:val="18"/>
                <w:color w:val="auto"/>
                <w:w w:val="86"/>
              </w:rPr>
              <w:t>5/11/2027</w:t>
            </w:r>
            <w:r>
              <w:rPr>
                <w:rFonts w:ascii="Arial" w:cs="Arial" w:eastAsia="Arial" w:hAnsi="Arial"/>
                <w:sz w:val="29"/>
                <w:szCs w:val="29"/>
                <w:color w:val="auto"/>
                <w:w w:val="86"/>
                <w:vertAlign w:val="superscript"/>
              </w:rPr>
              <w:t>(4)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5/11/2020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506,339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506,339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w w:val="99"/>
              </w:rPr>
              <w:t>Common Warrants, Strike Price $0.01,</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Expiration Date 5/11/2027</w:t>
            </w:r>
          </w:p>
        </w:tc>
        <w:tc>
          <w:tcPr>
            <w:tcW w:w="2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5/11/2020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2,032,967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10,513,661</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31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Fullbridge, Inc.</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Cambridge, MA</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89"/>
              </w:rPr>
              <w:t>Common shares</w:t>
            </w:r>
          </w:p>
        </w:tc>
        <w:tc>
          <w:tcPr>
            <w:tcW w:w="1900" w:type="dxa"/>
            <w:vAlign w:val="bottom"/>
            <w:tcBorders>
              <w:top w:val="single" w:sz="8" w:color="CCEEFF"/>
            </w:tcBorders>
            <w:gridSpan w:val="1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Business Education</w:t>
            </w:r>
          </w:p>
        </w:tc>
        <w:tc>
          <w:tcPr>
            <w:tcW w:w="1080" w:type="dxa"/>
            <w:vAlign w:val="bottom"/>
            <w:tcBorders>
              <w:top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89"/>
              </w:rPr>
              <w:t>5/13/2012</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517,917</w:t>
            </w:r>
          </w:p>
        </w:tc>
        <w:tc>
          <w:tcPr>
            <w:tcW w:w="13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6,150,506</w:t>
            </w:r>
          </w:p>
        </w:tc>
        <w:tc>
          <w:tcPr>
            <w:tcW w:w="13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3100" w:type="dxa"/>
            <w:vAlign w:val="bottom"/>
            <w:gridSpan w:val="17"/>
            <w:shd w:val="clear" w:color="auto" w:fill="CCEEFF"/>
          </w:tcPr>
          <w:p>
            <w:pPr>
              <w:spacing w:after="0" w:line="253" w:lineRule="exact"/>
              <w:rPr>
                <w:sz w:val="20"/>
                <w:szCs w:val="20"/>
                <w:color w:val="auto"/>
              </w:rPr>
            </w:pPr>
            <w:r>
              <w:rPr>
                <w:rFonts w:ascii="Arial" w:cs="Arial" w:eastAsia="Arial" w:hAnsi="Arial"/>
                <w:sz w:val="18"/>
                <w:szCs w:val="18"/>
                <w:color w:val="auto"/>
                <w:w w:val="90"/>
              </w:rPr>
              <w:t>Promissory Note 1.47%, Due 11/9/2021</w:t>
            </w:r>
            <w:r>
              <w:rPr>
                <w:rFonts w:ascii="Arial" w:cs="Arial" w:eastAsia="Arial" w:hAnsi="Arial"/>
                <w:sz w:val="29"/>
                <w:szCs w:val="29"/>
                <w:color w:val="auto"/>
                <w:w w:val="90"/>
                <w:vertAlign w:val="superscript"/>
              </w:rPr>
              <w:t>(4)</w:t>
            </w:r>
          </w:p>
        </w:tc>
        <w:tc>
          <w:tcPr>
            <w:tcW w:w="2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080" w:type="dxa"/>
            <w:vAlign w:val="bottom"/>
            <w:gridSpan w:val="2"/>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1"/>
              </w:rPr>
              <w:t>3/3/2016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w w:val="99"/>
              </w:rPr>
              <w:t>2,270,458</w:t>
            </w:r>
          </w:p>
        </w:tc>
        <w:tc>
          <w:tcPr>
            <w:tcW w:w="13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2,270,858</w:t>
            </w:r>
          </w:p>
        </w:tc>
        <w:tc>
          <w:tcPr>
            <w:tcW w:w="13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00" w:type="dxa"/>
            <w:vAlign w:val="bottom"/>
            <w:shd w:val="clear" w:color="auto" w:fill="CCEEFF"/>
          </w:tcPr>
          <w:p>
            <w:pPr>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8,421,364</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2"/>
        </w:trPr>
        <w:tc>
          <w:tcPr>
            <w:tcW w:w="2620" w:type="dxa"/>
            <w:vAlign w:val="bottom"/>
            <w:tcBorders>
              <w:bottom w:val="single" w:sz="8" w:color="auto"/>
            </w:tcBorders>
            <w:gridSpan w:val="14"/>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88"/>
              </w:rPr>
              <w:t>Treehouse Real Estate Investment</w:t>
            </w:r>
          </w:p>
        </w:tc>
        <w:tc>
          <w:tcPr>
            <w:tcW w:w="480" w:type="dxa"/>
            <w:vAlign w:val="bottom"/>
            <w:tcBorders>
              <w:bottom w:val="single" w:sz="8" w:color="CCEEFF"/>
            </w:tcBorders>
            <w:gridSpan w:val="3"/>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gridSpan w:val="17"/>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Trust, Inc.</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shares</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Cannabis REIT</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9/11/2019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312,500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4,919,250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gridSpan w:val="17"/>
          </w:tcPr>
          <w:p>
            <w:pPr>
              <w:ind w:left="180"/>
              <w:spacing w:after="0"/>
              <w:rPr>
                <w:sz w:val="20"/>
                <w:szCs w:val="20"/>
                <w:color w:val="auto"/>
              </w:rPr>
            </w:pPr>
            <w:r>
              <w:rPr>
                <w:rFonts w:ascii="Arial" w:cs="Arial" w:eastAsia="Arial" w:hAnsi="Arial"/>
                <w:sz w:val="18"/>
                <w:szCs w:val="18"/>
                <w:b w:val="1"/>
                <w:bCs w:val="1"/>
                <w:color w:val="auto"/>
              </w:rPr>
              <w:t>Total Non-controlled/Non-affiliate</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$159,012,912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$120,620,316</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64.61%</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77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771"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Portfolio Investments</w:t>
            </w:r>
            <w:r>
              <w:rPr>
                <w:rFonts w:ascii="Arial" w:cs="Arial" w:eastAsia="Arial" w:hAnsi="Arial"/>
                <w:sz w:val="29"/>
                <w:szCs w:val="29"/>
                <w:b w:val="1"/>
                <w:bCs w:val="1"/>
                <w:color w:val="auto"/>
                <w:vertAlign w:val="superscript"/>
              </w:rPr>
              <w:t>*</w:t>
            </w:r>
          </w:p>
        </w:tc>
        <w:tc>
          <w:tcPr>
            <w:tcW w:w="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1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200" w:type="dxa"/>
            <w:vAlign w:val="bottom"/>
            <w:gridSpan w:val="5"/>
            <w:vMerge w:val="continue"/>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Industry</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Principal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9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57"/>
        </w:trPr>
        <w:tc>
          <w:tcPr>
            <w:tcW w:w="3200" w:type="dxa"/>
            <w:vAlign w:val="bottom"/>
            <w:tcBorders>
              <w:top w:val="single" w:sz="8" w:color="auto"/>
            </w:tcBorders>
            <w:gridSpan w:val="5"/>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NON-CONTROLLED/AFFILIATE</w:t>
            </w:r>
            <w:r>
              <w:rPr>
                <w:rFonts w:ascii="Arial" w:cs="Arial" w:eastAsia="Arial" w:hAnsi="Arial"/>
                <w:sz w:val="29"/>
                <w:szCs w:val="29"/>
                <w:b w:val="1"/>
                <w:bCs w:val="1"/>
                <w:color w:val="auto"/>
                <w:vertAlign w:val="superscript"/>
              </w:rPr>
              <w:t>(1)</w:t>
            </w:r>
          </w:p>
        </w:tc>
        <w:tc>
          <w:tcPr>
            <w:tcW w:w="50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00" w:type="dxa"/>
            <w:vAlign w:val="bottom"/>
            <w:gridSpan w:val="5"/>
          </w:tcPr>
          <w:p>
            <w:pPr>
              <w:spacing w:after="0" w:line="230" w:lineRule="exact"/>
              <w:rPr>
                <w:sz w:val="20"/>
                <w:szCs w:val="20"/>
                <w:color w:val="auto"/>
              </w:rPr>
            </w:pPr>
            <w:r>
              <w:rPr>
                <w:rFonts w:ascii="Arial" w:cs="Arial" w:eastAsia="Arial" w:hAnsi="Arial"/>
                <w:sz w:val="16"/>
                <w:szCs w:val="16"/>
                <w:b w:val="1"/>
                <w:bCs w:val="1"/>
                <w:color w:val="auto"/>
              </w:rPr>
              <w:t>StormWind, LLC</w:t>
            </w:r>
            <w:r>
              <w:rPr>
                <w:rFonts w:ascii="Arial" w:cs="Arial" w:eastAsia="Arial" w:hAnsi="Arial"/>
                <w:sz w:val="26"/>
                <w:szCs w:val="26"/>
                <w:b w:val="1"/>
                <w:bCs w:val="1"/>
                <w:color w:val="auto"/>
                <w:vertAlign w:val="superscript"/>
              </w:rPr>
              <w:t>(5)</w:t>
            </w:r>
          </w:p>
        </w:tc>
        <w:tc>
          <w:tcPr>
            <w:tcW w:w="5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Scottsdale, AZ</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shares, Series D 8%</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Interactive Learning</w:t>
            </w: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11/26/2019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329,337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563,039</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3200" w:type="dxa"/>
            <w:vAlign w:val="bottom"/>
            <w:gridSpan w:val="5"/>
          </w:tcPr>
          <w:p>
            <w:pPr>
              <w:spacing w:after="0"/>
              <w:rPr>
                <w:sz w:val="20"/>
                <w:szCs w:val="20"/>
                <w:color w:val="auto"/>
              </w:rPr>
            </w:pPr>
            <w:r>
              <w:rPr>
                <w:rFonts w:ascii="Arial" w:cs="Arial" w:eastAsia="Arial" w:hAnsi="Arial"/>
                <w:sz w:val="18"/>
                <w:szCs w:val="18"/>
                <w:color w:val="auto"/>
              </w:rPr>
              <w:t>Preferred shares, Series C 8%</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1/7/2014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2,779,134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4,000,787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5,952,610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shares, Series B 8%</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12/16/2011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3,279,629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2,019,687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3,845,497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6"/>
        </w:trPr>
        <w:tc>
          <w:tcPr>
            <w:tcW w:w="3200" w:type="dxa"/>
            <w:vAlign w:val="bottom"/>
            <w:gridSpan w:val="5"/>
          </w:tcPr>
          <w:p>
            <w:pPr>
              <w:spacing w:after="0"/>
              <w:rPr>
                <w:sz w:val="20"/>
                <w:szCs w:val="20"/>
                <w:color w:val="auto"/>
              </w:rPr>
            </w:pPr>
            <w:r>
              <w:rPr>
                <w:rFonts w:ascii="Arial" w:cs="Arial" w:eastAsia="Arial" w:hAnsi="Arial"/>
                <w:sz w:val="18"/>
                <w:szCs w:val="18"/>
                <w:color w:val="auto"/>
              </w:rPr>
              <w:t>Preferred shares, Series A 8%</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2/25/2014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366,666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224,660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6,387,741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10,585,806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5"/>
          </w:tcPr>
          <w:p>
            <w:pPr>
              <w:spacing w:after="0" w:line="163" w:lineRule="exact"/>
              <w:rPr>
                <w:sz w:val="20"/>
                <w:szCs w:val="20"/>
                <w:color w:val="auto"/>
              </w:rPr>
            </w:pPr>
            <w:r>
              <w:rPr>
                <w:rFonts w:ascii="Arial" w:cs="Arial" w:eastAsia="Arial" w:hAnsi="Arial"/>
                <w:sz w:val="18"/>
                <w:szCs w:val="18"/>
                <w:b w:val="1"/>
                <w:bCs w:val="1"/>
                <w:color w:val="auto"/>
              </w:rPr>
              <w:t>OneValley, Inc. (f/k/a NestGSV, Inc.)</w:t>
            </w:r>
          </w:p>
        </w:tc>
        <w:tc>
          <w:tcPr>
            <w:tcW w:w="500" w:type="dxa"/>
            <w:vAlign w:val="bottom"/>
          </w:tcPr>
          <w:p>
            <w:pPr>
              <w:spacing w:after="0"/>
              <w:rPr>
                <w:sz w:val="14"/>
                <w:szCs w:val="14"/>
                <w:color w:val="auto"/>
              </w:rPr>
            </w:pPr>
          </w:p>
        </w:tc>
        <w:tc>
          <w:tcPr>
            <w:tcW w:w="1560" w:type="dxa"/>
            <w:vAlign w:val="bottom"/>
          </w:tcPr>
          <w:p>
            <w:pPr>
              <w:jc w:val="center"/>
              <w:spacing w:after="0" w:line="163" w:lineRule="exact"/>
              <w:rPr>
                <w:sz w:val="20"/>
                <w:szCs w:val="20"/>
                <w:color w:val="auto"/>
              </w:rPr>
            </w:pPr>
            <w:r>
              <w:rPr>
                <w:rFonts w:ascii="Arial" w:cs="Arial" w:eastAsia="Arial" w:hAnsi="Arial"/>
                <w:sz w:val="18"/>
                <w:szCs w:val="18"/>
                <w:color w:val="auto"/>
                <w:w w:val="91"/>
              </w:rPr>
              <w:t>San Mateo, CA</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Derivative Security, Expiration Date</w:t>
            </w: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Global Innovation</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8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8/23/2024</w:t>
            </w:r>
            <w:r>
              <w:rPr>
                <w:rFonts w:ascii="Arial" w:cs="Arial" w:eastAsia="Arial" w:hAnsi="Arial"/>
                <w:sz w:val="29"/>
                <w:szCs w:val="29"/>
                <w:color w:val="auto"/>
                <w:vertAlign w:val="superscript"/>
              </w:rPr>
              <w:t>(10)</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Platform</w:t>
            </w: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8/23/2019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8,555,124</w:t>
            </w: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200" w:type="dxa"/>
            <w:vAlign w:val="bottom"/>
            <w:gridSpan w:val="5"/>
          </w:tcPr>
          <w:p>
            <w:pPr>
              <w:spacing w:after="0"/>
              <w:rPr>
                <w:sz w:val="20"/>
                <w:szCs w:val="20"/>
                <w:color w:val="auto"/>
              </w:rPr>
            </w:pPr>
            <w:r>
              <w:rPr>
                <w:rFonts w:ascii="Arial" w:cs="Arial" w:eastAsia="Arial" w:hAnsi="Arial"/>
                <w:sz w:val="18"/>
                <w:szCs w:val="18"/>
                <w:color w:val="auto"/>
              </w:rPr>
              <w:t>Convertible Promissory Note 8% Due</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380" w:type="dxa"/>
            <w:vAlign w:val="bottom"/>
          </w:tcPr>
          <w:p>
            <w:pPr>
              <w:spacing w:after="0" w:line="273" w:lineRule="exact"/>
              <w:rPr>
                <w:sz w:val="20"/>
                <w:szCs w:val="20"/>
                <w:color w:val="auto"/>
              </w:rPr>
            </w:pPr>
            <w:r>
              <w:rPr>
                <w:rFonts w:ascii="Arial" w:cs="Arial" w:eastAsia="Arial" w:hAnsi="Arial"/>
                <w:sz w:val="18"/>
                <w:szCs w:val="18"/>
                <w:color w:val="auto"/>
              </w:rPr>
              <w:t>8/23/2024</w:t>
            </w:r>
            <w:r>
              <w:rPr>
                <w:rFonts w:ascii="Arial" w:cs="Arial" w:eastAsia="Arial" w:hAnsi="Arial"/>
                <w:sz w:val="29"/>
                <w:szCs w:val="29"/>
                <w:color w:val="auto"/>
                <w:vertAlign w:val="superscript"/>
              </w:rPr>
              <w:t>(4)</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2/17/2016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$ 1,010,198</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1,030,176</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960,391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2"/>
        </w:trPr>
        <w:tc>
          <w:tcPr>
            <w:tcW w:w="32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Warrant Series B, Strike Price</w:t>
            </w: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$2.31, Expiration Date 12/31/2023</w:t>
            </w: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12/31/2018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5"/>
          </w:tcPr>
          <w:p>
            <w:pPr>
              <w:ind w:left="180"/>
              <w:spacing w:after="0" w:line="203" w:lineRule="exact"/>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9,590,380</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960,391</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32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Maven Research, Inc.</w:t>
            </w:r>
          </w:p>
        </w:tc>
        <w:tc>
          <w:tcPr>
            <w:tcW w:w="5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2"/>
              </w:rPr>
              <w:t>Knowledge</w:t>
            </w: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5"/>
          </w:tcPr>
          <w:p>
            <w:pPr>
              <w:spacing w:after="0"/>
              <w:rPr>
                <w:sz w:val="20"/>
                <w:szCs w:val="20"/>
                <w:color w:val="auto"/>
              </w:rPr>
            </w:pPr>
            <w:r>
              <w:rPr>
                <w:rFonts w:ascii="Arial" w:cs="Arial" w:eastAsia="Arial" w:hAnsi="Arial"/>
                <w:sz w:val="18"/>
                <w:szCs w:val="18"/>
                <w:color w:val="auto"/>
              </w:rPr>
              <w:t>Preferred shares, Series C</w:t>
            </w:r>
          </w:p>
        </w:tc>
        <w:tc>
          <w:tcPr>
            <w:tcW w:w="5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Networks</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7/2/2012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318,979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2,000,447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Preferred shares, Series B</w:t>
            </w:r>
          </w:p>
        </w:tc>
        <w:tc>
          <w:tcPr>
            <w:tcW w:w="5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2/28/2012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49,505</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217,206</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5"/>
          </w:tcPr>
          <w:p>
            <w:pPr>
              <w:spacing w:after="0" w:line="203" w:lineRule="exact"/>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bottom w:val="single" w:sz="8" w:color="CCEEFF"/>
            </w:tcBorders>
          </w:tcPr>
          <w:p>
            <w:pPr>
              <w:spacing w:after="0"/>
              <w:rPr>
                <w:sz w:val="18"/>
                <w:szCs w:val="18"/>
                <w:color w:val="auto"/>
              </w:rPr>
            </w:pPr>
          </w:p>
        </w:tc>
        <w:tc>
          <w:tcPr>
            <w:tcW w:w="1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2,217,653</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Curious.com, Inc.</w:t>
            </w:r>
          </w:p>
        </w:tc>
        <w:tc>
          <w:tcPr>
            <w:tcW w:w="1820" w:type="dxa"/>
            <w:vAlign w:val="bottom"/>
            <w:tcBorders>
              <w:bottom w:val="single" w:sz="8" w:color="CCEEFF"/>
            </w:tcBorders>
            <w:gridSpan w:val="4"/>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Menlo Park, CA</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5"/>
          </w:tcPr>
          <w:p>
            <w:pPr>
              <w:spacing w:after="0"/>
              <w:rPr>
                <w:sz w:val="20"/>
                <w:szCs w:val="20"/>
                <w:color w:val="auto"/>
              </w:rPr>
            </w:pPr>
            <w:r>
              <w:rPr>
                <w:rFonts w:ascii="Arial" w:cs="Arial" w:eastAsia="Arial" w:hAnsi="Arial"/>
                <w:sz w:val="18"/>
                <w:szCs w:val="18"/>
                <w:color w:val="auto"/>
              </w:rPr>
              <w:t>Common shares</w:t>
            </w:r>
          </w:p>
        </w:tc>
        <w:tc>
          <w:tcPr>
            <w:tcW w:w="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11/22/2013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1,135,944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12,000,006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gridSpan w:val="6"/>
          </w:tcPr>
          <w:p>
            <w:pPr>
              <w:ind w:left="180"/>
              <w:spacing w:after="0"/>
              <w:rPr>
                <w:sz w:val="20"/>
                <w:szCs w:val="20"/>
                <w:color w:val="auto"/>
              </w:rPr>
            </w:pPr>
            <w:r>
              <w:rPr>
                <w:rFonts w:ascii="Arial" w:cs="Arial" w:eastAsia="Arial" w:hAnsi="Arial"/>
                <w:sz w:val="18"/>
                <w:szCs w:val="18"/>
                <w:b w:val="1"/>
                <w:bCs w:val="1"/>
                <w:color w:val="auto"/>
              </w:rPr>
              <w:t>Total Non-controlled/Affiliate</w:t>
            </w:r>
          </w:p>
        </w:tc>
        <w:tc>
          <w:tcPr>
            <w:tcW w:w="2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30,195,780</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11,546,197</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6.18%</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140" w:type="dxa"/>
            <w:vAlign w:val="bottom"/>
            <w:gridSpan w:val="6"/>
          </w:tcPr>
          <w:p>
            <w:pPr>
              <w:spacing w:after="0" w:line="256" w:lineRule="exact"/>
              <w:rPr>
                <w:sz w:val="20"/>
                <w:szCs w:val="20"/>
                <w:color w:val="auto"/>
              </w:rPr>
            </w:pPr>
            <w:r>
              <w:rPr>
                <w:rFonts w:ascii="Arial" w:cs="Arial" w:eastAsia="Arial" w:hAnsi="Arial"/>
                <w:sz w:val="18"/>
                <w:szCs w:val="18"/>
                <w:b w:val="1"/>
                <w:bCs w:val="1"/>
                <w:color w:val="auto"/>
              </w:rPr>
              <w:t>CONTROLLED</w:t>
            </w:r>
            <w:r>
              <w:rPr>
                <w:rFonts w:ascii="Arial" w:cs="Arial" w:eastAsia="Arial" w:hAnsi="Arial"/>
                <w:sz w:val="29"/>
                <w:szCs w:val="29"/>
                <w:b w:val="1"/>
                <w:bCs w:val="1"/>
                <w:color w:val="auto"/>
                <w:vertAlign w:val="superscript"/>
              </w:rPr>
              <w:t>(2)</w:t>
            </w:r>
          </w:p>
        </w:tc>
        <w:tc>
          <w:tcPr>
            <w:tcW w:w="2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40" w:type="dxa"/>
            <w:vAlign w:val="bottom"/>
            <w:gridSpan w:val="6"/>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Colombier Sponsor LLC**</w:t>
            </w:r>
            <w:r>
              <w:rPr>
                <w:rFonts w:ascii="Arial" w:cs="Arial" w:eastAsia="Arial" w:hAnsi="Arial"/>
                <w:sz w:val="26"/>
                <w:szCs w:val="26"/>
                <w:b w:val="1"/>
                <w:bCs w:val="1"/>
                <w:color w:val="auto"/>
                <w:vertAlign w:val="superscript"/>
              </w:rPr>
              <w:t>(12)</w:t>
            </w:r>
          </w:p>
        </w:tc>
        <w:tc>
          <w:tcPr>
            <w:tcW w:w="21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5"/>
              </w:rPr>
              <w:t>New York, NY</w:t>
            </w:r>
          </w:p>
        </w:tc>
        <w:tc>
          <w:tcPr>
            <w:tcW w:w="1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jc w:val="center"/>
              <w:ind w:left="410"/>
              <w:spacing w:after="0" w:line="201" w:lineRule="exact"/>
              <w:rPr>
                <w:sz w:val="20"/>
                <w:szCs w:val="20"/>
                <w:color w:val="auto"/>
              </w:rPr>
            </w:pPr>
            <w:r>
              <w:rPr>
                <w:rFonts w:ascii="Arial" w:cs="Arial" w:eastAsia="Arial" w:hAnsi="Arial"/>
                <w:sz w:val="18"/>
                <w:szCs w:val="18"/>
                <w:color w:val="auto"/>
                <w:w w:val="88"/>
              </w:rPr>
              <w:t>Special Purpose</w:t>
            </w:r>
          </w:p>
        </w:tc>
        <w:tc>
          <w:tcPr>
            <w:tcW w:w="11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6"/>
              </w:rPr>
              <w:t>Acquisition</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6"/>
          </w:tcPr>
          <w:p>
            <w:pPr>
              <w:spacing w:after="0"/>
              <w:rPr>
                <w:sz w:val="20"/>
                <w:szCs w:val="20"/>
                <w:color w:val="auto"/>
              </w:rPr>
            </w:pPr>
            <w:r>
              <w:rPr>
                <w:rFonts w:ascii="Arial" w:cs="Arial" w:eastAsia="Arial" w:hAnsi="Arial"/>
                <w:sz w:val="18"/>
                <w:szCs w:val="18"/>
                <w:color w:val="auto"/>
              </w:rPr>
              <w:t>Class B Units</w:t>
            </w:r>
          </w:p>
        </w:tc>
        <w:tc>
          <w:tcPr>
            <w:tcW w:w="2180" w:type="dxa"/>
            <w:vAlign w:val="bottom"/>
          </w:tcPr>
          <w:p>
            <w:pPr>
              <w:jc w:val="center"/>
              <w:ind w:left="390"/>
              <w:spacing w:after="0"/>
              <w:rPr>
                <w:sz w:val="20"/>
                <w:szCs w:val="20"/>
                <w:color w:val="auto"/>
              </w:rPr>
            </w:pPr>
            <w:r>
              <w:rPr>
                <w:rFonts w:ascii="Arial" w:cs="Arial" w:eastAsia="Arial" w:hAnsi="Arial"/>
                <w:sz w:val="18"/>
                <w:szCs w:val="18"/>
                <w:color w:val="auto"/>
                <w:w w:val="90"/>
              </w:rPr>
              <w:t>Company</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4/1/2021</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1,976,032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1,556,587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14,941,605</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Class W Units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4/1/2021</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2,700,000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1,159,150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2,241,000</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gridSpan w:val="6"/>
            <w:vMerge w:val="restart"/>
          </w:tcPr>
          <w:p>
            <w:pPr>
              <w:ind w:left="180"/>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6"/>
            <w:vMerge w:val="continue"/>
          </w:tcPr>
          <w:p>
            <w:pPr>
              <w:spacing w:after="0"/>
              <w:rPr>
                <w:sz w:val="17"/>
                <w:szCs w:val="17"/>
                <w:color w:val="auto"/>
              </w:rPr>
            </w:pP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2,715,737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17,182,605</w:t>
            </w:r>
          </w:p>
        </w:tc>
        <w:tc>
          <w:tcPr>
            <w:tcW w:w="280" w:type="dxa"/>
            <w:vAlign w:val="bottom"/>
            <w:vMerge w:val="continue"/>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96"/>
        </w:trPr>
        <w:tc>
          <w:tcPr>
            <w:tcW w:w="31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Architect Capital PayJoy SPV, LLC**</w:t>
            </w:r>
          </w:p>
        </w:tc>
        <w:tc>
          <w:tcPr>
            <w:tcW w:w="2180" w:type="dxa"/>
            <w:vAlign w:val="bottom"/>
            <w:shd w:val="clear" w:color="auto" w:fill="CCEEFF"/>
          </w:tcPr>
          <w:p>
            <w:pPr>
              <w:jc w:val="center"/>
              <w:ind w:left="410"/>
              <w:spacing w:after="0" w:line="176" w:lineRule="exact"/>
              <w:rPr>
                <w:sz w:val="20"/>
                <w:szCs w:val="20"/>
                <w:color w:val="auto"/>
              </w:rPr>
            </w:pPr>
            <w:r>
              <w:rPr>
                <w:rFonts w:ascii="Arial" w:cs="Arial" w:eastAsia="Arial" w:hAnsi="Arial"/>
                <w:sz w:val="18"/>
                <w:szCs w:val="18"/>
                <w:color w:val="auto"/>
                <w:w w:val="90"/>
              </w:rPr>
              <w:t>San Francisco, CA</w:t>
            </w: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jc w:val="center"/>
              <w:ind w:left="390"/>
              <w:spacing w:after="0" w:line="201" w:lineRule="exact"/>
              <w:rPr>
                <w:sz w:val="20"/>
                <w:szCs w:val="20"/>
                <w:color w:val="auto"/>
              </w:rPr>
            </w:pPr>
            <w:r>
              <w:rPr>
                <w:rFonts w:ascii="Arial" w:cs="Arial" w:eastAsia="Arial" w:hAnsi="Arial"/>
                <w:sz w:val="18"/>
                <w:szCs w:val="18"/>
                <w:color w:val="auto"/>
                <w:w w:val="93"/>
              </w:rPr>
              <w:t>Mobile Finance</w:t>
            </w:r>
          </w:p>
        </w:tc>
        <w:tc>
          <w:tcPr>
            <w:tcW w:w="11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6"/>
          </w:tcPr>
          <w:p>
            <w:pPr>
              <w:spacing w:after="0"/>
              <w:rPr>
                <w:sz w:val="20"/>
                <w:szCs w:val="20"/>
                <w:color w:val="auto"/>
              </w:rPr>
            </w:pPr>
            <w:r>
              <w:rPr>
                <w:rFonts w:ascii="Arial" w:cs="Arial" w:eastAsia="Arial" w:hAnsi="Arial"/>
                <w:sz w:val="18"/>
                <w:szCs w:val="18"/>
                <w:color w:val="auto"/>
                <w:w w:val="99"/>
              </w:rPr>
              <w:t>Membership Interest in Lending SPV***</w:t>
            </w:r>
          </w:p>
        </w:tc>
        <w:tc>
          <w:tcPr>
            <w:tcW w:w="2180" w:type="dxa"/>
            <w:vAlign w:val="bottom"/>
          </w:tcPr>
          <w:p>
            <w:pPr>
              <w:jc w:val="center"/>
              <w:ind w:left="410"/>
              <w:spacing w:after="0"/>
              <w:rPr>
                <w:sz w:val="20"/>
                <w:szCs w:val="20"/>
                <w:color w:val="auto"/>
              </w:rPr>
            </w:pPr>
            <w:r>
              <w:rPr>
                <w:rFonts w:ascii="Arial" w:cs="Arial" w:eastAsia="Arial" w:hAnsi="Arial"/>
                <w:sz w:val="18"/>
                <w:szCs w:val="18"/>
                <w:color w:val="auto"/>
                <w:w w:val="90"/>
              </w:rPr>
              <w:t>Technology</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3/24/2021</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9"/>
              </w:rPr>
              <w:t>$10,000,000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10,006,745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10,000,000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4"/>
              </w:rPr>
              <w:t>SPBRX, INC. (f/k/a GSV Sustainability</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4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Partners, Inc.)</w:t>
            </w:r>
          </w:p>
        </w:tc>
        <w:tc>
          <w:tcPr>
            <w:tcW w:w="2180" w:type="dxa"/>
            <w:vAlign w:val="bottom"/>
            <w:shd w:val="clear" w:color="auto" w:fill="CCEEFF"/>
          </w:tcPr>
          <w:p>
            <w:pPr>
              <w:jc w:val="center"/>
              <w:ind w:left="390"/>
              <w:spacing w:after="0" w:line="196" w:lineRule="exact"/>
              <w:rPr>
                <w:sz w:val="20"/>
                <w:szCs w:val="20"/>
                <w:color w:val="auto"/>
              </w:rPr>
            </w:pPr>
            <w:r>
              <w:rPr>
                <w:rFonts w:ascii="Arial" w:cs="Arial" w:eastAsia="Arial" w:hAnsi="Arial"/>
                <w:sz w:val="18"/>
                <w:szCs w:val="18"/>
                <w:color w:val="auto"/>
                <w:w w:val="93"/>
              </w:rPr>
              <w:t>Cupertino, CA</w:t>
            </w: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40" w:type="dxa"/>
            <w:vAlign w:val="bottom"/>
            <w:gridSpan w:val="6"/>
          </w:tcPr>
          <w:p>
            <w:pPr>
              <w:spacing w:after="0" w:line="256" w:lineRule="exact"/>
              <w:rPr>
                <w:sz w:val="20"/>
                <w:szCs w:val="20"/>
                <w:color w:val="auto"/>
              </w:rPr>
            </w:pPr>
            <w:r>
              <w:rPr>
                <w:rFonts w:ascii="Arial" w:cs="Arial" w:eastAsia="Arial" w:hAnsi="Arial"/>
                <w:sz w:val="18"/>
                <w:szCs w:val="18"/>
                <w:color w:val="auto"/>
              </w:rPr>
              <w:t>Preferred shares, Class A</w:t>
            </w:r>
            <w:r>
              <w:rPr>
                <w:rFonts w:ascii="Arial" w:cs="Arial" w:eastAsia="Arial" w:hAnsi="Arial"/>
                <w:sz w:val="29"/>
                <w:szCs w:val="29"/>
                <w:color w:val="auto"/>
                <w:vertAlign w:val="superscript"/>
              </w:rPr>
              <w:t>(9)</w:t>
            </w:r>
          </w:p>
        </w:tc>
        <w:tc>
          <w:tcPr>
            <w:tcW w:w="2180" w:type="dxa"/>
            <w:vAlign w:val="bottom"/>
          </w:tcPr>
          <w:p>
            <w:pPr>
              <w:jc w:val="center"/>
              <w:ind w:left="390"/>
              <w:spacing w:after="0"/>
              <w:rPr>
                <w:sz w:val="20"/>
                <w:szCs w:val="20"/>
                <w:color w:val="auto"/>
              </w:rPr>
            </w:pPr>
            <w:r>
              <w:rPr>
                <w:rFonts w:ascii="Arial" w:cs="Arial" w:eastAsia="Arial" w:hAnsi="Arial"/>
                <w:sz w:val="18"/>
                <w:szCs w:val="18"/>
                <w:color w:val="auto"/>
                <w:w w:val="89"/>
              </w:rPr>
              <w:t>Clean Technology</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4/15/2014</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14,300,000</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7,151,412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934,028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9"/>
        </w:trPr>
        <w:tc>
          <w:tcPr>
            <w:tcW w:w="31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21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4/15/2014</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gridSpan w:val="6"/>
          </w:tcPr>
          <w:p>
            <w:pPr>
              <w:ind w:left="180"/>
              <w:spacing w:after="0" w:line="203" w:lineRule="exact"/>
              <w:rPr>
                <w:sz w:val="20"/>
                <w:szCs w:val="20"/>
                <w:color w:val="auto"/>
              </w:rPr>
            </w:pPr>
            <w:r>
              <w:rPr>
                <w:rFonts w:ascii="Arial" w:cs="Arial" w:eastAsia="Arial" w:hAnsi="Arial"/>
                <w:sz w:val="18"/>
                <w:szCs w:val="18"/>
                <w:color w:val="auto"/>
              </w:rPr>
              <w:t>Total</w:t>
            </w:r>
          </w:p>
        </w:tc>
        <w:tc>
          <w:tcPr>
            <w:tcW w:w="2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7,161,412</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934,028</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40" w:type="dxa"/>
            <w:vAlign w:val="bottom"/>
            <w:gridSpan w:val="6"/>
          </w:tcPr>
          <w:p>
            <w:pPr>
              <w:ind w:left="180"/>
              <w:spacing w:after="0"/>
              <w:rPr>
                <w:sz w:val="20"/>
                <w:szCs w:val="20"/>
                <w:color w:val="auto"/>
              </w:rPr>
            </w:pPr>
            <w:r>
              <w:rPr>
                <w:rFonts w:ascii="Arial" w:cs="Arial" w:eastAsia="Arial" w:hAnsi="Arial"/>
                <w:sz w:val="18"/>
                <w:szCs w:val="18"/>
                <w:b w:val="1"/>
                <w:bCs w:val="1"/>
                <w:color w:val="auto"/>
              </w:rPr>
              <w:t>Total Controlled</w:t>
            </w:r>
          </w:p>
        </w:tc>
        <w:tc>
          <w:tcPr>
            <w:tcW w:w="2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19,883,894</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28,116,633</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15.06%</w:t>
            </w:r>
          </w:p>
        </w:tc>
        <w:tc>
          <w:tcPr>
            <w:tcW w:w="0" w:type="dxa"/>
            <w:vAlign w:val="bottom"/>
          </w:tcPr>
          <w:p>
            <w:pPr>
              <w:spacing w:after="0"/>
              <w:rPr>
                <w:sz w:val="1"/>
                <w:szCs w:val="1"/>
                <w:color w:val="auto"/>
              </w:rPr>
            </w:pPr>
          </w:p>
        </w:tc>
      </w:tr>
      <w:tr>
        <w:trPr>
          <w:trHeight w:val="243"/>
        </w:trPr>
        <w:tc>
          <w:tcPr>
            <w:tcW w:w="106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18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40" w:type="dxa"/>
            <w:vAlign w:val="bottom"/>
            <w:gridSpan w:val="6"/>
          </w:tcPr>
          <w:p>
            <w:pPr>
              <w:ind w:left="180"/>
              <w:spacing w:after="0"/>
              <w:rPr>
                <w:sz w:val="20"/>
                <w:szCs w:val="20"/>
                <w:color w:val="auto"/>
              </w:rPr>
            </w:pPr>
            <w:r>
              <w:rPr>
                <w:rFonts w:ascii="Arial" w:cs="Arial" w:eastAsia="Arial" w:hAnsi="Arial"/>
                <w:sz w:val="18"/>
                <w:szCs w:val="18"/>
                <w:b w:val="1"/>
                <w:bCs w:val="1"/>
                <w:color w:val="auto"/>
              </w:rPr>
              <w:t>Total Portfolio Investments</w:t>
            </w:r>
          </w:p>
        </w:tc>
        <w:tc>
          <w:tcPr>
            <w:tcW w:w="2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209,092,586</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160,283,146</w:t>
            </w: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85.85%</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U.S. Treasury</w:t>
            </w:r>
          </w:p>
        </w:tc>
        <w:tc>
          <w:tcPr>
            <w:tcW w:w="2180" w:type="dxa"/>
            <w:vAlign w:val="bottom"/>
          </w:tcPr>
          <w:p>
            <w:pPr>
              <w:jc w:val="right"/>
              <w:ind w:right="1830"/>
              <w:spacing w:after="0" w:line="176" w:lineRule="exact"/>
              <w:rPr>
                <w:sz w:val="20"/>
                <w:szCs w:val="20"/>
                <w:color w:val="auto"/>
              </w:rPr>
            </w:pPr>
            <w:r>
              <w:rPr>
                <w:rFonts w:ascii="Arial" w:cs="Arial" w:eastAsia="Arial" w:hAnsi="Arial"/>
                <w:sz w:val="18"/>
                <w:szCs w:val="18"/>
                <w:color w:val="auto"/>
              </w:rPr>
              <w:t>(3)</w:t>
            </w: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7"/>
              </w:rPr>
              <w:t>U.S. Treasury bill, 0%, due 9/28/2023***</w:t>
            </w:r>
          </w:p>
        </w:tc>
        <w:tc>
          <w:tcPr>
            <w:tcW w:w="2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12/29/2022</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$56,605,000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55,488,452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55,898,163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36"/>
        </w:trPr>
        <w:tc>
          <w:tcPr>
            <w:tcW w:w="3140" w:type="dxa"/>
            <w:vAlign w:val="bottom"/>
            <w:gridSpan w:val="6"/>
          </w:tcPr>
          <w:p>
            <w:pPr>
              <w:spacing w:after="0"/>
              <w:rPr>
                <w:sz w:val="20"/>
                <w:szCs w:val="20"/>
                <w:color w:val="auto"/>
              </w:rPr>
            </w:pPr>
            <w:r>
              <w:rPr>
                <w:rFonts w:ascii="Arial" w:cs="Arial" w:eastAsia="Arial" w:hAnsi="Arial"/>
                <w:sz w:val="18"/>
                <w:szCs w:val="18"/>
                <w:color w:val="auto"/>
                <w:w w:val="94"/>
              </w:rPr>
              <w:t>U.S. Treasury bill, 0%, due 12/28/2023***</w:t>
            </w:r>
          </w:p>
        </w:tc>
        <w:tc>
          <w:tcPr>
            <w:tcW w:w="2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3/30/2023</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99"/>
              </w:rPr>
              <w:t>$20,529,000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19,990,216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19,997,371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75,478,668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75,895,534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284,571,254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236,178,680</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126.51%</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 (UNAUDITED)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jc w:val="both"/>
        <w:ind w:left="660" w:hanging="652"/>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177" w:lineRule="exact"/>
        <w:rPr>
          <w:sz w:val="20"/>
          <w:szCs w:val="20"/>
          <w:color w:val="auto"/>
        </w:rPr>
      </w:pPr>
    </w:p>
    <w:p>
      <w:pPr>
        <w:jc w:val="both"/>
        <w:ind w:left="660" w:hanging="652"/>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Investment Company Act of 1940, as amended (the “1940 Act”). Of the Company’s total investments as of June 30, 2023, 20.76% of its total investments are non-qualifying assets.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25" w:lineRule="exact"/>
        <w:rPr>
          <w:sz w:val="20"/>
          <w:szCs w:val="20"/>
          <w:color w:val="auto"/>
        </w:rPr>
      </w:pPr>
    </w:p>
    <w:p>
      <w:pPr>
        <w:jc w:val="both"/>
        <w:ind w:left="660" w:hanging="652"/>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1"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investment considered Level 1 or Level 2 and valued using observable inputs. Refer to “Note 4—Investments at Fair Value”.</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June 30, 2023, the investments noted had been placed on non-accrual status.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SuRo Capital Corp.’s investments in preferred shares of Residential Homes for Rent, LLC (d/b/a Second Avenue) are held through SuRo Capital Corp.’s wholly owned subsidiary, GSVC AV Holdings, Inc.</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SuRo Capital Corp.’s investments in True Global Ventures 4 Plus Pte Ltd are held through SuRo Capital Corp.’s wholly owned subsidiary, GSVC SVDS Holdings, Inc. As of March 31, 2023, the previously unfunded capital commitment of $1.3 million was deemed fully contributed in lieu of cash distributions. As of March 31, 2023, the full $2.0 million capital commitment to True Global Ventures 4 Plus Fund LP had been called and funded.</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six months ended June 30, 2023, approximately $0.6 million has been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9, 2021, Fullbridge, Inc.’s obligations under its financing arrangements with the Company became past due.</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13, 2023, SuRo Capital Corp. invested $2.0 million in Orchard Technologies, Inc.’s Series 1 Senior Preferred financing round. As part of the transaction, SuRo Capital Corp. exchanged a portion of its existing Series D Preferred shares investment for Series 1 Senior Preferred shares, Series 2 Senior Preferred shares, and Common shares. Additionally, SuRo Capital Corp.’s previous investment in the Simple Agreement for Future Equity was converted into additional Series 1 Senior Preferred shares.</w:t>
      </w:r>
    </w:p>
    <w:p>
      <w:pPr>
        <w:sectPr>
          <w:pgSz w:w="11900" w:h="16838" w:orient="portrait"/>
          <w:cols w:equalWidth="0" w:num="1">
            <w:col w:w="11240"/>
          </w:cols>
          <w:pgMar w:left="320" w:top="233" w:right="339" w:bottom="298"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298"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Portfolio Investments</w:t>
            </w:r>
            <w:r>
              <w:rPr>
                <w:rFonts w:ascii="Arial" w:cs="Arial" w:eastAsia="Arial" w:hAnsi="Arial"/>
                <w:sz w:val="29"/>
                <w:szCs w:val="29"/>
                <w:b w:val="1"/>
                <w:bCs w:val="1"/>
                <w:color w:val="auto"/>
                <w:vertAlign w:val="superscript"/>
              </w:rPr>
              <w:t>*</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200" w:type="dxa"/>
            <w:vAlign w:val="bottom"/>
            <w:gridSpan w:val="19"/>
            <w:vMerge w:val="continue"/>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5"/>
              </w:rPr>
              <w:t>Industry</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Principal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320" w:type="dxa"/>
            <w:vAlign w:val="bottom"/>
          </w:tcPr>
          <w:p>
            <w:pPr>
              <w:spacing w:after="0"/>
              <w:rPr>
                <w:sz w:val="20"/>
                <w:szCs w:val="20"/>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98"/>
        </w:trPr>
        <w:tc>
          <w:tcPr>
            <w:tcW w:w="3200" w:type="dxa"/>
            <w:vAlign w:val="bottom"/>
            <w:tcBorders>
              <w:top w:val="single" w:sz="8" w:color="auto"/>
            </w:tcBorders>
            <w:gridSpan w:val="19"/>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NON-CONTROLLED/NON-</w:t>
            </w:r>
          </w:p>
        </w:tc>
        <w:tc>
          <w:tcPr>
            <w:tcW w:w="2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b w:val="1"/>
                <w:bCs w:val="1"/>
                <w:color w:val="auto"/>
              </w:rPr>
              <w:t>AFFILIATE</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0" w:type="dxa"/>
            <w:vAlign w:val="bottom"/>
            <w:gridSpan w:val="19"/>
          </w:tcPr>
          <w:p>
            <w:pPr>
              <w:spacing w:after="0" w:line="176" w:lineRule="exact"/>
              <w:rPr>
                <w:sz w:val="20"/>
                <w:szCs w:val="20"/>
                <w:color w:val="auto"/>
              </w:rPr>
            </w:pPr>
            <w:r>
              <w:rPr>
                <w:rFonts w:ascii="Arial" w:cs="Arial" w:eastAsia="Arial" w:hAnsi="Arial"/>
                <w:sz w:val="18"/>
                <w:szCs w:val="18"/>
                <w:b w:val="1"/>
                <w:bCs w:val="1"/>
                <w:color w:val="auto"/>
                <w:w w:val="99"/>
              </w:rPr>
              <w:t>Learneo, Inc. (f/k/a Course Hero, Inc.)</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2"/>
              </w:rPr>
              <w:t>Redwood City, CA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A 8%</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9/18/2014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2,145,509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$ 40,541,403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3200" w:type="dxa"/>
            <w:vAlign w:val="bottom"/>
            <w:gridSpan w:val="19"/>
          </w:tcPr>
          <w:p>
            <w:pPr>
              <w:spacing w:after="0"/>
              <w:rPr>
                <w:sz w:val="20"/>
                <w:szCs w:val="20"/>
                <w:color w:val="auto"/>
              </w:rPr>
            </w:pPr>
            <w:r>
              <w:rPr>
                <w:rFonts w:ascii="Arial" w:cs="Arial" w:eastAsia="Arial" w:hAnsi="Arial"/>
                <w:sz w:val="18"/>
                <w:szCs w:val="18"/>
                <w:color w:val="auto"/>
              </w:rPr>
              <w:t>Preferred shares, Series C 8%</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11/5/2021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275,659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9,999,971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9"/>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14,999,972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50,541,374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9"/>
          </w:tcPr>
          <w:p>
            <w:pPr>
              <w:spacing w:after="0" w:line="163" w:lineRule="exact"/>
              <w:rPr>
                <w:sz w:val="20"/>
                <w:szCs w:val="20"/>
                <w:color w:val="auto"/>
              </w:rPr>
            </w:pPr>
            <w:r>
              <w:rPr>
                <w:rFonts w:ascii="Arial" w:cs="Arial" w:eastAsia="Arial" w:hAnsi="Arial"/>
                <w:sz w:val="18"/>
                <w:szCs w:val="18"/>
                <w:b w:val="1"/>
                <w:bCs w:val="1"/>
                <w:color w:val="auto"/>
              </w:rPr>
              <w:t>Blink Health, Inc.</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5"/>
              </w:rPr>
              <w:t>New York, NY</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Pharmaceutical</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gridSpan w:val="19"/>
            <w:shd w:val="clear" w:color="auto" w:fill="CCEEFF"/>
          </w:tcPr>
          <w:p>
            <w:pPr>
              <w:spacing w:after="0"/>
              <w:rPr>
                <w:sz w:val="20"/>
                <w:szCs w:val="20"/>
                <w:color w:val="auto"/>
              </w:rPr>
            </w:pPr>
            <w:r>
              <w:rPr>
                <w:rFonts w:ascii="Arial" w:cs="Arial" w:eastAsia="Arial" w:hAnsi="Arial"/>
                <w:sz w:val="18"/>
                <w:szCs w:val="18"/>
                <w:color w:val="auto"/>
              </w:rPr>
              <w:t>Preferred shares, Series A</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Technology</w:t>
            </w:r>
          </w:p>
        </w:tc>
        <w:tc>
          <w:tcPr>
            <w:tcW w:w="110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10/27/2020</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238,095</w:t>
            </w: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5,000,423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949,924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6"/>
        </w:trPr>
        <w:tc>
          <w:tcPr>
            <w:tcW w:w="3200" w:type="dxa"/>
            <w:vAlign w:val="bottom"/>
            <w:gridSpan w:val="19"/>
          </w:tcPr>
          <w:p>
            <w:pPr>
              <w:spacing w:after="0"/>
              <w:rPr>
                <w:sz w:val="20"/>
                <w:szCs w:val="20"/>
                <w:color w:val="auto"/>
              </w:rPr>
            </w:pPr>
            <w:r>
              <w:rPr>
                <w:rFonts w:ascii="Arial" w:cs="Arial" w:eastAsia="Arial" w:hAnsi="Arial"/>
                <w:sz w:val="18"/>
                <w:szCs w:val="18"/>
                <w:color w:val="auto"/>
              </w:rPr>
              <w:t>Preferred shares, Series C</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10/27/2020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261,944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10,003,917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9,999,974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9"/>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15,004,340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10,949,898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9"/>
          </w:tcPr>
          <w:p>
            <w:pPr>
              <w:spacing w:after="0" w:line="163" w:lineRule="exact"/>
              <w:rPr>
                <w:sz w:val="20"/>
                <w:szCs w:val="20"/>
                <w:color w:val="auto"/>
              </w:rPr>
            </w:pPr>
            <w:r>
              <w:rPr>
                <w:rFonts w:ascii="Arial" w:cs="Arial" w:eastAsia="Arial" w:hAnsi="Arial"/>
                <w:sz w:val="18"/>
                <w:szCs w:val="18"/>
                <w:b w:val="1"/>
                <w:bCs w:val="1"/>
                <w:color w:val="auto"/>
              </w:rPr>
              <w:t>Orchard Technologies, Inc.</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5"/>
              </w:rPr>
              <w:t>New York, NY</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D</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Real Estate Platform</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8/9/2021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1,488,139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10,004,034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9,999,996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3200" w:type="dxa"/>
            <w:vAlign w:val="bottom"/>
            <w:gridSpan w:val="19"/>
          </w:tcPr>
          <w:p>
            <w:pPr>
              <w:spacing w:after="0"/>
              <w:rPr>
                <w:sz w:val="20"/>
                <w:szCs w:val="20"/>
                <w:color w:val="auto"/>
              </w:rPr>
            </w:pPr>
            <w:r>
              <w:rPr>
                <w:rFonts w:ascii="Arial" w:cs="Arial" w:eastAsia="Arial" w:hAnsi="Arial"/>
                <w:sz w:val="18"/>
                <w:szCs w:val="18"/>
                <w:color w:val="auto"/>
              </w:rPr>
              <w:t>Simple Agreement for Future Equity</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9/2/2022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501,663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9"/>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10,505,697</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10,499,996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9"/>
          </w:tcPr>
          <w:p>
            <w:pPr>
              <w:spacing w:after="0" w:line="163" w:lineRule="exact"/>
              <w:rPr>
                <w:sz w:val="20"/>
                <w:szCs w:val="20"/>
                <w:color w:val="auto"/>
              </w:rPr>
            </w:pPr>
            <w:r>
              <w:rPr>
                <w:rFonts w:ascii="Arial" w:cs="Arial" w:eastAsia="Arial" w:hAnsi="Arial"/>
                <w:sz w:val="18"/>
                <w:szCs w:val="18"/>
                <w:b w:val="1"/>
                <w:bCs w:val="1"/>
                <w:color w:val="auto"/>
              </w:rPr>
              <w:t>Locus Robotics Corp.</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8"/>
              </w:rPr>
              <w:t>Wilmington, MA</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F</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Warehouse Automation</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11/30/2022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10,004,286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176"/>
        </w:trPr>
        <w:tc>
          <w:tcPr>
            <w:tcW w:w="3200" w:type="dxa"/>
            <w:vAlign w:val="bottom"/>
            <w:gridSpan w:val="19"/>
          </w:tcPr>
          <w:p>
            <w:pPr>
              <w:spacing w:after="0" w:line="176" w:lineRule="exact"/>
              <w:rPr>
                <w:sz w:val="20"/>
                <w:szCs w:val="20"/>
                <w:color w:val="auto"/>
              </w:rPr>
            </w:pPr>
            <w:r>
              <w:rPr>
                <w:rFonts w:ascii="Arial" w:cs="Arial" w:eastAsia="Arial" w:hAnsi="Arial"/>
                <w:sz w:val="18"/>
                <w:szCs w:val="18"/>
                <w:b w:val="1"/>
                <w:bCs w:val="1"/>
                <w:color w:val="auto"/>
              </w:rPr>
              <w:t>Aspiration Partners, Inc.</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3"/>
              </w:rPr>
              <w:t>Marina Del Rey, CA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A</w:t>
            </w: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Financial Services</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8/11/2015</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540,270</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1,001,815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6,229,360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6"/>
        </w:trPr>
        <w:tc>
          <w:tcPr>
            <w:tcW w:w="3200" w:type="dxa"/>
            <w:vAlign w:val="bottom"/>
            <w:gridSpan w:val="19"/>
          </w:tcPr>
          <w:p>
            <w:pPr>
              <w:spacing w:after="0"/>
              <w:rPr>
                <w:sz w:val="20"/>
                <w:szCs w:val="20"/>
                <w:color w:val="auto"/>
              </w:rPr>
            </w:pPr>
            <w:r>
              <w:rPr>
                <w:rFonts w:ascii="Arial" w:cs="Arial" w:eastAsia="Arial" w:hAnsi="Arial"/>
                <w:sz w:val="18"/>
                <w:szCs w:val="18"/>
                <w:color w:val="auto"/>
              </w:rPr>
              <w:t>Preferred shares, Series C-3</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8/12/2019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281,190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312,151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19"/>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1,283,005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6,541,511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19"/>
          </w:tcPr>
          <w:p>
            <w:pPr>
              <w:spacing w:after="0" w:line="163" w:lineRule="exact"/>
              <w:rPr>
                <w:sz w:val="20"/>
                <w:szCs w:val="20"/>
                <w:color w:val="auto"/>
              </w:rPr>
            </w:pPr>
            <w:r>
              <w:rPr>
                <w:rFonts w:ascii="Arial" w:cs="Arial" w:eastAsia="Arial" w:hAnsi="Arial"/>
                <w:sz w:val="18"/>
                <w:szCs w:val="18"/>
                <w:b w:val="1"/>
                <w:bCs w:val="1"/>
                <w:color w:val="auto"/>
              </w:rPr>
              <w:t>Whoop, Inc.</w:t>
            </w:r>
          </w:p>
        </w:tc>
        <w:tc>
          <w:tcPr>
            <w:tcW w:w="200" w:type="dxa"/>
            <w:vAlign w:val="bottom"/>
          </w:tcPr>
          <w:p>
            <w:pPr>
              <w:spacing w:after="0"/>
              <w:rPr>
                <w:sz w:val="14"/>
                <w:szCs w:val="14"/>
                <w:color w:val="auto"/>
              </w:rPr>
            </w:pPr>
          </w:p>
        </w:tc>
        <w:tc>
          <w:tcPr>
            <w:tcW w:w="1940" w:type="dxa"/>
            <w:vAlign w:val="bottom"/>
          </w:tcPr>
          <w:p>
            <w:pPr>
              <w:jc w:val="center"/>
              <w:spacing w:after="0" w:line="163" w:lineRule="exact"/>
              <w:rPr>
                <w:sz w:val="20"/>
                <w:szCs w:val="20"/>
                <w:color w:val="auto"/>
              </w:rPr>
            </w:pPr>
            <w:r>
              <w:rPr>
                <w:rFonts w:ascii="Arial" w:cs="Arial" w:eastAsia="Arial" w:hAnsi="Arial"/>
                <w:sz w:val="18"/>
                <w:szCs w:val="18"/>
                <w:color w:val="auto"/>
                <w:w w:val="94"/>
              </w:rPr>
              <w:t>Boston, MA</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C</w:t>
            </w: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Fitness Technology</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6/30/2022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13,293,450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10,011,460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6,084,041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200" w:type="dxa"/>
            <w:vAlign w:val="bottom"/>
            <w:gridSpan w:val="19"/>
          </w:tcPr>
          <w:p>
            <w:pPr>
              <w:spacing w:after="0" w:line="216" w:lineRule="exact"/>
              <w:rPr>
                <w:sz w:val="20"/>
                <w:szCs w:val="20"/>
                <w:color w:val="auto"/>
              </w:rPr>
            </w:pPr>
            <w:r>
              <w:rPr>
                <w:rFonts w:ascii="Arial" w:cs="Arial" w:eastAsia="Arial" w:hAnsi="Arial"/>
                <w:sz w:val="16"/>
                <w:szCs w:val="16"/>
                <w:b w:val="1"/>
                <w:bCs w:val="1"/>
                <w:color w:val="auto"/>
              </w:rPr>
              <w:t>Forge Global, Inc.</w:t>
            </w:r>
            <w:r>
              <w:rPr>
                <w:rFonts w:ascii="Arial" w:cs="Arial" w:eastAsia="Arial" w:hAnsi="Arial"/>
                <w:sz w:val="25"/>
                <w:szCs w:val="25"/>
                <w:b w:val="1"/>
                <w:bCs w:val="1"/>
                <w:color w:val="auto"/>
                <w:vertAlign w:val="superscript"/>
              </w:rPr>
              <w:t>**</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San Francisco, CA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00" w:type="dxa"/>
            <w:vAlign w:val="bottom"/>
            <w:gridSpan w:val="19"/>
            <w:vMerge w:val="restart"/>
            <w:shd w:val="clear" w:color="auto" w:fill="CCEEFF"/>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(3)(14)</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Online Marketplace</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0" w:type="dxa"/>
            <w:vAlign w:val="bottom"/>
            <w:gridSpan w:val="19"/>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Finance</w:t>
            </w: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7/20/2011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2,508,074</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3,443,483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4,338,968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75"/>
        </w:trPr>
        <w:tc>
          <w:tcPr>
            <w:tcW w:w="3200" w:type="dxa"/>
            <w:vAlign w:val="bottom"/>
            <w:gridSpan w:val="19"/>
          </w:tcPr>
          <w:p>
            <w:pPr>
              <w:spacing w:after="0" w:line="176" w:lineRule="exact"/>
              <w:rPr>
                <w:sz w:val="20"/>
                <w:szCs w:val="20"/>
                <w:color w:val="auto"/>
              </w:rPr>
            </w:pPr>
            <w:r>
              <w:rPr>
                <w:rFonts w:ascii="Arial" w:cs="Arial" w:eastAsia="Arial" w:hAnsi="Arial"/>
                <w:sz w:val="18"/>
                <w:szCs w:val="18"/>
                <w:b w:val="1"/>
                <w:bCs w:val="1"/>
                <w:color w:val="auto"/>
              </w:rPr>
              <w:t>Nextdoor Holdings, Inc.**</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gridSpan w:val="19"/>
            <w:shd w:val="clear" w:color="auto" w:fill="CCEEFF"/>
          </w:tcPr>
          <w:p>
            <w:pPr>
              <w:spacing w:after="0" w:line="296" w:lineRule="exact"/>
              <w:rPr>
                <w:sz w:val="20"/>
                <w:szCs w:val="20"/>
                <w:color w:val="auto"/>
              </w:rPr>
            </w:pPr>
            <w:r>
              <w:rPr>
                <w:rFonts w:ascii="Arial" w:cs="Arial" w:eastAsia="Arial" w:hAnsi="Arial"/>
                <w:sz w:val="18"/>
                <w:szCs w:val="18"/>
                <w:color w:val="auto"/>
              </w:rPr>
              <w:t>Common shares, Class B</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Social Networking</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9/27/2018</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1,802,416</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10,002,666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3,712,977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75"/>
        </w:trPr>
        <w:tc>
          <w:tcPr>
            <w:tcW w:w="3200" w:type="dxa"/>
            <w:vAlign w:val="bottom"/>
            <w:gridSpan w:val="19"/>
          </w:tcPr>
          <w:p>
            <w:pPr>
              <w:spacing w:after="0" w:line="176" w:lineRule="exact"/>
              <w:rPr>
                <w:sz w:val="20"/>
                <w:szCs w:val="20"/>
                <w:color w:val="auto"/>
              </w:rPr>
            </w:pPr>
            <w:r>
              <w:rPr>
                <w:rFonts w:ascii="Arial" w:cs="Arial" w:eastAsia="Arial" w:hAnsi="Arial"/>
                <w:sz w:val="18"/>
                <w:szCs w:val="18"/>
                <w:b w:val="1"/>
                <w:bCs w:val="1"/>
                <w:color w:val="auto"/>
              </w:rPr>
              <w:t>NewLake Capital Partners, Inc. (f/k/a</w:t>
            </w: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b w:val="1"/>
                <w:bCs w:val="1"/>
                <w:color w:val="auto"/>
                <w:w w:val="96"/>
              </w:rPr>
              <w:t>GreenAcreage Real Estate Corp.)**</w:t>
            </w:r>
          </w:p>
        </w:tc>
        <w:tc>
          <w:tcPr>
            <w:tcW w:w="30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center"/>
              <w:spacing w:after="0" w:line="196" w:lineRule="exact"/>
              <w:rPr>
                <w:sz w:val="20"/>
                <w:szCs w:val="20"/>
                <w:color w:val="auto"/>
              </w:rPr>
            </w:pPr>
            <w:r>
              <w:rPr>
                <w:rFonts w:ascii="Arial" w:cs="Arial" w:eastAsia="Arial" w:hAnsi="Arial"/>
                <w:sz w:val="18"/>
                <w:szCs w:val="18"/>
                <w:color w:val="auto"/>
                <w:w w:val="89"/>
              </w:rPr>
              <w:t>New Canaan, CT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gridSpan w:val="19"/>
            <w:shd w:val="clear" w:color="auto" w:fill="CCEEFF"/>
          </w:tcPr>
          <w:p>
            <w:pPr>
              <w:spacing w:after="0" w:line="256"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Cannabis REIT</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8/12/2019</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229,758</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4,678,686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3,680,723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75"/>
        </w:trPr>
        <w:tc>
          <w:tcPr>
            <w:tcW w:w="3200" w:type="dxa"/>
            <w:vAlign w:val="bottom"/>
            <w:gridSpan w:val="19"/>
          </w:tcPr>
          <w:p>
            <w:pPr>
              <w:spacing w:after="0" w:line="176" w:lineRule="exact"/>
              <w:rPr>
                <w:sz w:val="20"/>
                <w:szCs w:val="20"/>
                <w:color w:val="auto"/>
              </w:rPr>
            </w:pPr>
            <w:r>
              <w:rPr>
                <w:rFonts w:ascii="Arial" w:cs="Arial" w:eastAsia="Arial" w:hAnsi="Arial"/>
                <w:sz w:val="18"/>
                <w:szCs w:val="18"/>
                <w:b w:val="1"/>
                <w:bCs w:val="1"/>
                <w:color w:val="auto"/>
                <w:w w:val="95"/>
              </w:rPr>
              <w:t>Shogun Enterprises, Inc. (d/b/a Hearth)</w:t>
            </w:r>
          </w:p>
        </w:tc>
        <w:tc>
          <w:tcPr>
            <w:tcW w:w="20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6"/>
              </w:rPr>
              <w:t>Austin, TX</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Home Improvement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Series B-1</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Finance</w:t>
            </w: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2/26/2021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3,501,657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1,403,023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7"/>
        </w:trPr>
        <w:tc>
          <w:tcPr>
            <w:tcW w:w="3200" w:type="dxa"/>
            <w:vAlign w:val="bottom"/>
            <w:gridSpan w:val="19"/>
          </w:tcPr>
          <w:p>
            <w:pPr>
              <w:spacing w:after="0"/>
              <w:rPr>
                <w:sz w:val="20"/>
                <w:szCs w:val="20"/>
                <w:color w:val="auto"/>
              </w:rPr>
            </w:pPr>
            <w:r>
              <w:rPr>
                <w:rFonts w:ascii="Arial" w:cs="Arial" w:eastAsia="Arial" w:hAnsi="Arial"/>
                <w:sz w:val="18"/>
                <w:szCs w:val="18"/>
                <w:color w:val="auto"/>
              </w:rPr>
              <w:t>Preferred shares, Series B-2</w:t>
            </w: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2/26/2021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301,750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3,501,661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1,403,024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5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w w:val="96"/>
              </w:rPr>
              <w:t>Convertible Note 0.5%, Due 4/18/2024***</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5/2/2022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9"/>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7,503,318</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3,306,047</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6"/>
        </w:trPr>
        <w:tc>
          <w:tcPr>
            <w:tcW w:w="3200" w:type="dxa"/>
            <w:vAlign w:val="bottom"/>
            <w:gridSpan w:val="19"/>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True Global Ventures 4 Plus Pte Ltd**</w:t>
            </w:r>
            <w:r>
              <w:rPr>
                <w:rFonts w:ascii="Arial" w:cs="Arial" w:eastAsia="Arial" w:hAnsi="Arial"/>
                <w:sz w:val="25"/>
                <w:szCs w:val="25"/>
                <w:b w:val="1"/>
                <w:bCs w:val="1"/>
                <w:color w:val="auto"/>
                <w:vertAlign w:val="superscript"/>
              </w:rPr>
              <w:t>(8)</w:t>
            </w: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Singapore, Singapore</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Limited Partner Fund Investment</w:t>
            </w: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Venture Investment Fund</w:t>
            </w:r>
          </w:p>
        </w:tc>
        <w:tc>
          <w:tcPr>
            <w:tcW w:w="1100" w:type="dxa"/>
            <w:vAlign w:val="bottom"/>
            <w:tcBorders>
              <w:top w:val="single" w:sz="8" w:color="CCEEFF"/>
            </w:tcBorders>
            <w:gridSpan w:val="2"/>
          </w:tcPr>
          <w:p>
            <w:pPr>
              <w:jc w:val="center"/>
              <w:ind w:left="110"/>
              <w:spacing w:after="0"/>
              <w:rPr>
                <w:sz w:val="20"/>
                <w:szCs w:val="20"/>
                <w:color w:val="auto"/>
              </w:rPr>
            </w:pPr>
            <w:r>
              <w:rPr>
                <w:rFonts w:ascii="Arial" w:cs="Arial" w:eastAsia="Arial" w:hAnsi="Arial"/>
                <w:sz w:val="18"/>
                <w:szCs w:val="18"/>
                <w:color w:val="auto"/>
                <w:w w:val="92"/>
              </w:rPr>
              <w:t>8/27/2021</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3,063,358</w:t>
            </w: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75"/>
        </w:trPr>
        <w:tc>
          <w:tcPr>
            <w:tcW w:w="3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Residential Homes for Rent, LLC (d/b/a</w:t>
            </w: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20" w:type="dxa"/>
            <w:vAlign w:val="bottom"/>
            <w:tcBorders>
              <w:top w:val="single" w:sz="8" w:color="auto"/>
              <w:bottom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5"/>
              </w:rPr>
              <w:t>Second Avenue)</w:t>
            </w:r>
          </w:p>
        </w:tc>
        <w:tc>
          <w:tcPr>
            <w:tcW w:w="1860" w:type="dxa"/>
            <w:vAlign w:val="bottom"/>
            <w:tcBorders>
              <w:top w:val="single" w:sz="8" w:color="auto"/>
              <w:bottom w:val="single" w:sz="8" w:color="CCEEFF"/>
            </w:tcBorders>
            <w:gridSpan w:val="13"/>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200" w:type="dxa"/>
            <w:vAlign w:val="bottom"/>
            <w:gridSpan w:val="19"/>
          </w:tcPr>
          <w:p>
            <w:pPr>
              <w:spacing w:after="0" w:line="284" w:lineRule="exact"/>
              <w:rPr>
                <w:sz w:val="20"/>
                <w:szCs w:val="20"/>
                <w:color w:val="auto"/>
              </w:rPr>
            </w:pPr>
            <w:r>
              <w:rPr>
                <w:rFonts w:ascii="Arial" w:cs="Arial" w:eastAsia="Arial" w:hAnsi="Arial"/>
                <w:sz w:val="18"/>
                <w:szCs w:val="18"/>
                <w:color w:val="auto"/>
              </w:rPr>
              <w:t>Preferred shares, Series A</w:t>
            </w:r>
            <w:r>
              <w:rPr>
                <w:rFonts w:ascii="Arial" w:cs="Arial" w:eastAsia="Arial" w:hAnsi="Arial"/>
                <w:sz w:val="29"/>
                <w:szCs w:val="29"/>
                <w:color w:val="auto"/>
                <w:vertAlign w:val="superscript"/>
              </w:rPr>
              <w:t>(6)</w:t>
            </w:r>
          </w:p>
        </w:tc>
        <w:tc>
          <w:tcPr>
            <w:tcW w:w="2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Real Estate Platform</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12/23/2020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1,959,713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304"/>
        </w:trPr>
        <w:tc>
          <w:tcPr>
            <w:tcW w:w="3200" w:type="dxa"/>
            <w:vAlign w:val="bottom"/>
            <w:gridSpan w:val="19"/>
            <w:shd w:val="clear" w:color="auto" w:fill="CCEEFF"/>
          </w:tcPr>
          <w:p>
            <w:pPr>
              <w:spacing w:after="0" w:line="284" w:lineRule="exact"/>
              <w:rPr>
                <w:sz w:val="20"/>
                <w:szCs w:val="20"/>
                <w:color w:val="auto"/>
              </w:rPr>
            </w:pPr>
            <w:r>
              <w:rPr>
                <w:rFonts w:ascii="Arial" w:cs="Arial" w:eastAsia="Arial" w:hAnsi="Arial"/>
                <w:sz w:val="18"/>
                <w:szCs w:val="18"/>
                <w:color w:val="auto"/>
              </w:rPr>
              <w:t>Term loan 15%, Due 12/23/2023</w:t>
            </w:r>
            <w:r>
              <w:rPr>
                <w:rFonts w:ascii="Arial" w:cs="Arial" w:eastAsia="Arial" w:hAnsi="Arial"/>
                <w:sz w:val="29"/>
                <w:szCs w:val="29"/>
                <w:color w:val="auto"/>
                <w:vertAlign w:val="superscript"/>
              </w:rPr>
              <w:t>***(11)</w:t>
            </w:r>
          </w:p>
        </w:tc>
        <w:tc>
          <w:tcPr>
            <w:tcW w:w="2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12/23/2020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9"/>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2,500,000</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2,959,713</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5"/>
        </w:trPr>
        <w:tc>
          <w:tcPr>
            <w:tcW w:w="3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Trax Ltd.**</w:t>
            </w: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Singapore, Singapore</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0" w:type="dxa"/>
            <w:vAlign w:val="bottom"/>
            <w:gridSpan w:val="19"/>
          </w:tcPr>
          <w:p>
            <w:pPr>
              <w:spacing w:after="0"/>
              <w:rPr>
                <w:sz w:val="20"/>
                <w:szCs w:val="20"/>
                <w:color w:val="auto"/>
              </w:rPr>
            </w:pPr>
            <w:r>
              <w:rPr>
                <w:rFonts w:ascii="Arial" w:cs="Arial" w:eastAsia="Arial" w:hAnsi="Arial"/>
                <w:sz w:val="18"/>
                <w:szCs w:val="18"/>
                <w:color w:val="auto"/>
              </w:rPr>
              <w:t>Common shares</w:t>
            </w: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Retail Technology</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6/9/2021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55,591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2,781,148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280,797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56"/>
        </w:trPr>
        <w:tc>
          <w:tcPr>
            <w:tcW w:w="32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Preferred shares, Investec Series</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6/9/2021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144,409</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7,224,600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2,647,017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19"/>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10,005,748</w:t>
            </w:r>
          </w:p>
        </w:tc>
        <w:tc>
          <w:tcPr>
            <w:tcW w:w="3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2,927,814</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3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PayJoy, Inc.</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1"/>
              </w:rPr>
              <w:t>Mobile Access</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19"/>
          </w:tcPr>
          <w:p>
            <w:pPr>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7/23/2021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244,117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2,501,570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2,500,002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gridSpan w:val="1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Aventine Property Group, Inc.</w:t>
            </w:r>
          </w:p>
        </w:tc>
        <w:tc>
          <w:tcPr>
            <w:tcW w:w="840" w:type="dxa"/>
            <w:vAlign w:val="bottom"/>
            <w:tcBorders>
              <w:bottom w:val="single" w:sz="8" w:color="CCEEFF"/>
            </w:tcBorders>
            <w:gridSpan w:val="7"/>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Chicago, IL</w:t>
            </w: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200" w:type="dxa"/>
            <w:vAlign w:val="bottom"/>
            <w:gridSpan w:val="19"/>
          </w:tcPr>
          <w:p>
            <w:pPr>
              <w:spacing w:after="0" w:line="256"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w:t>
            </w:r>
          </w:p>
        </w:tc>
        <w:tc>
          <w:tcPr>
            <w:tcW w:w="2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Cannabis REIT</w:t>
            </w: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9/11/2019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312,500</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2,580,750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1,917,521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96"/>
        </w:trPr>
        <w:tc>
          <w:tcPr>
            <w:tcW w:w="32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Varo Money, Inc.**</w:t>
            </w: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Common shares</w:t>
            </w:r>
          </w:p>
        </w:tc>
        <w:tc>
          <w:tcPr>
            <w:tcW w:w="1700" w:type="dxa"/>
            <w:vAlign w:val="bottom"/>
            <w:tcBorders>
              <w:top w:val="single" w:sz="8" w:color="CCEEFF"/>
            </w:tcBorders>
            <w:gridSpan w:val="13"/>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Financial Services</w:t>
            </w:r>
          </w:p>
        </w:tc>
        <w:tc>
          <w:tcPr>
            <w:tcW w:w="1100" w:type="dxa"/>
            <w:vAlign w:val="bottom"/>
            <w:tcBorders>
              <w:top w:val="single" w:sz="8" w:color="CCEEFF"/>
            </w:tcBorders>
            <w:gridSpan w:val="2"/>
          </w:tcPr>
          <w:p>
            <w:pPr>
              <w:jc w:val="center"/>
              <w:ind w:left="130"/>
              <w:spacing w:after="0"/>
              <w:rPr>
                <w:sz w:val="20"/>
                <w:szCs w:val="20"/>
                <w:color w:val="auto"/>
              </w:rPr>
            </w:pPr>
            <w:r>
              <w:rPr>
                <w:rFonts w:ascii="Arial" w:cs="Arial" w:eastAsia="Arial" w:hAnsi="Arial"/>
                <w:sz w:val="18"/>
                <w:szCs w:val="18"/>
                <w:color w:val="auto"/>
                <w:w w:val="89"/>
              </w:rPr>
              <w:t>8/11/2021</w:t>
            </w: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1,079,266</w:t>
            </w: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8"/>
              </w:rPr>
              <w:t>10,005,548</w:t>
            </w: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1,286,783</w:t>
            </w:r>
          </w:p>
        </w:tc>
        <w:tc>
          <w:tcPr>
            <w:tcW w:w="1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28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285"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Portfolio Investments</w:t>
            </w:r>
            <w:r>
              <w:rPr>
                <w:rFonts w:ascii="Arial" w:cs="Arial" w:eastAsia="Arial" w:hAnsi="Arial"/>
                <w:sz w:val="29"/>
                <w:szCs w:val="29"/>
                <w:b w:val="1"/>
                <w:bCs w:val="1"/>
                <w:color w:val="auto"/>
                <w:vertAlign w:val="superscript"/>
              </w:rPr>
              <w:t>*</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Initial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100" w:type="dxa"/>
            <w:vAlign w:val="bottom"/>
            <w:gridSpan w:val="17"/>
            <w:vMerge w:val="continue"/>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5"/>
              </w:rPr>
              <w:t>Industry</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Principal</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Cost</w:t>
            </w: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0" w:type="dxa"/>
            <w:vAlign w:val="bottom"/>
          </w:tcPr>
          <w:p>
            <w:pPr>
              <w:spacing w:after="0"/>
              <w:rPr>
                <w:sz w:val="1"/>
                <w:szCs w:val="1"/>
                <w:color w:val="auto"/>
              </w:rPr>
            </w:pPr>
          </w:p>
        </w:tc>
      </w:tr>
      <w:tr>
        <w:trPr>
          <w:trHeight w:val="176"/>
        </w:trPr>
        <w:tc>
          <w:tcPr>
            <w:tcW w:w="3100" w:type="dxa"/>
            <w:vAlign w:val="bottom"/>
            <w:tcBorders>
              <w:top w:val="single" w:sz="8" w:color="auto"/>
            </w:tcBorders>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Skillsoft Corp.**</w:t>
            </w:r>
          </w:p>
        </w:tc>
        <w:tc>
          <w:tcPr>
            <w:tcW w:w="20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Nashua, NH</w:t>
            </w: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gridSpan w:val="17"/>
          </w:tcPr>
          <w:p>
            <w:pPr>
              <w:spacing w:after="0" w:line="256"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6/8/2021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981,843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9,818,430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1,276,396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0"/>
              </w:rPr>
              <w:t>Commercial Streaming Solutions Inc.</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3100" w:type="dxa"/>
            <w:vAlign w:val="bottom"/>
            <w:gridSpan w:val="17"/>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(d/b/a BettorView)</w:t>
            </w:r>
            <w:r>
              <w:rPr>
                <w:rFonts w:ascii="Arial" w:cs="Arial" w:eastAsia="Arial" w:hAnsi="Arial"/>
                <w:sz w:val="28"/>
                <w:szCs w:val="28"/>
                <w:b w:val="1"/>
                <w:bCs w:val="1"/>
                <w:color w:val="auto"/>
                <w:vertAlign w:val="superscript"/>
              </w:rPr>
              <w:t>(7)</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Las Vegas, NV</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4"/>
              </w:rPr>
              <w:t>Interactive Media &amp;</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Simple Agreement for Future Equity</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3/26/2021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1,004,240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auto"/>
            </w:tcBorders>
            <w:gridSpan w:val="1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Rebric, Inc. (d/b/a Compliable)</w:t>
            </w:r>
            <w:r>
              <w:rPr>
                <w:rFonts w:ascii="Arial" w:cs="Arial" w:eastAsia="Arial" w:hAnsi="Arial"/>
                <w:sz w:val="25"/>
                <w:szCs w:val="25"/>
                <w:b w:val="1"/>
                <w:bCs w:val="1"/>
                <w:color w:val="auto"/>
                <w:vertAlign w:val="superscript"/>
              </w:rPr>
              <w:t>(7)</w:t>
            </w:r>
          </w:p>
        </w:tc>
        <w:tc>
          <w:tcPr>
            <w:tcW w:w="520" w:type="dxa"/>
            <w:vAlign w:val="bottom"/>
            <w:tcBorders>
              <w:bottom w:val="single" w:sz="8" w:color="CCEEFF"/>
            </w:tcBorders>
            <w:gridSpan w:val="4"/>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Denver, CO</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Seed-4</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Gaming Licensing</w:t>
            </w:r>
          </w:p>
        </w:tc>
        <w:tc>
          <w:tcPr>
            <w:tcW w:w="10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10/12/2021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2,064,409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1,002,755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5"/>
        </w:trPr>
        <w:tc>
          <w:tcPr>
            <w:tcW w:w="2480" w:type="dxa"/>
            <w:vAlign w:val="bottom"/>
            <w:tcBorders>
              <w:bottom w:val="single" w:sz="8" w:color="auto"/>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Xgroup Holdings Limited (d/b/a</w:t>
            </w:r>
          </w:p>
        </w:tc>
        <w:tc>
          <w:tcPr>
            <w:tcW w:w="620" w:type="dxa"/>
            <w:vAlign w:val="bottom"/>
            <w:tcBorders>
              <w:bottom w:val="single" w:sz="8" w:color="CCEEFF"/>
            </w:tcBorders>
            <w:gridSpan w:val="6"/>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960" w:type="dxa"/>
            <w:vAlign w:val="bottom"/>
            <w:tcBorders>
              <w:bottom w:val="single" w:sz="8" w:color="auto"/>
            </w:tcBorders>
            <w:gridSpan w:val="2"/>
            <w:shd w:val="clear" w:color="auto" w:fill="CCEEFF"/>
          </w:tcPr>
          <w:p>
            <w:pPr>
              <w:spacing w:after="0" w:line="250" w:lineRule="exact"/>
              <w:rPr>
                <w:sz w:val="20"/>
                <w:szCs w:val="20"/>
                <w:color w:val="auto"/>
              </w:rPr>
            </w:pPr>
            <w:r>
              <w:rPr>
                <w:rFonts w:ascii="Arial" w:cs="Arial" w:eastAsia="Arial" w:hAnsi="Arial"/>
                <w:sz w:val="17"/>
                <w:szCs w:val="17"/>
                <w:b w:val="1"/>
                <w:bCs w:val="1"/>
                <w:color w:val="auto"/>
                <w:w w:val="99"/>
              </w:rPr>
              <w:t>Xpoint)**</w:t>
            </w:r>
            <w:r>
              <w:rPr>
                <w:rFonts w:ascii="Arial" w:cs="Arial" w:eastAsia="Arial" w:hAnsi="Arial"/>
                <w:sz w:val="28"/>
                <w:szCs w:val="28"/>
                <w:b w:val="1"/>
                <w:bCs w:val="1"/>
                <w:color w:val="auto"/>
                <w:w w:val="99"/>
                <w:vertAlign w:val="superscript"/>
              </w:rPr>
              <w:t>(7)</w:t>
            </w:r>
          </w:p>
        </w:tc>
        <w:tc>
          <w:tcPr>
            <w:tcW w:w="2140" w:type="dxa"/>
            <w:vAlign w:val="bottom"/>
            <w:tcBorders>
              <w:bottom w:val="single" w:sz="8" w:color="CCEEFF"/>
            </w:tcBorders>
            <w:gridSpan w:val="15"/>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Dubai, UAE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w w:val="98"/>
              </w:rPr>
              <w:t>Convertible Note 6%, Due 8/17/2023***</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Geolocation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8/17/2022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1,000,000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1,009,093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75"/>
        </w:trPr>
        <w:tc>
          <w:tcPr>
            <w:tcW w:w="2360" w:type="dxa"/>
            <w:vAlign w:val="bottom"/>
            <w:tcBorders>
              <w:bottom w:val="single" w:sz="8" w:color="auto"/>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YouBet Technology, Inc. (d/b/a</w:t>
            </w:r>
          </w:p>
        </w:tc>
        <w:tc>
          <w:tcPr>
            <w:tcW w:w="740" w:type="dxa"/>
            <w:vAlign w:val="bottom"/>
            <w:tcBorders>
              <w:bottom w:val="single" w:sz="8" w:color="CCEEFF"/>
            </w:tcBorders>
            <w:gridSpan w:val="7"/>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auto"/>
            </w:tcBorders>
            <w:gridSpan w:val="3"/>
            <w:shd w:val="clear" w:color="auto" w:fill="CCEEFF"/>
          </w:tcPr>
          <w:p>
            <w:pPr>
              <w:spacing w:after="0" w:line="236" w:lineRule="exact"/>
              <w:rPr>
                <w:sz w:val="20"/>
                <w:szCs w:val="20"/>
                <w:color w:val="auto"/>
              </w:rPr>
            </w:pPr>
            <w:r>
              <w:rPr>
                <w:rFonts w:ascii="Arial" w:cs="Arial" w:eastAsia="Arial" w:hAnsi="Arial"/>
                <w:sz w:val="17"/>
                <w:szCs w:val="17"/>
                <w:b w:val="1"/>
                <w:bCs w:val="1"/>
                <w:color w:val="auto"/>
                <w:w w:val="93"/>
              </w:rPr>
              <w:t>FanPower)</w:t>
            </w:r>
            <w:r>
              <w:rPr>
                <w:rFonts w:ascii="Arial" w:cs="Arial" w:eastAsia="Arial" w:hAnsi="Arial"/>
                <w:sz w:val="27"/>
                <w:szCs w:val="27"/>
                <w:b w:val="1"/>
                <w:bCs w:val="1"/>
                <w:color w:val="auto"/>
                <w:w w:val="93"/>
                <w:vertAlign w:val="superscript"/>
              </w:rPr>
              <w:t>(7)</w:t>
            </w:r>
          </w:p>
        </w:tc>
        <w:tc>
          <w:tcPr>
            <w:tcW w:w="2060" w:type="dxa"/>
            <w:vAlign w:val="bottom"/>
            <w:tcBorders>
              <w:bottom w:val="single" w:sz="8" w:color="CCEEFF"/>
            </w:tcBorders>
            <w:gridSpan w:val="14"/>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Seed-2</w:t>
            </w:r>
          </w:p>
        </w:tc>
        <w:tc>
          <w:tcPr>
            <w:tcW w:w="210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Digital Media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8/26/2021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578,029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752,943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749,998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0"/>
        </w:trPr>
        <w:tc>
          <w:tcPr>
            <w:tcW w:w="1780" w:type="dxa"/>
            <w:vAlign w:val="bottom"/>
            <w:tcBorders>
              <w:bottom w:val="single" w:sz="8" w:color="auto"/>
            </w:tcBorders>
            <w:gridSpan w:val="8"/>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EDGE Markets, Inc.</w:t>
            </w:r>
            <w:r>
              <w:rPr>
                <w:rFonts w:ascii="Arial" w:cs="Arial" w:eastAsia="Arial" w:hAnsi="Arial"/>
                <w:sz w:val="26"/>
                <w:szCs w:val="26"/>
                <w:b w:val="1"/>
                <w:bCs w:val="1"/>
                <w:color w:val="auto"/>
                <w:vertAlign w:val="superscript"/>
              </w:rPr>
              <w:t>(7)</w:t>
            </w:r>
          </w:p>
        </w:tc>
        <w:tc>
          <w:tcPr>
            <w:tcW w:w="1320" w:type="dxa"/>
            <w:vAlign w:val="bottom"/>
            <w:tcBorders>
              <w:bottom w:val="single" w:sz="8" w:color="CCEEFF"/>
            </w:tcBorders>
            <w:gridSpan w:val="9"/>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San Diego, CA</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Preferred shares, Series Seed</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Gaming Technology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5/18/2022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456,704</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501,330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Churchill Sponsor VII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292,100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205,820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205,820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0"/>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94,180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300,000</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6"/>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AltC Sponsor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7/21/2021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239,300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250,855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31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Rent the Runway, Inc.**</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00" w:type="dxa"/>
            <w:vAlign w:val="bottom"/>
            <w:tcBorders>
              <w:top w:val="single" w:sz="8" w:color="auto"/>
            </w:tcBorders>
            <w:gridSpan w:val="9"/>
            <w:vMerge w:val="restart"/>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1200" w:type="dxa"/>
            <w:vAlign w:val="bottom"/>
            <w:tcBorders>
              <w:top w:val="single" w:sz="8" w:color="CCEEFF"/>
            </w:tcBorders>
            <w:gridSpan w:val="8"/>
            <w:vMerge w:val="restart"/>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90"/>
              </w:rPr>
              <w:t>Subscription Fashion</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9"/>
            <w:vMerge w:val="continue"/>
          </w:tcPr>
          <w:p>
            <w:pPr>
              <w:spacing w:after="0"/>
              <w:rPr>
                <w:sz w:val="20"/>
                <w:szCs w:val="20"/>
                <w:color w:val="auto"/>
              </w:rPr>
            </w:pPr>
          </w:p>
        </w:tc>
        <w:tc>
          <w:tcPr>
            <w:tcW w:w="1200" w:type="dxa"/>
            <w:vAlign w:val="bottom"/>
            <w:gridSpan w:val="8"/>
            <w:vMerge w:val="continue"/>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Rental</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6/17/2020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79,191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1,203,293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241,533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3100" w:type="dxa"/>
            <w:vAlign w:val="bottom"/>
            <w:gridSpan w:val="17"/>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Churchill Sponsor VI LLC**</w:t>
            </w:r>
            <w:r>
              <w:rPr>
                <w:rFonts w:ascii="Arial" w:cs="Arial" w:eastAsia="Arial" w:hAnsi="Arial"/>
                <w:sz w:val="25"/>
                <w:szCs w:val="25"/>
                <w:b w:val="1"/>
                <w:bCs w:val="1"/>
                <w:color w:val="auto"/>
                <w:vertAlign w:val="superscript"/>
              </w:rPr>
              <w:t>(12)</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17"/>
          </w:tcPr>
          <w:p>
            <w:pPr>
              <w:spacing w:after="0"/>
              <w:rPr>
                <w:sz w:val="20"/>
                <w:szCs w:val="20"/>
                <w:color w:val="auto"/>
              </w:rPr>
            </w:pPr>
            <w:r>
              <w:rPr>
                <w:rFonts w:ascii="Arial" w:cs="Arial" w:eastAsia="Arial" w:hAnsi="Arial"/>
                <w:sz w:val="18"/>
                <w:szCs w:val="18"/>
                <w:color w:val="auto"/>
              </w:rPr>
              <w:t>Common share units</w:t>
            </w:r>
          </w:p>
        </w:tc>
        <w:tc>
          <w:tcPr>
            <w:tcW w:w="2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Acquisition Company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195,000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134,297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134,297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0"/>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Warrant units</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2/25/2021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65,703</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gridSpan w:val="17"/>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9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200,000</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0.10</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Kahoot! ASA**</w:t>
            </w:r>
          </w:p>
        </w:tc>
        <w:tc>
          <w:tcPr>
            <w:tcW w:w="1880" w:type="dxa"/>
            <w:vAlign w:val="bottom"/>
            <w:tcBorders>
              <w:bottom w:val="single" w:sz="8" w:color="CCEEFF"/>
            </w:tcBorders>
            <w:gridSpan w:val="12"/>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Oslo, Norway</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gridSpan w:val="17"/>
          </w:tcPr>
          <w:p>
            <w:pPr>
              <w:spacing w:after="0" w:line="256"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w:t>
            </w:r>
          </w:p>
        </w:tc>
        <w:tc>
          <w:tcPr>
            <w:tcW w:w="2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Education Software</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12/5/2014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38,305</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176,067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72,888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gridSpan w:val="15"/>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Neutron Holdings, Inc. (d/b/a/ Lime)</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17"/>
          </w:tcPr>
          <w:p>
            <w:pPr>
              <w:spacing w:after="0"/>
              <w:rPr>
                <w:sz w:val="20"/>
                <w:szCs w:val="20"/>
                <w:color w:val="auto"/>
              </w:rPr>
            </w:pPr>
            <w:r>
              <w:rPr>
                <w:rFonts w:ascii="Arial" w:cs="Arial" w:eastAsia="Arial" w:hAnsi="Arial"/>
                <w:sz w:val="18"/>
                <w:szCs w:val="18"/>
                <w:color w:val="auto"/>
              </w:rPr>
              <w:t>Junior Preferred shares, Series 1-D</w:t>
            </w:r>
          </w:p>
        </w:tc>
        <w:tc>
          <w:tcPr>
            <w:tcW w:w="2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Micromobility</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1/25/2019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41,237,113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10,007,322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1"/>
              </w:rPr>
              <w:t>Junior Preferred Convertible Note 4% Due</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960" w:type="dxa"/>
            <w:vAlign w:val="bottom"/>
            <w:gridSpan w:val="2"/>
            <w:shd w:val="clear" w:color="auto" w:fill="CCEEFF"/>
          </w:tcPr>
          <w:p>
            <w:pPr>
              <w:spacing w:after="0" w:line="299" w:lineRule="exact"/>
              <w:rPr>
                <w:sz w:val="20"/>
                <w:szCs w:val="20"/>
                <w:color w:val="auto"/>
              </w:rPr>
            </w:pPr>
            <w:r>
              <w:rPr>
                <w:rFonts w:ascii="Arial" w:cs="Arial" w:eastAsia="Arial" w:hAnsi="Arial"/>
                <w:sz w:val="18"/>
                <w:szCs w:val="18"/>
                <w:color w:val="auto"/>
                <w:w w:val="90"/>
              </w:rPr>
              <w:t>5/11/2027</w:t>
            </w:r>
            <w:r>
              <w:rPr>
                <w:rFonts w:ascii="Arial" w:cs="Arial" w:eastAsia="Arial" w:hAnsi="Arial"/>
                <w:sz w:val="29"/>
                <w:szCs w:val="29"/>
                <w:color w:val="auto"/>
                <w:w w:val="90"/>
                <w:vertAlign w:val="superscript"/>
              </w:rPr>
              <w:t>(4)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5/11/2020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506,339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506,339</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00" w:type="dxa"/>
            <w:vAlign w:val="bottom"/>
            <w:gridSpan w:val="17"/>
          </w:tcPr>
          <w:p>
            <w:pPr>
              <w:spacing w:after="0" w:line="201" w:lineRule="exact"/>
              <w:rPr>
                <w:sz w:val="20"/>
                <w:szCs w:val="20"/>
                <w:color w:val="auto"/>
              </w:rPr>
            </w:pPr>
            <w:r>
              <w:rPr>
                <w:rFonts w:ascii="Arial" w:cs="Arial" w:eastAsia="Arial" w:hAnsi="Arial"/>
                <w:sz w:val="18"/>
                <w:szCs w:val="18"/>
                <w:color w:val="auto"/>
                <w:w w:val="99"/>
              </w:rPr>
              <w:t>Common Warrants, Strike Price $0.01,</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100" w:type="dxa"/>
            <w:vAlign w:val="bottom"/>
            <w:gridSpan w:val="17"/>
          </w:tcPr>
          <w:p>
            <w:pPr>
              <w:spacing w:after="0"/>
              <w:rPr>
                <w:sz w:val="20"/>
                <w:szCs w:val="20"/>
                <w:color w:val="auto"/>
              </w:rPr>
            </w:pPr>
            <w:r>
              <w:rPr>
                <w:rFonts w:ascii="Arial" w:cs="Arial" w:eastAsia="Arial" w:hAnsi="Arial"/>
                <w:sz w:val="18"/>
                <w:szCs w:val="18"/>
                <w:color w:val="auto"/>
              </w:rPr>
              <w:t>Expiration Date 5/11/2027</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5/11/2020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2,032,967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bottom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10,513,661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100" w:type="dxa"/>
            <w:vAlign w:val="bottom"/>
            <w:gridSpan w:val="17"/>
          </w:tcPr>
          <w:p>
            <w:pPr>
              <w:spacing w:after="0" w:line="163" w:lineRule="exact"/>
              <w:rPr>
                <w:sz w:val="20"/>
                <w:szCs w:val="20"/>
                <w:color w:val="auto"/>
              </w:rPr>
            </w:pPr>
            <w:r>
              <w:rPr>
                <w:rFonts w:ascii="Arial" w:cs="Arial" w:eastAsia="Arial" w:hAnsi="Arial"/>
                <w:sz w:val="18"/>
                <w:szCs w:val="18"/>
                <w:b w:val="1"/>
                <w:bCs w:val="1"/>
                <w:color w:val="auto"/>
              </w:rPr>
              <w:t>Fullbridge, Inc.</w:t>
            </w:r>
          </w:p>
        </w:tc>
        <w:tc>
          <w:tcPr>
            <w:tcW w:w="200" w:type="dxa"/>
            <w:vAlign w:val="bottom"/>
          </w:tcPr>
          <w:p>
            <w:pPr>
              <w:spacing w:after="0"/>
              <w:rPr>
                <w:sz w:val="14"/>
                <w:szCs w:val="14"/>
                <w:color w:val="auto"/>
              </w:rPr>
            </w:pPr>
          </w:p>
        </w:tc>
        <w:tc>
          <w:tcPr>
            <w:tcW w:w="1900" w:type="dxa"/>
            <w:vAlign w:val="bottom"/>
          </w:tcPr>
          <w:p>
            <w:pPr>
              <w:jc w:val="center"/>
              <w:spacing w:after="0" w:line="163" w:lineRule="exact"/>
              <w:rPr>
                <w:sz w:val="20"/>
                <w:szCs w:val="20"/>
                <w:color w:val="auto"/>
              </w:rPr>
            </w:pPr>
            <w:r>
              <w:rPr>
                <w:rFonts w:ascii="Arial" w:cs="Arial" w:eastAsia="Arial" w:hAnsi="Arial"/>
                <w:sz w:val="18"/>
                <w:szCs w:val="18"/>
                <w:color w:val="auto"/>
                <w:w w:val="94"/>
              </w:rPr>
              <w:t>Cambridge, MA</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Business Education</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5/13/2012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517,917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6,150,506</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3100" w:type="dxa"/>
            <w:vAlign w:val="bottom"/>
            <w:gridSpan w:val="17"/>
          </w:tcPr>
          <w:p>
            <w:pPr>
              <w:spacing w:after="0" w:line="253" w:lineRule="exact"/>
              <w:rPr>
                <w:sz w:val="20"/>
                <w:szCs w:val="20"/>
                <w:color w:val="auto"/>
              </w:rPr>
            </w:pPr>
            <w:r>
              <w:rPr>
                <w:rFonts w:ascii="Arial" w:cs="Arial" w:eastAsia="Arial" w:hAnsi="Arial"/>
                <w:sz w:val="18"/>
                <w:szCs w:val="18"/>
                <w:color w:val="auto"/>
                <w:w w:val="90"/>
              </w:rPr>
              <w:t>Promissory Note 1.47%, Due 11/9/2021</w:t>
            </w:r>
            <w:r>
              <w:rPr>
                <w:rFonts w:ascii="Arial" w:cs="Arial" w:eastAsia="Arial" w:hAnsi="Arial"/>
                <w:sz w:val="29"/>
                <w:szCs w:val="29"/>
                <w:color w:val="auto"/>
                <w:w w:val="90"/>
                <w:vertAlign w:val="superscript"/>
              </w:rPr>
              <w:t>(4)</w:t>
            </w:r>
          </w:p>
        </w:tc>
        <w:tc>
          <w:tcPr>
            <w:tcW w:w="2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80" w:type="dxa"/>
            <w:vAlign w:val="bottom"/>
            <w:gridSpan w:val="2"/>
            <w:vMerge w:val="restart"/>
          </w:tcPr>
          <w:p>
            <w:pPr>
              <w:jc w:val="center"/>
              <w:ind w:left="110"/>
              <w:spacing w:after="0"/>
              <w:rPr>
                <w:sz w:val="20"/>
                <w:szCs w:val="20"/>
                <w:color w:val="auto"/>
              </w:rPr>
            </w:pPr>
            <w:r>
              <w:rPr>
                <w:rFonts w:ascii="Arial" w:cs="Arial" w:eastAsia="Arial" w:hAnsi="Arial"/>
                <w:sz w:val="18"/>
                <w:szCs w:val="18"/>
                <w:color w:val="auto"/>
                <w:w w:val="91"/>
              </w:rPr>
              <w:t>3/3/2016</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9"/>
              </w:rPr>
              <w:t>2,270,458</w:t>
            </w: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2,270,858</w:t>
            </w: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800" w:type="dxa"/>
            <w:vAlign w:val="bottom"/>
          </w:tcPr>
          <w:p>
            <w:pPr>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00" w:type="dxa"/>
            <w:vAlign w:val="bottom"/>
            <w:tcBorders>
              <w:top w:val="single" w:sz="8" w:color="CCEEFF"/>
              <w:bottom w:val="single" w:sz="8" w:color="CCEEFF"/>
            </w:tcBorders>
            <w:gridSpan w:val="17"/>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9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8,421,364</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49"/>
        </w:trPr>
        <w:tc>
          <w:tcPr>
            <w:tcW w:w="2620" w:type="dxa"/>
            <w:vAlign w:val="bottom"/>
            <w:tcBorders>
              <w:bottom w:val="single" w:sz="8" w:color="auto"/>
            </w:tcBorders>
            <w:gridSpan w:val="14"/>
          </w:tcPr>
          <w:p>
            <w:pPr>
              <w:spacing w:after="0" w:line="149" w:lineRule="exact"/>
              <w:rPr>
                <w:sz w:val="20"/>
                <w:szCs w:val="20"/>
                <w:color w:val="auto"/>
              </w:rPr>
            </w:pPr>
            <w:r>
              <w:rPr>
                <w:rFonts w:ascii="Arial" w:cs="Arial" w:eastAsia="Arial" w:hAnsi="Arial"/>
                <w:sz w:val="17"/>
                <w:szCs w:val="17"/>
                <w:b w:val="1"/>
                <w:bCs w:val="1"/>
                <w:color w:val="auto"/>
                <w:w w:val="93"/>
              </w:rPr>
              <w:t>Treehouse Real Estate Investment</w:t>
            </w:r>
          </w:p>
        </w:tc>
        <w:tc>
          <w:tcPr>
            <w:tcW w:w="48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gridSpan w:val="17"/>
          </w:tcPr>
          <w:p>
            <w:pPr>
              <w:spacing w:after="0" w:line="196" w:lineRule="exact"/>
              <w:rPr>
                <w:sz w:val="20"/>
                <w:szCs w:val="20"/>
                <w:color w:val="auto"/>
              </w:rPr>
            </w:pPr>
            <w:r>
              <w:rPr>
                <w:rFonts w:ascii="Arial" w:cs="Arial" w:eastAsia="Arial" w:hAnsi="Arial"/>
                <w:sz w:val="18"/>
                <w:szCs w:val="18"/>
                <w:b w:val="1"/>
                <w:bCs w:val="1"/>
                <w:color w:val="auto"/>
              </w:rPr>
              <w:t>Trust, Inc.</w:t>
            </w:r>
          </w:p>
        </w:tc>
        <w:tc>
          <w:tcPr>
            <w:tcW w:w="200" w:type="dxa"/>
            <w:vAlign w:val="bottom"/>
          </w:tcPr>
          <w:p>
            <w:pPr>
              <w:spacing w:after="0"/>
              <w:rPr>
                <w:sz w:val="17"/>
                <w:szCs w:val="17"/>
                <w:color w:val="auto"/>
              </w:rPr>
            </w:pPr>
          </w:p>
        </w:tc>
        <w:tc>
          <w:tcPr>
            <w:tcW w:w="1900" w:type="dxa"/>
            <w:vAlign w:val="bottom"/>
          </w:tcPr>
          <w:p>
            <w:pPr>
              <w:jc w:val="center"/>
              <w:spacing w:after="0" w:line="196" w:lineRule="exact"/>
              <w:rPr>
                <w:sz w:val="20"/>
                <w:szCs w:val="20"/>
                <w:color w:val="auto"/>
              </w:rPr>
            </w:pPr>
            <w:r>
              <w:rPr>
                <w:rFonts w:ascii="Arial" w:cs="Arial" w:eastAsia="Arial" w:hAnsi="Arial"/>
                <w:sz w:val="18"/>
                <w:szCs w:val="18"/>
                <w:color w:val="auto"/>
                <w:w w:val="94"/>
              </w:rPr>
              <w:t>Chicago, IL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Cannabis REIT</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9/11/2019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312,500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4,919,250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00" w:type="dxa"/>
            <w:vAlign w:val="bottom"/>
            <w:gridSpan w:val="17"/>
          </w:tcPr>
          <w:p>
            <w:pPr>
              <w:spacing w:after="0" w:line="176" w:lineRule="exact"/>
              <w:rPr>
                <w:sz w:val="20"/>
                <w:szCs w:val="20"/>
                <w:color w:val="auto"/>
              </w:rPr>
            </w:pPr>
            <w:r>
              <w:rPr>
                <w:rFonts w:ascii="Arial" w:cs="Arial" w:eastAsia="Arial" w:hAnsi="Arial"/>
                <w:sz w:val="18"/>
                <w:szCs w:val="18"/>
                <w:b w:val="1"/>
                <w:bCs w:val="1"/>
                <w:color w:val="auto"/>
              </w:rPr>
              <w:t>Kinetiq Holdings, LLC</w:t>
            </w:r>
          </w:p>
        </w:tc>
        <w:tc>
          <w:tcPr>
            <w:tcW w:w="20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color w:val="auto"/>
                <w:w w:val="90"/>
              </w:rPr>
              <w:t>Philadelphia, PA</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Common shares, Class A</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Social Data Platform</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3/30/2012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112,374</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17"/>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Non-controlled/Non-affiliate</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$155,103,810</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$130,901,546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9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966"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Portfolio Investments</w:t>
            </w:r>
            <w:r>
              <w:rPr>
                <w:rFonts w:ascii="Arial" w:cs="Arial" w:eastAsia="Arial" w:hAnsi="Arial"/>
                <w:sz w:val="29"/>
                <w:szCs w:val="29"/>
                <w:b w:val="1"/>
                <w:bCs w:val="1"/>
                <w:color w:val="auto"/>
                <w:vertAlign w:val="superscript"/>
              </w:rPr>
              <w:t>*</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2"/>
              </w:rPr>
              <w:t>Headquarters/</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Initial</w:t>
            </w:r>
          </w:p>
        </w:tc>
        <w:tc>
          <w:tcPr>
            <w:tcW w:w="2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 of Net</w:t>
            </w:r>
          </w:p>
        </w:tc>
        <w:tc>
          <w:tcPr>
            <w:tcW w:w="0" w:type="dxa"/>
            <w:vAlign w:val="bottom"/>
          </w:tcPr>
          <w:p>
            <w:pPr>
              <w:spacing w:after="0"/>
              <w:rPr>
                <w:sz w:val="1"/>
                <w:szCs w:val="1"/>
                <w:color w:val="auto"/>
              </w:rPr>
            </w:pPr>
          </w:p>
        </w:tc>
      </w:tr>
      <w:tr>
        <w:trPr>
          <w:trHeight w:val="241"/>
        </w:trPr>
        <w:tc>
          <w:tcPr>
            <w:tcW w:w="3200" w:type="dxa"/>
            <w:vAlign w:val="bottom"/>
            <w:gridSpan w:val="6"/>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5"/>
              </w:rPr>
              <w:t>Industry</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Principal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Fair Value</w:t>
            </w:r>
          </w:p>
        </w:tc>
        <w:tc>
          <w:tcPr>
            <w:tcW w:w="9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0" w:type="dxa"/>
            <w:vAlign w:val="bottom"/>
          </w:tcPr>
          <w:p>
            <w:pPr>
              <w:spacing w:after="0"/>
              <w:rPr>
                <w:sz w:val="1"/>
                <w:szCs w:val="1"/>
                <w:color w:val="auto"/>
              </w:rPr>
            </w:pPr>
          </w:p>
        </w:tc>
      </w:tr>
      <w:tr>
        <w:trPr>
          <w:trHeight w:val="257"/>
        </w:trPr>
        <w:tc>
          <w:tcPr>
            <w:tcW w:w="3200" w:type="dxa"/>
            <w:vAlign w:val="bottom"/>
            <w:tcBorders>
              <w:top w:val="single" w:sz="8" w:color="auto"/>
            </w:tcBorders>
            <w:gridSpan w:val="6"/>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NON-CONTROLLED/AFFILIATE</w:t>
            </w:r>
            <w:r>
              <w:rPr>
                <w:rFonts w:ascii="Arial" w:cs="Arial" w:eastAsia="Arial" w:hAnsi="Arial"/>
                <w:sz w:val="29"/>
                <w:szCs w:val="29"/>
                <w:b w:val="1"/>
                <w:bCs w:val="1"/>
                <w:color w:val="auto"/>
                <w:vertAlign w:val="superscript"/>
              </w:rPr>
              <w:t>(1)</w:t>
            </w:r>
          </w:p>
        </w:tc>
        <w:tc>
          <w:tcPr>
            <w:tcW w:w="200" w:type="dxa"/>
            <w:vAlign w:val="bottom"/>
            <w:tcBorders>
              <w:top w:val="single" w:sz="8" w:color="CCEEFF"/>
            </w:tcBorders>
            <w:shd w:val="clear" w:color="auto" w:fill="CCEEFF"/>
          </w:tcPr>
          <w:p>
            <w:pPr>
              <w:spacing w:after="0"/>
              <w:rPr>
                <w:sz w:val="22"/>
                <w:szCs w:val="22"/>
                <w:color w:val="auto"/>
              </w:rPr>
            </w:pPr>
          </w:p>
        </w:tc>
        <w:tc>
          <w:tcPr>
            <w:tcW w:w="18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00" w:type="dxa"/>
            <w:vAlign w:val="bottom"/>
            <w:gridSpan w:val="6"/>
          </w:tcPr>
          <w:p>
            <w:pPr>
              <w:spacing w:after="0" w:line="230" w:lineRule="exact"/>
              <w:rPr>
                <w:sz w:val="20"/>
                <w:szCs w:val="20"/>
                <w:color w:val="auto"/>
              </w:rPr>
            </w:pPr>
            <w:r>
              <w:rPr>
                <w:rFonts w:ascii="Arial" w:cs="Arial" w:eastAsia="Arial" w:hAnsi="Arial"/>
                <w:sz w:val="16"/>
                <w:szCs w:val="16"/>
                <w:b w:val="1"/>
                <w:bCs w:val="1"/>
                <w:color w:val="auto"/>
              </w:rPr>
              <w:t>StormWind, LLC</w:t>
            </w:r>
            <w:r>
              <w:rPr>
                <w:rFonts w:ascii="Arial" w:cs="Arial" w:eastAsia="Arial" w:hAnsi="Arial"/>
                <w:sz w:val="26"/>
                <w:szCs w:val="26"/>
                <w:b w:val="1"/>
                <w:bCs w:val="1"/>
                <w:color w:val="auto"/>
                <w:vertAlign w:val="superscript"/>
              </w:rPr>
              <w:t>(5)</w:t>
            </w:r>
          </w:p>
        </w:tc>
        <w:tc>
          <w:tcPr>
            <w:tcW w:w="2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Scottsdale, AZ</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Preferred shares, Series D 8%</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Interactive Learning</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11/26/2019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329,337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257,267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533,429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3200" w:type="dxa"/>
            <w:vAlign w:val="bottom"/>
            <w:gridSpan w:val="6"/>
          </w:tcPr>
          <w:p>
            <w:pPr>
              <w:spacing w:after="0"/>
              <w:rPr>
                <w:sz w:val="20"/>
                <w:szCs w:val="20"/>
                <w:color w:val="auto"/>
              </w:rPr>
            </w:pPr>
            <w:r>
              <w:rPr>
                <w:rFonts w:ascii="Arial" w:cs="Arial" w:eastAsia="Arial" w:hAnsi="Arial"/>
                <w:sz w:val="18"/>
                <w:szCs w:val="18"/>
                <w:color w:val="auto"/>
              </w:rPr>
              <w:t>Preferred shares, Series C 8%</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1/7/2014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2,779,134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4,000,787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5,675,081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Preferred shares, Series B 8%</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12/16/2011</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3,279,629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3,550,631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3200" w:type="dxa"/>
            <w:vAlign w:val="bottom"/>
            <w:gridSpan w:val="6"/>
          </w:tcPr>
          <w:p>
            <w:pPr>
              <w:spacing w:after="0"/>
              <w:rPr>
                <w:sz w:val="20"/>
                <w:szCs w:val="20"/>
                <w:color w:val="auto"/>
              </w:rPr>
            </w:pPr>
            <w:r>
              <w:rPr>
                <w:rFonts w:ascii="Arial" w:cs="Arial" w:eastAsia="Arial" w:hAnsi="Arial"/>
                <w:sz w:val="18"/>
                <w:szCs w:val="18"/>
                <w:color w:val="auto"/>
              </w:rPr>
              <w:t>Preferred shares, Series A 8%</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2/25/2014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366,666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110,000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191,694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6,387,741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9,950,835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6"/>
          </w:tcPr>
          <w:p>
            <w:pPr>
              <w:spacing w:after="0" w:line="163" w:lineRule="exact"/>
              <w:rPr>
                <w:sz w:val="20"/>
                <w:szCs w:val="20"/>
                <w:color w:val="auto"/>
              </w:rPr>
            </w:pPr>
            <w:r>
              <w:rPr>
                <w:rFonts w:ascii="Arial" w:cs="Arial" w:eastAsia="Arial" w:hAnsi="Arial"/>
                <w:sz w:val="18"/>
                <w:szCs w:val="18"/>
                <w:b w:val="1"/>
                <w:bCs w:val="1"/>
                <w:color w:val="auto"/>
              </w:rPr>
              <w:t>OneValley, Inc. (f/k/a NestGSV, Inc.)</w:t>
            </w:r>
          </w:p>
        </w:tc>
        <w:tc>
          <w:tcPr>
            <w:tcW w:w="200" w:type="dxa"/>
            <w:vAlign w:val="bottom"/>
          </w:tcPr>
          <w:p>
            <w:pPr>
              <w:spacing w:after="0"/>
              <w:rPr>
                <w:sz w:val="14"/>
                <w:szCs w:val="14"/>
                <w:color w:val="auto"/>
              </w:rPr>
            </w:pPr>
          </w:p>
        </w:tc>
        <w:tc>
          <w:tcPr>
            <w:tcW w:w="1840" w:type="dxa"/>
            <w:vAlign w:val="bottom"/>
          </w:tcPr>
          <w:p>
            <w:pPr>
              <w:jc w:val="center"/>
              <w:spacing w:after="0" w:line="163" w:lineRule="exact"/>
              <w:rPr>
                <w:sz w:val="20"/>
                <w:szCs w:val="20"/>
                <w:color w:val="auto"/>
              </w:rPr>
            </w:pPr>
            <w:r>
              <w:rPr>
                <w:rFonts w:ascii="Arial" w:cs="Arial" w:eastAsia="Arial" w:hAnsi="Arial"/>
                <w:sz w:val="18"/>
                <w:szCs w:val="18"/>
                <w:color w:val="auto"/>
                <w:w w:val="91"/>
              </w:rPr>
              <w:t>San Mateo, CA</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Derivative Security, Expiration Date</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Global Innovation</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8/23/2024</w:t>
            </w:r>
            <w:r>
              <w:rPr>
                <w:rFonts w:ascii="Arial" w:cs="Arial" w:eastAsia="Arial" w:hAnsi="Arial"/>
                <w:sz w:val="29"/>
                <w:szCs w:val="29"/>
                <w:color w:val="auto"/>
                <w:vertAlign w:val="superscript"/>
              </w:rPr>
              <w:t>(10)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Platform</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8/23/2019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8,555,124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652,127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3"/>
        </w:trPr>
        <w:tc>
          <w:tcPr>
            <w:tcW w:w="3200" w:type="dxa"/>
            <w:vAlign w:val="bottom"/>
            <w:gridSpan w:val="6"/>
          </w:tcPr>
          <w:p>
            <w:pPr>
              <w:spacing w:after="0"/>
              <w:rPr>
                <w:sz w:val="20"/>
                <w:szCs w:val="20"/>
                <w:color w:val="auto"/>
              </w:rPr>
            </w:pPr>
            <w:r>
              <w:rPr>
                <w:rFonts w:ascii="Arial" w:cs="Arial" w:eastAsia="Arial" w:hAnsi="Arial"/>
                <w:sz w:val="18"/>
                <w:szCs w:val="18"/>
                <w:color w:val="auto"/>
              </w:rPr>
              <w:t>Convertible Promissory Note 8% Due</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240" w:type="dxa"/>
            <w:vAlign w:val="bottom"/>
          </w:tcPr>
          <w:p>
            <w:pPr>
              <w:spacing w:after="0" w:line="273" w:lineRule="exact"/>
              <w:rPr>
                <w:sz w:val="20"/>
                <w:szCs w:val="20"/>
                <w:color w:val="auto"/>
              </w:rPr>
            </w:pPr>
            <w:r>
              <w:rPr>
                <w:rFonts w:ascii="Arial" w:cs="Arial" w:eastAsia="Arial" w:hAnsi="Arial"/>
                <w:sz w:val="18"/>
                <w:szCs w:val="18"/>
                <w:color w:val="auto"/>
                <w:w w:val="88"/>
              </w:rPr>
              <w:t>8/23/2024</w:t>
            </w:r>
            <w:r>
              <w:rPr>
                <w:rFonts w:ascii="Arial" w:cs="Arial" w:eastAsia="Arial" w:hAnsi="Arial"/>
                <w:sz w:val="29"/>
                <w:szCs w:val="29"/>
                <w:color w:val="auto"/>
                <w:w w:val="88"/>
                <w:vertAlign w:val="superscript"/>
              </w:rPr>
              <w:t>(4)(10)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2/17/2016</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$ 1,010,198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1,030,176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1,988,200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2"/>
        </w:trPr>
        <w:tc>
          <w:tcPr>
            <w:tcW w:w="32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Warrant Series B, Strike Price</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$2.31, Expiration Date 12/31/2023</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12/31/2018</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bottom w:val="single" w:sz="8" w:color="CCEEFF"/>
            </w:tcBorders>
            <w:gridSpan w:val="6"/>
          </w:tcPr>
          <w:p>
            <w:pPr>
              <w:ind w:left="18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9,590,380</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2,640,327</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Ozy Media, Inc.</w:t>
            </w:r>
          </w:p>
        </w:tc>
        <w:tc>
          <w:tcPr>
            <w:tcW w:w="1960" w:type="dxa"/>
            <w:vAlign w:val="bottom"/>
            <w:tcBorders>
              <w:bottom w:val="single" w:sz="8" w:color="CCEEFF"/>
            </w:tcBorders>
            <w:gridSpan w:val="5"/>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Mountain View, CA</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6"/>
          </w:tcPr>
          <w:p>
            <w:pPr>
              <w:spacing w:after="0"/>
              <w:rPr>
                <w:sz w:val="20"/>
                <w:szCs w:val="20"/>
                <w:color w:val="auto"/>
              </w:rPr>
            </w:pPr>
            <w:r>
              <w:rPr>
                <w:rFonts w:ascii="Arial" w:cs="Arial" w:eastAsia="Arial" w:hAnsi="Arial"/>
                <w:sz w:val="18"/>
                <w:szCs w:val="18"/>
                <w:color w:val="auto"/>
              </w:rPr>
              <w:t>Preferred shares, Series C-2 6%</w:t>
            </w:r>
          </w:p>
        </w:tc>
        <w:tc>
          <w:tcPr>
            <w:tcW w:w="2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Digital Media Platform</w:t>
            </w: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8/31/2016</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683,482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2,414,178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Preferred shares, Series B 6%</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10/3/2014</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922,509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gridSpan w:val="6"/>
          </w:tcPr>
          <w:p>
            <w:pPr>
              <w:spacing w:after="0"/>
              <w:rPr>
                <w:sz w:val="20"/>
                <w:szCs w:val="20"/>
                <w:color w:val="auto"/>
              </w:rPr>
            </w:pPr>
            <w:r>
              <w:rPr>
                <w:rFonts w:ascii="Arial" w:cs="Arial" w:eastAsia="Arial" w:hAnsi="Arial"/>
                <w:sz w:val="18"/>
                <w:szCs w:val="18"/>
                <w:color w:val="auto"/>
              </w:rPr>
              <w:t>Preferred shares, Series A 6%</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12/11/2013</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1,090,909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3,000,200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Preferred shares, Series Seed 6%</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11/2/2012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0" w:type="dxa"/>
            <w:vAlign w:val="bottom"/>
            <w:gridSpan w:val="6"/>
          </w:tcPr>
          <w:p>
            <w:pPr>
              <w:spacing w:after="0" w:line="201" w:lineRule="exact"/>
              <w:rPr>
                <w:sz w:val="20"/>
                <w:szCs w:val="20"/>
                <w:color w:val="auto"/>
              </w:rPr>
            </w:pPr>
            <w:r>
              <w:rPr>
                <w:rFonts w:ascii="Arial" w:cs="Arial" w:eastAsia="Arial" w:hAnsi="Arial"/>
                <w:sz w:val="18"/>
                <w:szCs w:val="18"/>
                <w:color w:val="auto"/>
              </w:rPr>
              <w:t>Common Warrants, Strike Price $0.01,</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200" w:type="dxa"/>
            <w:vAlign w:val="bottom"/>
            <w:gridSpan w:val="6"/>
          </w:tcPr>
          <w:p>
            <w:pPr>
              <w:spacing w:after="0"/>
              <w:rPr>
                <w:sz w:val="20"/>
                <w:szCs w:val="20"/>
                <w:color w:val="auto"/>
              </w:rPr>
            </w:pPr>
            <w:r>
              <w:rPr>
                <w:rFonts w:ascii="Arial" w:cs="Arial" w:eastAsia="Arial" w:hAnsi="Arial"/>
                <w:sz w:val="18"/>
                <w:szCs w:val="18"/>
                <w:color w:val="auto"/>
              </w:rPr>
              <w:t>Expiration Date 4/9/2028</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4/9/2018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295,565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30,647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10,945,024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6"/>
          </w:tcPr>
          <w:p>
            <w:pPr>
              <w:spacing w:after="0" w:line="163" w:lineRule="exact"/>
              <w:rPr>
                <w:sz w:val="20"/>
                <w:szCs w:val="20"/>
                <w:color w:val="auto"/>
              </w:rPr>
            </w:pPr>
            <w:r>
              <w:rPr>
                <w:rFonts w:ascii="Arial" w:cs="Arial" w:eastAsia="Arial" w:hAnsi="Arial"/>
                <w:sz w:val="18"/>
                <w:szCs w:val="18"/>
                <w:b w:val="1"/>
                <w:bCs w:val="1"/>
                <w:color w:val="auto"/>
              </w:rPr>
              <w:t>Maven Research, Inc.</w:t>
            </w:r>
          </w:p>
        </w:tc>
        <w:tc>
          <w:tcPr>
            <w:tcW w:w="200" w:type="dxa"/>
            <w:vAlign w:val="bottom"/>
          </w:tcPr>
          <w:p>
            <w:pPr>
              <w:spacing w:after="0"/>
              <w:rPr>
                <w:sz w:val="14"/>
                <w:szCs w:val="14"/>
                <w:color w:val="auto"/>
              </w:rPr>
            </w:pPr>
          </w:p>
        </w:tc>
        <w:tc>
          <w:tcPr>
            <w:tcW w:w="1840" w:type="dxa"/>
            <w:vAlign w:val="bottom"/>
          </w:tcPr>
          <w:p>
            <w:pPr>
              <w:jc w:val="center"/>
              <w:spacing w:after="0" w:line="163" w:lineRule="exact"/>
              <w:rPr>
                <w:sz w:val="20"/>
                <w:szCs w:val="20"/>
                <w:color w:val="auto"/>
              </w:rPr>
            </w:pPr>
            <w:r>
              <w:rPr>
                <w:rFonts w:ascii="Arial" w:cs="Arial" w:eastAsia="Arial" w:hAnsi="Arial"/>
                <w:sz w:val="18"/>
                <w:szCs w:val="18"/>
                <w:color w:val="auto"/>
                <w:w w:val="90"/>
              </w:rPr>
              <w:t>San Francisco, CA</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Preferred shares, Series C</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Knowledge Networks</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7/2/2012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318,979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2,000,447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gridSpan w:val="6"/>
          </w:tcPr>
          <w:p>
            <w:pPr>
              <w:spacing w:after="0"/>
              <w:rPr>
                <w:sz w:val="20"/>
                <w:szCs w:val="20"/>
                <w:color w:val="auto"/>
              </w:rPr>
            </w:pPr>
            <w:r>
              <w:rPr>
                <w:rFonts w:ascii="Arial" w:cs="Arial" w:eastAsia="Arial" w:hAnsi="Arial"/>
                <w:sz w:val="18"/>
                <w:szCs w:val="18"/>
                <w:color w:val="auto"/>
              </w:rPr>
              <w:t>Preferred shares, Series B</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2/28/2012</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49,505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217,206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2,217,653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3"/>
        </w:trPr>
        <w:tc>
          <w:tcPr>
            <w:tcW w:w="3200" w:type="dxa"/>
            <w:vAlign w:val="bottom"/>
            <w:gridSpan w:val="6"/>
          </w:tcPr>
          <w:p>
            <w:pPr>
              <w:spacing w:after="0" w:line="163" w:lineRule="exact"/>
              <w:rPr>
                <w:sz w:val="20"/>
                <w:szCs w:val="20"/>
                <w:color w:val="auto"/>
              </w:rPr>
            </w:pPr>
            <w:r>
              <w:rPr>
                <w:rFonts w:ascii="Arial" w:cs="Arial" w:eastAsia="Arial" w:hAnsi="Arial"/>
                <w:sz w:val="18"/>
                <w:szCs w:val="18"/>
                <w:b w:val="1"/>
                <w:bCs w:val="1"/>
                <w:color w:val="auto"/>
              </w:rPr>
              <w:t>Curious.com, Inc.</w:t>
            </w:r>
          </w:p>
        </w:tc>
        <w:tc>
          <w:tcPr>
            <w:tcW w:w="200" w:type="dxa"/>
            <w:vAlign w:val="bottom"/>
          </w:tcPr>
          <w:p>
            <w:pPr>
              <w:spacing w:after="0"/>
              <w:rPr>
                <w:sz w:val="14"/>
                <w:szCs w:val="14"/>
                <w:color w:val="auto"/>
              </w:rPr>
            </w:pPr>
          </w:p>
        </w:tc>
        <w:tc>
          <w:tcPr>
            <w:tcW w:w="1840" w:type="dxa"/>
            <w:vAlign w:val="bottom"/>
          </w:tcPr>
          <w:p>
            <w:pPr>
              <w:jc w:val="center"/>
              <w:spacing w:after="0" w:line="163" w:lineRule="exact"/>
              <w:rPr>
                <w:sz w:val="20"/>
                <w:szCs w:val="20"/>
                <w:color w:val="auto"/>
              </w:rPr>
            </w:pPr>
            <w:r>
              <w:rPr>
                <w:rFonts w:ascii="Arial" w:cs="Arial" w:eastAsia="Arial" w:hAnsi="Arial"/>
                <w:sz w:val="18"/>
                <w:szCs w:val="18"/>
                <w:color w:val="auto"/>
                <w:w w:val="93"/>
              </w:rPr>
              <w:t>Menlo Park, CA</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11/22/2013</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1,135,944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12,000,006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Total Non-controlled/Affiliate</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41,140,804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12,591,162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3360" w:type="dxa"/>
            <w:vAlign w:val="bottom"/>
            <w:gridSpan w:val="6"/>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CONTROLLED</w:t>
            </w:r>
            <w:r>
              <w:rPr>
                <w:rFonts w:ascii="Arial" w:cs="Arial" w:eastAsia="Arial" w:hAnsi="Arial"/>
                <w:sz w:val="29"/>
                <w:szCs w:val="29"/>
                <w:b w:val="1"/>
                <w:bCs w:val="1"/>
                <w:color w:val="auto"/>
                <w:vertAlign w:val="superscript"/>
              </w:rPr>
              <w:t>(2)</w:t>
            </w:r>
          </w:p>
        </w:tc>
        <w:tc>
          <w:tcPr>
            <w:tcW w:w="19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175"/>
        </w:trPr>
        <w:tc>
          <w:tcPr>
            <w:tcW w:w="336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Architect Capital PayJoy SPV, LLC**</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San Francisco, CA</w:t>
            </w: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2"/>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Mobile Finance</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Membership Interest in Lending SPV***</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Technology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3/24/2021</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10,006,745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10,000,000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3360" w:type="dxa"/>
            <w:vAlign w:val="bottom"/>
            <w:gridSpan w:val="6"/>
          </w:tcPr>
          <w:p>
            <w:pPr>
              <w:spacing w:after="0" w:line="230" w:lineRule="exact"/>
              <w:rPr>
                <w:sz w:val="20"/>
                <w:szCs w:val="20"/>
                <w:color w:val="auto"/>
              </w:rPr>
            </w:pPr>
            <w:r>
              <w:rPr>
                <w:rFonts w:ascii="Arial" w:cs="Arial" w:eastAsia="Arial" w:hAnsi="Arial"/>
                <w:sz w:val="16"/>
                <w:szCs w:val="16"/>
                <w:b w:val="1"/>
                <w:bCs w:val="1"/>
                <w:color w:val="auto"/>
              </w:rPr>
              <w:t>Colombier Sponsor LLC**</w:t>
            </w:r>
            <w:r>
              <w:rPr>
                <w:rFonts w:ascii="Arial" w:cs="Arial" w:eastAsia="Arial" w:hAnsi="Arial"/>
                <w:sz w:val="26"/>
                <w:szCs w:val="26"/>
                <w:b w:val="1"/>
                <w:bCs w:val="1"/>
                <w:color w:val="auto"/>
                <w:vertAlign w:val="superscript"/>
              </w:rPr>
              <w:t>(12)</w:t>
            </w: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New York, NY</w:t>
            </w: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2"/>
        </w:trPr>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Special Purpose</w:t>
            </w:r>
          </w:p>
        </w:tc>
        <w:tc>
          <w:tcPr>
            <w:tcW w:w="1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33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Acquisition Company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4/1/2021</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1,976,033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1,556,587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1,554,355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7"/>
        </w:trPr>
        <w:tc>
          <w:tcPr>
            <w:tcW w:w="3360" w:type="dxa"/>
            <w:vAlign w:val="bottom"/>
            <w:gridSpan w:val="6"/>
          </w:tcPr>
          <w:p>
            <w:pPr>
              <w:spacing w:after="0"/>
              <w:rPr>
                <w:sz w:val="20"/>
                <w:szCs w:val="20"/>
                <w:color w:val="auto"/>
              </w:rPr>
            </w:pPr>
            <w:r>
              <w:rPr>
                <w:rFonts w:ascii="Arial" w:cs="Arial" w:eastAsia="Arial" w:hAnsi="Arial"/>
                <w:sz w:val="18"/>
                <w:szCs w:val="18"/>
                <w:color w:val="auto"/>
              </w:rPr>
              <w:t>Class W Units</w:t>
            </w:r>
          </w:p>
        </w:tc>
        <w:tc>
          <w:tcPr>
            <w:tcW w:w="19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4/1/2021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2,700,000</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1,159,150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1,157,487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0.55%</w:t>
            </w:r>
          </w:p>
        </w:tc>
      </w:tr>
      <w:tr>
        <w:trPr>
          <w:trHeight w:val="236"/>
        </w:trPr>
        <w:tc>
          <w:tcPr>
            <w:tcW w:w="336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2,715,737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2,711,842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49"/>
        </w:trPr>
        <w:tc>
          <w:tcPr>
            <w:tcW w:w="3040" w:type="dxa"/>
            <w:vAlign w:val="bottom"/>
            <w:tcBorders>
              <w:bottom w:val="single" w:sz="8" w:color="auto"/>
            </w:tcBorders>
            <w:gridSpan w:val="5"/>
          </w:tcPr>
          <w:p>
            <w:pPr>
              <w:spacing w:after="0" w:line="149" w:lineRule="exact"/>
              <w:rPr>
                <w:sz w:val="20"/>
                <w:szCs w:val="20"/>
                <w:color w:val="auto"/>
              </w:rPr>
            </w:pPr>
            <w:r>
              <w:rPr>
                <w:rFonts w:ascii="Arial" w:cs="Arial" w:eastAsia="Arial" w:hAnsi="Arial"/>
                <w:sz w:val="17"/>
                <w:szCs w:val="17"/>
                <w:b w:val="1"/>
                <w:bCs w:val="1"/>
                <w:color w:val="auto"/>
                <w:w w:val="99"/>
              </w:rPr>
              <w:t>SPBRX, INC. (f/k/a GSV Sustainability</w:t>
            </w: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96"/>
        </w:trPr>
        <w:tc>
          <w:tcPr>
            <w:tcW w:w="33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Partners, Inc.)</w:t>
            </w:r>
          </w:p>
        </w:tc>
        <w:tc>
          <w:tcPr>
            <w:tcW w:w="1940" w:type="dxa"/>
            <w:vAlign w:val="bottom"/>
          </w:tcPr>
          <w:p>
            <w:pPr>
              <w:jc w:val="center"/>
              <w:spacing w:after="0" w:line="196" w:lineRule="exact"/>
              <w:rPr>
                <w:sz w:val="20"/>
                <w:szCs w:val="20"/>
                <w:color w:val="auto"/>
              </w:rPr>
            </w:pPr>
            <w:r>
              <w:rPr>
                <w:rFonts w:ascii="Arial" w:cs="Arial" w:eastAsia="Arial" w:hAnsi="Arial"/>
                <w:sz w:val="18"/>
                <w:szCs w:val="18"/>
                <w:color w:val="auto"/>
                <w:w w:val="93"/>
              </w:rPr>
              <w:t>Cupertino, CA</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6"/>
        </w:trPr>
        <w:tc>
          <w:tcPr>
            <w:tcW w:w="3360" w:type="dxa"/>
            <w:vAlign w:val="bottom"/>
            <w:gridSpan w:val="6"/>
            <w:shd w:val="clear" w:color="auto" w:fill="CCEEFF"/>
          </w:tcPr>
          <w:p>
            <w:pPr>
              <w:spacing w:after="0" w:line="256" w:lineRule="exact"/>
              <w:rPr>
                <w:sz w:val="20"/>
                <w:szCs w:val="20"/>
                <w:color w:val="auto"/>
              </w:rPr>
            </w:pPr>
            <w:r>
              <w:rPr>
                <w:rFonts w:ascii="Arial" w:cs="Arial" w:eastAsia="Arial" w:hAnsi="Arial"/>
                <w:sz w:val="18"/>
                <w:szCs w:val="18"/>
                <w:color w:val="auto"/>
              </w:rPr>
              <w:t>Preferred shares, Class A</w:t>
            </w:r>
            <w:r>
              <w:rPr>
                <w:rFonts w:ascii="Arial" w:cs="Arial" w:eastAsia="Arial" w:hAnsi="Arial"/>
                <w:sz w:val="29"/>
                <w:szCs w:val="29"/>
                <w:color w:val="auto"/>
                <w:vertAlign w:val="superscript"/>
              </w:rPr>
              <w:t>(9)</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Clean Technology</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4/15/2014</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14,300,000</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7,151,412</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984,028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6"/>
        </w:trPr>
        <w:tc>
          <w:tcPr>
            <w:tcW w:w="3360" w:type="dxa"/>
            <w:vAlign w:val="bottom"/>
            <w:gridSpan w:val="6"/>
          </w:tcPr>
          <w:p>
            <w:pPr>
              <w:spacing w:after="0"/>
              <w:rPr>
                <w:sz w:val="20"/>
                <w:szCs w:val="20"/>
                <w:color w:val="auto"/>
              </w:rPr>
            </w:pPr>
            <w:r>
              <w:rPr>
                <w:rFonts w:ascii="Arial" w:cs="Arial" w:eastAsia="Arial" w:hAnsi="Arial"/>
                <w:sz w:val="18"/>
                <w:szCs w:val="18"/>
                <w:color w:val="auto"/>
              </w:rPr>
              <w:t>Common shares</w:t>
            </w:r>
          </w:p>
        </w:tc>
        <w:tc>
          <w:tcPr>
            <w:tcW w:w="19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4/15/2014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60" w:type="dxa"/>
            <w:vAlign w:val="bottom"/>
            <w:tcBorders>
              <w:top w:val="single" w:sz="8" w:color="CCEEFF"/>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7,161,412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984,028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6"/>
        </w:trPr>
        <w:tc>
          <w:tcPr>
            <w:tcW w:w="3360" w:type="dxa"/>
            <w:vAlign w:val="bottom"/>
            <w:gridSpan w:val="6"/>
            <w:shd w:val="clear" w:color="auto" w:fill="CCEEFF"/>
          </w:tcPr>
          <w:p>
            <w:pPr>
              <w:ind w:left="180"/>
              <w:spacing w:after="0"/>
              <w:rPr>
                <w:sz w:val="20"/>
                <w:szCs w:val="20"/>
                <w:color w:val="auto"/>
              </w:rPr>
            </w:pPr>
            <w:r>
              <w:rPr>
                <w:rFonts w:ascii="Arial" w:cs="Arial" w:eastAsia="Arial" w:hAnsi="Arial"/>
                <w:sz w:val="18"/>
                <w:szCs w:val="18"/>
                <w:b w:val="1"/>
                <w:bCs w:val="1"/>
                <w:color w:val="auto"/>
              </w:rPr>
              <w:t>Total Controlled</w:t>
            </w:r>
          </w:p>
        </w:tc>
        <w:tc>
          <w:tcPr>
            <w:tcW w:w="19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19,883,894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13,695,870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r>
      <w:tr>
        <w:trPr>
          <w:trHeight w:val="243"/>
        </w:trPr>
        <w:tc>
          <w:tcPr>
            <w:tcW w:w="10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9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r>
      <w:tr>
        <w:trPr>
          <w:trHeight w:val="216"/>
        </w:trPr>
        <w:tc>
          <w:tcPr>
            <w:tcW w:w="3360" w:type="dxa"/>
            <w:vAlign w:val="bottom"/>
            <w:gridSpan w:val="6"/>
            <w:shd w:val="clear" w:color="auto" w:fill="CCEEFF"/>
          </w:tcPr>
          <w:p>
            <w:pPr>
              <w:ind w:left="180"/>
              <w:spacing w:after="0"/>
              <w:rPr>
                <w:sz w:val="20"/>
                <w:szCs w:val="20"/>
                <w:color w:val="auto"/>
              </w:rPr>
            </w:pPr>
            <w:r>
              <w:rPr>
                <w:rFonts w:ascii="Arial" w:cs="Arial" w:eastAsia="Arial" w:hAnsi="Arial"/>
                <w:sz w:val="18"/>
                <w:szCs w:val="18"/>
                <w:b w:val="1"/>
                <w:bCs w:val="1"/>
                <w:color w:val="auto"/>
              </w:rPr>
              <w:t>Total Portfolio Investments</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216,128,508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157,188,578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74.84%</w:t>
            </w:r>
          </w:p>
        </w:tc>
      </w:tr>
      <w:tr>
        <w:trPr>
          <w:trHeight w:val="243"/>
        </w:trPr>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75"/>
        </w:trPr>
        <w:tc>
          <w:tcPr>
            <w:tcW w:w="33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U.S. Treasury</w:t>
            </w:r>
          </w:p>
        </w:tc>
        <w:tc>
          <w:tcPr>
            <w:tcW w:w="19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3360" w:type="dxa"/>
            <w:vAlign w:val="bottom"/>
            <w:gridSpan w:val="6"/>
          </w:tcPr>
          <w:p>
            <w:pPr>
              <w:spacing w:after="0" w:line="270" w:lineRule="exact"/>
              <w:rPr>
                <w:sz w:val="20"/>
                <w:szCs w:val="20"/>
                <w:color w:val="auto"/>
              </w:rPr>
            </w:pPr>
            <w:r>
              <w:rPr>
                <w:rFonts w:ascii="Arial" w:cs="Arial" w:eastAsia="Arial" w:hAnsi="Arial"/>
                <w:sz w:val="18"/>
                <w:szCs w:val="18"/>
                <w:color w:val="auto"/>
                <w:w w:val="97"/>
              </w:rPr>
              <w:t>U.S. Treasury bill, 0%, due 3/30/2023***</w:t>
            </w:r>
            <w:r>
              <w:rPr>
                <w:rFonts w:ascii="Arial" w:cs="Arial" w:eastAsia="Arial" w:hAnsi="Arial"/>
                <w:sz w:val="29"/>
                <w:szCs w:val="29"/>
                <w:color w:val="auto"/>
                <w:w w:val="97"/>
                <w:vertAlign w:val="superscript"/>
              </w:rPr>
              <w:t>(3)</w:t>
            </w:r>
          </w:p>
        </w:tc>
        <w:tc>
          <w:tcPr>
            <w:tcW w:w="19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12/29/2022</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$45,492,000</w:t>
            </w:r>
          </w:p>
        </w:tc>
        <w:tc>
          <w:tcPr>
            <w:tcW w:w="10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45,000,118</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45,026,162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21.44%</w:t>
            </w:r>
          </w:p>
        </w:tc>
      </w:tr>
      <w:tr>
        <w:trPr>
          <w:trHeight w:val="290"/>
        </w:trPr>
        <w:tc>
          <w:tcPr>
            <w:tcW w:w="3360" w:type="dxa"/>
            <w:vAlign w:val="bottom"/>
            <w:gridSpan w:val="6"/>
            <w:shd w:val="clear" w:color="auto" w:fill="CCEEFF"/>
          </w:tcPr>
          <w:p>
            <w:pPr>
              <w:spacing w:after="0" w:line="270" w:lineRule="exact"/>
              <w:rPr>
                <w:sz w:val="20"/>
                <w:szCs w:val="20"/>
                <w:color w:val="auto"/>
              </w:rPr>
            </w:pPr>
            <w:r>
              <w:rPr>
                <w:rFonts w:ascii="Arial" w:cs="Arial" w:eastAsia="Arial" w:hAnsi="Arial"/>
                <w:sz w:val="18"/>
                <w:szCs w:val="18"/>
                <w:color w:val="auto"/>
                <w:w w:val="97"/>
              </w:rPr>
              <w:t>U.S. Treasury bill, 0%, due 6/29/2023***</w:t>
            </w:r>
            <w:r>
              <w:rPr>
                <w:rFonts w:ascii="Arial" w:cs="Arial" w:eastAsia="Arial" w:hAnsi="Arial"/>
                <w:sz w:val="29"/>
                <w:szCs w:val="29"/>
                <w:color w:val="auto"/>
                <w:w w:val="97"/>
                <w:vertAlign w:val="superscript"/>
              </w:rPr>
              <w:t>(3)</w:t>
            </w:r>
          </w:p>
        </w:tc>
        <w:tc>
          <w:tcPr>
            <w:tcW w:w="194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12/29/2022</w:t>
            </w:r>
          </w:p>
        </w:tc>
        <w:tc>
          <w:tcPr>
            <w:tcW w:w="13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$40,937,000</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39,999,480</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40,030,655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10"/>
        </w:trPr>
        <w:tc>
          <w:tcPr>
            <w:tcW w:w="3360" w:type="dxa"/>
            <w:vAlign w:val="bottom"/>
            <w:tcBorders>
              <w:top w:val="single" w:sz="8" w:color="CCEEFF"/>
              <w:bottom w:val="single" w:sz="8" w:color="CCEEFF"/>
            </w:tcBorders>
            <w:gridSpan w:val="6"/>
          </w:tcPr>
          <w:p>
            <w:pPr>
              <w:spacing w:after="0" w:line="203" w:lineRule="exact"/>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84,999,598</w:t>
            </w: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85,056,817</w:t>
            </w:r>
          </w:p>
        </w:tc>
        <w:tc>
          <w:tcPr>
            <w:tcW w:w="30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40.50</w:t>
            </w:r>
          </w:p>
        </w:tc>
        <w:tc>
          <w:tcPr>
            <w:tcW w:w="18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43"/>
        </w:trPr>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3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TOTAL INVESTMENTS</w:t>
            </w:r>
          </w:p>
        </w:tc>
        <w:tc>
          <w:tcPr>
            <w:tcW w:w="1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301,128,106</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242,245,395</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115.34%</w:t>
            </w: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233"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SURO CAPITAL CORP. AND SUBSIDIARIES CONDENSED CONSOLIDATED SCHEDULE OF INVESTMENTS - continued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660" w:hanging="652"/>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w:t>
      </w:r>
    </w:p>
    <w:p>
      <w:pPr>
        <w:spacing w:after="0" w:line="177" w:lineRule="exact"/>
        <w:rPr>
          <w:sz w:val="20"/>
          <w:szCs w:val="20"/>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Investment Company Act of 1940, as amended (the “1940 Act”). Of the Company’s total investments as of December 31, 2022, 14.47% of its total investments are non-qualifying assets.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25" w:lineRule="exact"/>
        <w:rPr>
          <w:sz w:val="20"/>
          <w:szCs w:val="20"/>
          <w:color w:val="auto"/>
        </w:rPr>
      </w:pPr>
    </w:p>
    <w:p>
      <w:pPr>
        <w:jc w:val="both"/>
        <w:ind w:left="660" w:hanging="652"/>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7"/>
          <w:szCs w:val="17"/>
          <w:i w:val="1"/>
          <w:iCs w:val="1"/>
          <w:color w:val="auto"/>
        </w:rPr>
        <w:t>i.e.</w:t>
      </w:r>
      <w:r>
        <w:rPr>
          <w:rFonts w:ascii="Arial" w:cs="Arial" w:eastAsia="Arial" w:hAnsi="Arial"/>
          <w:sz w:val="17"/>
          <w:szCs w:val="17"/>
          <w:color w:val="auto"/>
        </w:rPr>
        <w:t>, securities with the right to elect directors) of such company. For the Schedule of Investments In, and Advances To, Affiliates, as required by SEC Regulation S-X, Rule 12-14, refer to “Note 4—Investments at Fair Value”.</w:t>
      </w:r>
    </w:p>
    <w:p>
      <w:pPr>
        <w:spacing w:after="0" w:line="171"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8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investment considered Level 1 or Level 2 and valued using observable inputs. Refer to “Note 4—Investments at Fair Value”.</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2022, the investments noted had been placed on non-accrual status.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preferred shares of Residential Homes for Rent, LLC (d/b/a Second Avenue) are held through SuRo Capital Corp.’s wholly owned subsidiary, GSVC AV Holdings, Inc.</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Commercial Streaming Solutions Inc. (d/b/a BettorView), YouBet Technology, Inc. (d/b/a FanPower), Rebric, Inc. (d/b/a Compliable), EDGE Markets, Inc., and Xgroup Holdings Limited (d/b/a Xpoint) are held through SuRo Capital Corp.’s wholly owned subsidiary, SuRo Capital Sports, LLC (“SuRo Sports”).</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SuRo Capital Corp.’s investments in True Global Ventures 4 Plus Pte Ltd are held through SuRo Capital Corp.’s wholly owned subsidiary, GSVC SVDS Holdings, Inc. As of December 31, 2022, $0.7 million of a $2.0 million capital commitment to True Global Ventures 4 Plus Fund LP had been called and funded.</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year ended December 31, 2022, approximately $1.2 million has been received from Residential Homes for Rent, LLC (d/b/a Second Avenue) related to the 15% term loan due December 23, 2023. Of the proceeds received, approximately $1.0 million repaid a portion of the outstanding principal and the remaining was attributed to interest.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9, 2021, Fullbridge, Inc.’s obligations under its financing arrangements with the Company became past due.</w:t>
      </w:r>
    </w:p>
    <w:p>
      <w:pPr>
        <w:spacing w:after="0" w:line="225" w:lineRule="exact"/>
        <w:rPr>
          <w:rFonts w:ascii="Arial" w:cs="Arial" w:eastAsia="Arial" w:hAnsi="Arial"/>
          <w:sz w:val="18"/>
          <w:szCs w:val="18"/>
          <w:color w:val="auto"/>
        </w:rPr>
      </w:pPr>
    </w:p>
    <w:p>
      <w:pPr>
        <w:jc w:val="both"/>
        <w:ind w:left="660" w:hanging="652"/>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22, 2022, Forge Global Holdings, Inc., completed its business combination with Motive Capital Corp. As a result of the transaction, each share of Forge Global, Inc.’s capital stock outstanding prior to the business combination was exchanged at the designated exchange ratio of approximately 3.123. In addition, each warrant of Forge Global, Inc. was exchanged into warrants exercisable into common stock based on the exchange ratio of 3.123. The exercise price of each converted warrant was determined by dividing the exercise price of the respective Forge Global, Inc. warrants by the exchange ratio, rounded to the nearest whole cent. On and effective August 5, 2022, SuRo Capital Corp. notified Forge Global, Inc. of its intent to net exercise via cashless settlement its 230,144 common warrants in Forge Global, Inc. into 53,283 shares of Forge Global, Inc.’s public common stock, pursuant to the net exercise formula in the warrant agreement. The exercise was effectuated on September 30, 2022.</w:t>
      </w:r>
    </w:p>
    <w:p>
      <w:pPr>
        <w:sectPr>
          <w:pgSz w:w="11900" w:h="16838" w:orient="portrait"/>
          <w:cols w:equalWidth="0" w:num="1">
            <w:col w:w="11240"/>
          </w:cols>
          <w:pgMar w:left="320" w:top="233"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date of inception was January 6, 2011, which is the date we commenced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4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table below displays the Company’s subsidiaries as of June 30, 2023, which, other than GSV Capital Lending, LLC (“GCL”) and SuRo Capital Sports, LLC, are collectively referred to as the “Taxable Subsidiaries.” The Taxable Subsidiaries were formed to hold certain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8"/>
          <w:szCs w:val="18"/>
          <w:i w:val="1"/>
          <w:iCs w:val="1"/>
          <w:color w:val="auto"/>
        </w:rPr>
        <w:t>Basis of Consolidation</w:t>
      </w:r>
      <w:r>
        <w:rPr>
          <w:rFonts w:ascii="Arial" w:cs="Arial" w:eastAsia="Arial" w:hAnsi="Arial"/>
          <w:sz w:val="18"/>
          <w:szCs w:val="18"/>
          <w:color w:val="auto"/>
        </w:rPr>
        <w:t>” below for further detail.</w:t>
      </w:r>
    </w:p>
    <w:tbl>
      <w:tblPr>
        <w:tblLayout w:type="fixed"/>
        <w:tblInd w:w="0" w:type="dxa"/>
        <w:tblCellMar>
          <w:top w:w="0" w:type="dxa"/>
          <w:left w:w="0" w:type="dxa"/>
          <w:bottom w:w="0" w:type="dxa"/>
          <w:right w:w="0" w:type="dxa"/>
        </w:tblCellMar>
      </w:tblPr>
      <w:tr>
        <w:trPr>
          <w:trHeight w:val="199"/>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0"/>
              </w:rPr>
              <w:t>Jurisdiction of</w:t>
            </w:r>
          </w:p>
        </w:tc>
        <w:tc>
          <w:tcPr>
            <w:tcW w:w="220" w:type="dxa"/>
            <w:vAlign w:val="bottom"/>
          </w:tcPr>
          <w:p>
            <w:pPr>
              <w:spacing w:after="0"/>
              <w:rPr>
                <w:sz w:val="17"/>
                <w:szCs w:val="17"/>
                <w:color w:val="auto"/>
              </w:rPr>
            </w:pPr>
          </w:p>
        </w:tc>
        <w:tc>
          <w:tcPr>
            <w:tcW w:w="178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93"/>
              </w:rPr>
              <w:t>Formation</w:t>
            </w:r>
          </w:p>
        </w:tc>
        <w:tc>
          <w:tcPr>
            <w:tcW w:w="240" w:type="dxa"/>
            <w:vAlign w:val="bottom"/>
          </w:tcPr>
          <w:p>
            <w:pPr>
              <w:spacing w:after="0"/>
              <w:rPr>
                <w:sz w:val="17"/>
                <w:szCs w:val="17"/>
                <w:color w:val="auto"/>
              </w:rPr>
            </w:pPr>
          </w:p>
        </w:tc>
        <w:tc>
          <w:tcPr>
            <w:tcW w:w="1600" w:type="dxa"/>
            <w:vAlign w:val="bottom"/>
            <w:gridSpan w:val="2"/>
          </w:tcPr>
          <w:p>
            <w:pPr>
              <w:jc w:val="center"/>
              <w:ind w:right="160"/>
              <w:spacing w:after="0" w:line="199" w:lineRule="exact"/>
              <w:rPr>
                <w:sz w:val="20"/>
                <w:szCs w:val="20"/>
                <w:color w:val="auto"/>
              </w:rPr>
            </w:pPr>
            <w:r>
              <w:rPr>
                <w:rFonts w:ascii="Arial" w:cs="Arial" w:eastAsia="Arial" w:hAnsi="Arial"/>
                <w:sz w:val="18"/>
                <w:szCs w:val="18"/>
                <w:b w:val="1"/>
                <w:bCs w:val="1"/>
                <w:color w:val="auto"/>
                <w:w w:val="86"/>
              </w:rPr>
              <w:t>Percentage</w:t>
            </w:r>
          </w:p>
        </w:tc>
      </w:tr>
      <w:tr>
        <w:trPr>
          <w:trHeight w:val="24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w:t>
            </w:r>
          </w:p>
        </w:tc>
        <w:tc>
          <w:tcPr>
            <w:tcW w:w="2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4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0" w:type="dxa"/>
            <w:vAlign w:val="bottom"/>
            <w:tcBorders>
              <w:bottom w:val="single" w:sz="8" w:color="CCEEFF"/>
            </w:tcBorders>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GCL</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SuRo Capital Sports, LLC (“SuRo Sports”)</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198"/>
        </w:trPr>
        <w:tc>
          <w:tcPr>
            <w:tcW w:w="53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Subsidiaries below are referred to collectively, as the “Taxable</w:t>
            </w: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Subsidiaries”</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GSVC AE Holdings, Inc. (“GAE”)</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GSVC AV Holdings, Inc. (“GAV”)</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GSVC SW Holdings, Inc. (“GSW”)</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GSVC SVDS Holdings, Inc. (“SVDS”)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13, 2013</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invest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Services—Investment Companies</w:t>
      </w:r>
      <w:r>
        <w:rPr>
          <w:rFonts w:ascii="Arial" w:cs="Arial" w:eastAsia="Arial" w:hAnsi="Arial"/>
          <w:sz w:val="17"/>
          <w:szCs w:val="17"/>
          <w:color w:val="auto"/>
        </w:rPr>
        <w:t>. In the opinion of management, all adjustments, all of which were of a normal recurring nature, were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for the fair presentation of consolidated financial statements for the period have been included.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2023. The interim unaudited condensed consolidated financial statements and notes hereto should be read in conjunction with the audited consolidated financial statements and notes thereto contained in the Company’s annual report on Form 10-K for the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GCL, and SuRo Sports, its wholly-owned subsidiaries. All intercompany balances and transactions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may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w:t>
      </w:r>
      <w:r>
        <w:rPr>
          <w:rFonts w:ascii="Arial" w:cs="Arial" w:eastAsia="Arial" w:hAnsi="Arial"/>
          <w:sz w:val="16"/>
          <w:szCs w:val="16"/>
          <w:b w:val="1"/>
          <w:bCs w:val="1"/>
          <w:color w:val="auto"/>
        </w:rPr>
        <w:t xml:space="preserve"> </w:t>
      </w:r>
      <w:r>
        <w:rPr>
          <w:rFonts w:ascii="Arial" w:cs="Arial" w:eastAsia="Arial" w:hAnsi="Arial"/>
          <w:sz w:val="16"/>
          <w:szCs w:val="16"/>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management, the Company’s Board of Directors or the valuation committee of the Company’s Board of Directors (the “Valuation Committee”), does not reliably represent fair value, shall each be valued as follows:</w:t>
      </w:r>
    </w:p>
    <w:p>
      <w:pPr>
        <w:spacing w:after="0" w:line="165"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internal investment professionals responsible for the portfolio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estimates are then documented and discussed with senior management;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all investments for which there are no readily available market quotations, the Valuation Committee engages an independent third-party valuation firm to conduct independent appraisals, review management’s preliminary valuations and make its own independent assessment;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Valuation Committee applies the appropriate valuation methodology to each portfolio asset in a consistent manner, considers the inputs provided by management and the independent third-party valuation firm, discusses the valuations and recommends to the Company’s Board of Directors a fair value for each investment in the portfolio;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Board applies valuation methodologies consistent with industry practice. Valuation methods utilized include, but are not limited to, the following: comparisons to prices from secondary market transactions; venture capital financings; public offerings; purchase or sales transactions; analysis of financial ratios and valuation metrics of portfolio companies that issued such private equity securities to peer companies that are public; analysis of the portfolio company’s most recent financial statements, forecasts and the markets in which the portfolio company does business, and other relevant factors. The Company assigns a weighting based upon the relevance of each method to assist the Board in determining the fair value of each investment.</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Board applies the appropriate respective valuation methodology for the asset class or portfolio holding, which may involve analyzing the relevant portfolio company’s most recently available historical and projected financial results, public market comparables, and other factors. The Board may also consider other events, including the transaction in which the Company acquired its securities, subsequent equity sales by the portfolio company, and mergers or acquisitions affecting the portfolio company. In addition, the Board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determining the fair value of equity or equity-linked securities (including warrants to purchase common or preferred stock) in a portfolio company, the Board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in good faith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Board of Directors determines the fair value of options based on methodologies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Purpose Acquisition Companies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Board of Directors measures its Special Purpose Acquisition Company (“SPAC”) investments at fair value, which is equivalent to cost until a SPAC transaction is announced. After a SPAC transaction is announced, the Company’s Board of Directors will determine the fair value of SPAC investments based on fair value analyses that can include option pricing models, probability-weighted expected return method analyses and other techniques as deemed appropriate. Upon completion of the SPAC transaction, the Board utilizes the public share price of the entity, less a DLOM if there are restrictions on selling. The Company’s SPAC investments are valued at estimated fair value as determined in good faith by the Company’s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Venture Investment Funds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valuing the Company’s investments in venture investment funds (“Venture Investment Funds”), the Company applies the practical expedient provided by the ASC Topic 820 relating to investments in certain entities that calculate net asset value (“NAV”)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 investor retains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June 30, 2023 and December 31, 2022, for details regarding the nature and composition of the Company’s investment portfolio.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custodies its cash with Western Alliance Trust Company, N.A., and may place cash in demand deposit accounts with other high-quality financial institutions. The cash held in these accounts may exceed the Federal Deposit Insurance Corporation insured limit. The Company believes the risk of loss associated with any uninsured balance is remote.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are to be recognized when the amount of the contingent consideration becomes realized or realizable. As of June 30, 2023 and December 31, 2022, the Company had $375,965 and $628,332, respectively, in escrow proceeds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June 30, 2023 and December 31, 2022, the Company had deferred financing costs of $590,430 and $555,761, respectively, on the Condensed Consolidated Statement of Assets and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right-of-use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 Deposits</w:t>
      </w:r>
      <w:r>
        <w:rPr>
          <w:rFonts w:ascii="Arial" w:cs="Arial" w:eastAsia="Arial" w:hAnsi="Arial"/>
          <w:sz w:val="18"/>
          <w:szCs w:val="18"/>
          <w:color w:val="auto"/>
        </w:rPr>
        <w:t>” for further detail.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 Stock-Based Compensation” for further detail.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June 30, 2023 and December 31, 2022, the Company had no escrow deposits.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52" w:lineRule="auto"/>
        <w:tabs>
          <w:tab w:leader="none" w:pos="2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9—Income Taxes” for further details.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6"/>
          <w:szCs w:val="16"/>
          <w:i w:val="1"/>
          <w:iCs w:val="1"/>
          <w:color w:val="auto"/>
        </w:rPr>
        <w:t>,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June 2022, the FASB issued ASU No. 2022-03 “Fair Value Measurements (Topic 820): Fair Value Measurement of Equity Securities Subject to Contractual Sale Restrictions.” This change prohibits entities from taking into account contractual restrictions on the sale of equity securities when estimating fair value and introduces required disclosures for such transactions. The standard is effective for annual periods beginning after December 15, 2023, and should be applied prospectively. Early adoption is permitted. The adoption of ASU 2022-03 is not expected to have a material impact on the Company’s future financial statements.</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executive officers and directors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investment in Churchill Sponsor VI LLC, the sponsor of Churchill Capital Corp. VI, a SPAC, constituted a “remote-affiliate” transaction for purposes of the 1940 Act in light of the fact that Mark D. Klein, the Company’s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SPAC,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June 30, 2023, the fair values of the Company’s investments in Churchill Sponsor VI LLC and Churchill Sponsor VII LLC were $200,000 and $300,000, respectively.</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SPAC, and was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June 30, 2023, the fair value of the Company’s investment in Skillsoft Corp. was $1,217,485.</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initial investment in Shogun Enterprises, Inc. on February 26, 2021 constituted a “remote-affiliate” transaction for purposes of the 1940 Act in light of the fact that Keri Findley, a former senior managing director of the Company until her departure on March 9, 2022, was at the time of investment a non-controlling member of the board of directors of Shogun Enterprises, Inc., and held a minority equity interest in such portfolio company. The Company’s investment in Architect Capital PayJoy SPV, LLC also constituted a “remote-affiliate” transaction for purposes of the 1940 Act in light of the fact that Ms. Findley, at the time of investment, was a non-controlling member of the board of directors of the investment manager to Architect Capital PayJoy SPV, LLC, and held a minority equity interest in such investment manager. As of June 30, 2023, the fair values of the Company’s remote-affiliate investments in Shogun Enterprises, Inc. (d/b/a Hearth) and Architect Capital PayJoy SPV, LLC were $7,655,365 and $10,000,000, respectively.</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Ms. Findley and Claire Councill, a former investment professional of the Company until her departure on April 15, 2022, are non-controlling members of the board of directors of Colombier Acquisition Corp., a SPAC, which is sponsored by Colombier Sponsor LLC, one of the Company’s portfolio companies. The Company’s investment in AltC Sponsor LLC, the sponsor of AltC Acquisition Corp, a SPAC, constituted a “remote-affiliate” transaction for purposes of the 1940 Act in light of the fact that Mr. Klein has a non-controlling interest in one of the entities that controls AltC Sponsor LLC, and Allison Green, the Company’s Chief Financial Officer, Chief Compliance Officer, Treasurer and Secretary, is a non-controlling member of the board of directors of AltC Acquisition Corp. As of June 30, 2023, the fair values of the Company’s aggregate investments in each of Colombier Sponsor LLC and AltC Sponsor LLC were $17,182,605 and $250,000,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June 30, 2023, the Company had 61 positions in 37 portfolio companies. As of December 31, 2022, the Company had 64 positions in 39 portfolio companies.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composition of the Company’s investment portfolio by security type at cost and fair value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June 30, 2023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w w:val="92"/>
              </w:rPr>
              <w:t>December 31, 2022</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98"/>
        </w:trPr>
        <w:tc>
          <w:tcPr>
            <w:tcW w:w="3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gridSpan w:val="2"/>
          </w:tcPr>
          <w:p>
            <w:pPr>
              <w:jc w:val="center"/>
              <w:ind w:left="190"/>
              <w:spacing w:after="0" w:line="198" w:lineRule="exact"/>
              <w:rPr>
                <w:sz w:val="20"/>
                <w:szCs w:val="20"/>
                <w:color w:val="auto"/>
              </w:rPr>
            </w:pPr>
            <w:r>
              <w:rPr>
                <w:rFonts w:ascii="Arial" w:cs="Arial" w:eastAsia="Arial" w:hAnsi="Arial"/>
                <w:sz w:val="18"/>
                <w:szCs w:val="18"/>
                <w:b w:val="1"/>
                <w:bCs w:val="1"/>
                <w:color w:val="auto"/>
                <w:w w:val="86"/>
              </w:rPr>
              <w:t>Percentage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of</w:t>
            </w:r>
          </w:p>
        </w:tc>
      </w:tr>
      <w:tr>
        <w:trPr>
          <w:trHeight w:val="241"/>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280" w:type="dxa"/>
            <w:vAlign w:val="bottom"/>
          </w:tcPr>
          <w:p>
            <w:pPr>
              <w:spacing w:after="0"/>
              <w:rPr>
                <w:sz w:val="20"/>
                <w:szCs w:val="20"/>
                <w:color w:val="auto"/>
              </w:rPr>
            </w:pPr>
          </w:p>
        </w:tc>
        <w:tc>
          <w:tcPr>
            <w:tcW w:w="10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3"/>
              </w:rPr>
              <w:t>Net Assets</w:t>
            </w:r>
          </w:p>
        </w:tc>
        <w:tc>
          <w:tcPr>
            <w:tcW w:w="10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10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5"/>
              </w:rPr>
              <w:t>Net Assets</w:t>
            </w:r>
          </w:p>
        </w:tc>
      </w:tr>
      <w:tr>
        <w:trPr>
          <w:trHeight w:val="21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Private Portfolio Companies</w:t>
            </w:r>
          </w:p>
        </w:tc>
        <w:tc>
          <w:tcPr>
            <w:tcW w:w="5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Preferred Stock</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$106,312,054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96,909,349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51.9%</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$ 118,472,118</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$ 117,214,465</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65,438,476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44,805,853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50,601,512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18,692,931</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Debt Investments</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5,817,464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3,115,764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6,316,466</w:t>
            </w:r>
          </w:p>
        </w:tc>
        <w:tc>
          <w:tcPr>
            <w:tcW w:w="1020" w:type="dxa"/>
            <w:vAlign w:val="bottom"/>
          </w:tcPr>
          <w:p>
            <w:pPr>
              <w:jc w:val="right"/>
              <w:spacing w:after="0"/>
              <w:rPr>
                <w:sz w:val="20"/>
                <w:szCs w:val="20"/>
                <w:color w:val="auto"/>
              </w:rPr>
            </w:pPr>
            <w:r>
              <w:rPr>
                <w:rFonts w:ascii="Arial" w:cs="Arial" w:eastAsia="Arial" w:hAnsi="Arial"/>
                <w:sz w:val="18"/>
                <w:szCs w:val="18"/>
                <w:color w:val="auto"/>
              </w:rPr>
              <w:t>4,488,200</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11,384,947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3,900,883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11,415,787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3,469,497</w:t>
            </w: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3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Private Portfolio Companies</w:t>
            </w:r>
          </w:p>
        </w:tc>
        <w:tc>
          <w:tcPr>
            <w:tcW w:w="52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188,952,941</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148,731,849</w:t>
            </w:r>
          </w:p>
        </w:tc>
        <w:tc>
          <w:tcPr>
            <w:tcW w:w="2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79.7</w:t>
            </w:r>
          </w:p>
        </w:tc>
        <w:tc>
          <w:tcPr>
            <w:tcW w:w="2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186,805,883</w:t>
            </w:r>
          </w:p>
        </w:tc>
        <w:tc>
          <w:tcPr>
            <w:tcW w:w="280" w:type="dxa"/>
            <w:vAlign w:val="bottom"/>
            <w:tcBorders>
              <w:top w:val="single" w:sz="8" w:color="CCEEFF"/>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143,865,093</w:t>
            </w:r>
          </w:p>
        </w:tc>
        <w:tc>
          <w:tcPr>
            <w:tcW w:w="2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w:t>
            </w:r>
          </w:p>
        </w:tc>
        <w:tc>
          <w:tcPr>
            <w:tcW w:w="1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Publicly Traded Portfolio Companies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3380" w:type="dxa"/>
            <w:vAlign w:val="bottom"/>
          </w:tcPr>
          <w:p>
            <w:pPr>
              <w:spacing w:after="0"/>
              <w:rPr>
                <w:sz w:val="20"/>
                <w:szCs w:val="20"/>
                <w:color w:val="auto"/>
              </w:rPr>
            </w:pPr>
            <w:r>
              <w:rPr>
                <w:rFonts w:ascii="Arial" w:cs="Arial" w:eastAsia="Arial" w:hAnsi="Arial"/>
                <w:sz w:val="18"/>
                <w:szCs w:val="18"/>
                <w:color w:val="auto"/>
              </w:rPr>
              <w:t>Common Stock</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20,139,645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11,551,297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29,322,625</w:t>
            </w:r>
          </w:p>
        </w:tc>
        <w:tc>
          <w:tcPr>
            <w:tcW w:w="1020" w:type="dxa"/>
            <w:vAlign w:val="bottom"/>
          </w:tcPr>
          <w:p>
            <w:pPr>
              <w:jc w:val="right"/>
              <w:spacing w:after="0"/>
              <w:rPr>
                <w:sz w:val="20"/>
                <w:szCs w:val="20"/>
                <w:color w:val="auto"/>
              </w:rPr>
            </w:pPr>
            <w:r>
              <w:rPr>
                <w:rFonts w:ascii="Arial" w:cs="Arial" w:eastAsia="Arial" w:hAnsi="Arial"/>
                <w:sz w:val="18"/>
                <w:szCs w:val="18"/>
                <w:color w:val="auto"/>
              </w:rPr>
              <w:t>13,323,485</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36"/>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209,092,586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160,283,146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216,128,508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157,188,578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b w:val="1"/>
                <w:bCs w:val="1"/>
                <w:color w:val="auto"/>
              </w:rPr>
              <w:t>Non-Portfolio Investments</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75,478,668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75,895,534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84,999,598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85,056,817</w:t>
            </w:r>
          </w:p>
        </w:tc>
        <w:tc>
          <w:tcPr>
            <w:tcW w:w="20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33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Investments</w:t>
            </w: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284,571,254</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236,178,680</w:t>
            </w: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301,128,106</w:t>
            </w: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242,245,395</w:t>
            </w: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0"/>
        </w:trPr>
        <w:tc>
          <w:tcPr>
            <w:tcW w:w="3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geographic and industrial compositions of the Company’s portfolio at fair value as of June 30, 2023 and December 31, 2022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 June 30, 2023</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6"/>
          </w:tcPr>
          <w:p>
            <w:pPr>
              <w:jc w:val="right"/>
              <w:ind w:right="790"/>
              <w:spacing w:after="0"/>
              <w:rPr>
                <w:sz w:val="20"/>
                <w:szCs w:val="20"/>
                <w:color w:val="auto"/>
              </w:rPr>
            </w:pPr>
            <w:r>
              <w:rPr>
                <w:rFonts w:ascii="Arial" w:cs="Arial" w:eastAsia="Arial" w:hAnsi="Arial"/>
                <w:sz w:val="18"/>
                <w:szCs w:val="18"/>
                <w:b w:val="1"/>
                <w:bCs w:val="1"/>
                <w:color w:val="auto"/>
              </w:rPr>
              <w:t>As of December 31, 2022</w:t>
            </w:r>
          </w:p>
        </w:tc>
      </w:tr>
      <w:tr>
        <w:trPr>
          <w:trHeight w:val="198"/>
        </w:trPr>
        <w:tc>
          <w:tcPr>
            <w:tcW w:w="4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center"/>
              <w:ind w:right="270"/>
              <w:spacing w:after="0" w:line="198" w:lineRule="exact"/>
              <w:rPr>
                <w:sz w:val="20"/>
                <w:szCs w:val="20"/>
                <w:color w:val="auto"/>
              </w:rPr>
            </w:pPr>
            <w:r>
              <w:rPr>
                <w:rFonts w:ascii="Arial" w:cs="Arial" w:eastAsia="Arial" w:hAnsi="Arial"/>
                <w:sz w:val="18"/>
                <w:szCs w:val="18"/>
                <w:b w:val="1"/>
                <w:bCs w:val="1"/>
                <w:color w:val="auto"/>
                <w:w w:val="86"/>
              </w:rPr>
              <w:t>Percentage</w:t>
            </w:r>
          </w:p>
        </w:tc>
        <w:tc>
          <w:tcPr>
            <w:tcW w:w="8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30"/>
              <w:spacing w:after="0" w:line="198" w:lineRule="exact"/>
              <w:rPr>
                <w:sz w:val="20"/>
                <w:szCs w:val="20"/>
                <w:color w:val="auto"/>
              </w:rPr>
            </w:pPr>
            <w:r>
              <w:rPr>
                <w:rFonts w:ascii="Arial" w:cs="Arial" w:eastAsia="Arial" w:hAnsi="Arial"/>
                <w:sz w:val="18"/>
                <w:szCs w:val="18"/>
                <w:b w:val="1"/>
                <w:bCs w:val="1"/>
                <w:color w:val="auto"/>
                <w:w w:val="86"/>
              </w:rPr>
              <w:t>Percentage</w:t>
            </w: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2"/>
              </w:rPr>
              <w:t>of</w:t>
            </w: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2"/>
              </w:rPr>
              <w:t>of</w:t>
            </w:r>
          </w:p>
        </w:tc>
      </w:tr>
      <w:tr>
        <w:trPr>
          <w:trHeight w:val="241"/>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Portfolio</w:t>
            </w: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5"/>
              </w:rPr>
              <w:t>Net Assets</w:t>
            </w: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12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1"/>
              </w:rPr>
              <w:t>Portfolio</w:t>
            </w:r>
          </w:p>
        </w:tc>
        <w:tc>
          <w:tcPr>
            <w:tcW w:w="10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3"/>
              </w:rPr>
              <w:t>Net Assets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Geographic Region</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86,688,291</w:t>
            </w:r>
          </w:p>
        </w:tc>
        <w:tc>
          <w:tcPr>
            <w:tcW w:w="28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54.1%</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94,996,805</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60.4%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55,437,660</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46,944,432</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Midwest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12,389,590</w:t>
            </w:r>
          </w:p>
        </w:tc>
        <w:tc>
          <w:tcPr>
            <w:tcW w:w="28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7.7%</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8,183,281</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5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5,767,605</w:t>
            </w:r>
          </w:p>
        </w:tc>
        <w:tc>
          <w:tcPr>
            <w:tcW w:w="2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7,064,060</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7"/>
        </w:trPr>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160,283,146</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157,188,578</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3"/>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 June 30, 2023</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6"/>
          </w:tcPr>
          <w:p>
            <w:pPr>
              <w:jc w:val="right"/>
              <w:ind w:right="790"/>
              <w:spacing w:after="0"/>
              <w:rPr>
                <w:sz w:val="20"/>
                <w:szCs w:val="20"/>
                <w:color w:val="auto"/>
              </w:rPr>
            </w:pPr>
            <w:r>
              <w:rPr>
                <w:rFonts w:ascii="Arial" w:cs="Arial" w:eastAsia="Arial" w:hAnsi="Arial"/>
                <w:sz w:val="18"/>
                <w:szCs w:val="18"/>
                <w:b w:val="1"/>
                <w:bCs w:val="1"/>
                <w:color w:val="auto"/>
              </w:rPr>
              <w:t>As of December 31, 2022</w:t>
            </w:r>
          </w:p>
        </w:tc>
      </w:tr>
      <w:tr>
        <w:trPr>
          <w:trHeight w:val="198"/>
        </w:trPr>
        <w:tc>
          <w:tcPr>
            <w:tcW w:w="40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center"/>
              <w:ind w:right="250"/>
              <w:spacing w:after="0" w:line="198" w:lineRule="exact"/>
              <w:rPr>
                <w:sz w:val="20"/>
                <w:szCs w:val="20"/>
                <w:color w:val="auto"/>
              </w:rPr>
            </w:pPr>
            <w:r>
              <w:rPr>
                <w:rFonts w:ascii="Arial" w:cs="Arial" w:eastAsia="Arial" w:hAnsi="Arial"/>
                <w:sz w:val="18"/>
                <w:szCs w:val="18"/>
                <w:b w:val="1"/>
                <w:bCs w:val="1"/>
                <w:color w:val="auto"/>
                <w:w w:val="88"/>
              </w:rPr>
              <w:t>Percentage</w:t>
            </w:r>
          </w:p>
        </w:tc>
        <w:tc>
          <w:tcPr>
            <w:tcW w:w="8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88"/>
              </w:rPr>
              <w:t>Percentage</w:t>
            </w: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2"/>
              </w:rPr>
              <w:t>of</w:t>
            </w: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3"/>
              </w:rPr>
              <w:t>of</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2"/>
              </w:rPr>
              <w:t>of</w:t>
            </w:r>
          </w:p>
        </w:tc>
        <w:tc>
          <w:tcPr>
            <w:tcW w:w="10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of</w:t>
            </w:r>
          </w:p>
        </w:tc>
      </w:tr>
      <w:tr>
        <w:trPr>
          <w:trHeight w:val="241"/>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Portfolio</w:t>
            </w:r>
          </w:p>
        </w:tc>
        <w:tc>
          <w:tcPr>
            <w:tcW w:w="11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5"/>
              </w:rPr>
              <w:t>Net Assets</w:t>
            </w: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12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1"/>
              </w:rPr>
              <w:t>Portfolio</w:t>
            </w:r>
          </w:p>
        </w:tc>
        <w:tc>
          <w:tcPr>
            <w:tcW w:w="10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3"/>
              </w:rPr>
              <w:t>Net Assets</w:t>
            </w: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Financial Technology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56,553,879</w:t>
            </w:r>
          </w:p>
        </w:tc>
        <w:tc>
          <w:tcPr>
            <w:tcW w:w="28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35.3%</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38,096,753</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24.2%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Education Technology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44,348,880</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27.7%</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61,841,493</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Marketplaces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25,038,245</w:t>
            </w:r>
          </w:p>
        </w:tc>
        <w:tc>
          <w:tcPr>
            <w:tcW w:w="28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15.6%</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27,291,467</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17.4%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Big Data/Cloud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22,517,497</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14.0%</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14,927,819</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Social/Mobile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10,890,617</w:t>
            </w:r>
          </w:p>
        </w:tc>
        <w:tc>
          <w:tcPr>
            <w:tcW w:w="280" w:type="dxa"/>
            <w:vAlign w:val="bottom"/>
          </w:tcPr>
          <w:p>
            <w:pPr>
              <w:spacing w:after="0"/>
              <w:rPr>
                <w:sz w:val="18"/>
                <w:szCs w:val="18"/>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8"/>
                <w:szCs w:val="18"/>
                <w:color w:val="auto"/>
              </w:rPr>
              <w:t>6.8%</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14,047,018</w:t>
            </w: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4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Sustainability</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934,028</w:t>
            </w:r>
          </w:p>
        </w:tc>
        <w:tc>
          <w:tcPr>
            <w:tcW w:w="2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984,028</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7"/>
        </w:trPr>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160,283,146</w:t>
            </w: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157,188,578</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0"/>
        </w:trPr>
        <w:tc>
          <w:tcPr>
            <w:tcW w:w="4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composition of the Company’s industrial themes presented in the preceding tables:</w:t>
      </w:r>
    </w:p>
    <w:p>
      <w:pPr>
        <w:sectPr>
          <w:pgSz w:w="11900" w:h="16838" w:orient="portrait"/>
          <w:cols w:equalWidth="0" w:num="1">
            <w:col w:w="10139"/>
          </w:cols>
          <w:pgMar w:left="320" w:top="233"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21431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21431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21431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990600</wp:posOffset>
            </wp:positionV>
            <wp:extent cx="21431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21431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8520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8520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Gaming Licensing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Retail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Geolocation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Management 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Warehouse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8520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Innovation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 Platform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8520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 Improvement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Finance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Online Marketplace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Gaming Technology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Special Purpose Acquisition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8520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Digital Media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Media &amp;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Access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Fitness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8520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52035"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5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80" w:space="720"/>
            <w:col w:w="6539"/>
          </w:cols>
          <w:pgMar w:left="320" w:top="233"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June 30, 2023 and December 31, 2022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8"/>
                <w:szCs w:val="18"/>
                <w:b w:val="1"/>
                <w:bCs w:val="1"/>
                <w:color w:val="auto"/>
              </w:rPr>
              <w:t>As of June 30, 2023</w:t>
            </w: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tcPr>
          <w:p>
            <w:pPr>
              <w:jc w:val="center"/>
              <w:ind w:right="40"/>
              <w:spacing w:after="0" w:line="198" w:lineRule="exact"/>
              <w:rPr>
                <w:sz w:val="20"/>
                <w:szCs w:val="20"/>
                <w:color w:val="auto"/>
              </w:rPr>
            </w:pPr>
            <w:r>
              <w:rPr>
                <w:rFonts w:ascii="Arial" w:cs="Arial" w:eastAsia="Arial" w:hAnsi="Arial"/>
                <w:sz w:val="18"/>
                <w:szCs w:val="18"/>
                <w:b w:val="1"/>
                <w:bCs w:val="1"/>
                <w:color w:val="auto"/>
                <w:w w:val="90"/>
              </w:rPr>
              <w:t>Significant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Active Markets for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Observable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Identical 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Private Portfolio Companies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96,909,349</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96,909,349</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44,805,853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44,805,853</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3,115,764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3,115,764</w:t>
            </w:r>
          </w:p>
        </w:tc>
        <w:tc>
          <w:tcPr>
            <w:tcW w:w="100" w:type="dxa"/>
            <w:vAlign w:val="bottom"/>
            <w:shd w:val="clear" w:color="auto" w:fill="CCEEFF"/>
          </w:tcPr>
          <w:p>
            <w:pPr>
              <w:spacing w:after="0"/>
              <w:rPr>
                <w:sz w:val="18"/>
                <w:szCs w:val="18"/>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3,900,883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3,900,883</w:t>
            </w:r>
          </w:p>
        </w:tc>
        <w:tc>
          <w:tcPr>
            <w:tcW w:w="100" w:type="dxa"/>
            <w:vAlign w:val="bottom"/>
          </w:tcPr>
          <w:p>
            <w:pPr>
              <w:spacing w:after="0"/>
              <w:rPr>
                <w:sz w:val="20"/>
                <w:szCs w:val="20"/>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Private Portfolio Companies</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148,731,849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148,731,849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500" w:type="dxa"/>
            <w:vAlign w:val="bottom"/>
          </w:tcPr>
          <w:p>
            <w:pPr>
              <w:spacing w:after="0" w:line="203" w:lineRule="exact"/>
              <w:rPr>
                <w:sz w:val="20"/>
                <w:szCs w:val="20"/>
                <w:color w:val="auto"/>
              </w:rPr>
            </w:pPr>
            <w:r>
              <w:rPr>
                <w:rFonts w:ascii="Arial" w:cs="Arial" w:eastAsia="Arial" w:hAnsi="Arial"/>
                <w:sz w:val="18"/>
                <w:szCs w:val="18"/>
                <w:b w:val="1"/>
                <w:bCs w:val="1"/>
                <w:color w:val="auto"/>
              </w:rPr>
              <w:t>Publicly Traded Portfolio Companies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11,551,297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11,551,297</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Non-Portfolio Investments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75,895,534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75,895,534</w:t>
            </w:r>
          </w:p>
        </w:tc>
        <w:tc>
          <w:tcPr>
            <w:tcW w:w="100" w:type="dxa"/>
            <w:vAlign w:val="bottom"/>
            <w:shd w:val="clear" w:color="auto" w:fill="CCEEFF"/>
          </w:tcPr>
          <w:p>
            <w:pPr>
              <w:spacing w:after="0"/>
              <w:rPr>
                <w:sz w:val="21"/>
                <w:szCs w:val="21"/>
                <w:color w:val="auto"/>
              </w:rPr>
            </w:pPr>
          </w:p>
        </w:tc>
      </w:tr>
      <w:tr>
        <w:trPr>
          <w:trHeight w:val="216"/>
        </w:trPr>
        <w:tc>
          <w:tcPr>
            <w:tcW w:w="3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Investments at Fair Value</w:t>
            </w: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87,446,831</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148,731,849</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236,178,680</w:t>
            </w:r>
          </w:p>
        </w:tc>
        <w:tc>
          <w:tcPr>
            <w:tcW w:w="100" w:type="dxa"/>
            <w:vAlign w:val="bottom"/>
            <w:tcBorders>
              <w:top w:val="single" w:sz="8" w:color="CCEEFF"/>
            </w:tcBorders>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w w:val="94"/>
              </w:rPr>
              <w:t>As of December 31, 2022</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Quoted Prices in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3"/>
          </w:tcPr>
          <w:p>
            <w:pPr>
              <w:jc w:val="center"/>
              <w:ind w:right="20"/>
              <w:spacing w:after="0" w:line="198" w:lineRule="exact"/>
              <w:rPr>
                <w:sz w:val="20"/>
                <w:szCs w:val="20"/>
                <w:color w:val="auto"/>
              </w:rPr>
            </w:pPr>
            <w:r>
              <w:rPr>
                <w:rFonts w:ascii="Arial" w:cs="Arial" w:eastAsia="Arial" w:hAnsi="Arial"/>
                <w:sz w:val="18"/>
                <w:szCs w:val="18"/>
                <w:b w:val="1"/>
                <w:bCs w:val="1"/>
                <w:color w:val="auto"/>
                <w:w w:val="92"/>
              </w:rPr>
              <w:t>Significant Other</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Active Markets for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Observable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Unobservable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Identical Securities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(Level 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Private Portfolio Companies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0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117,214,465</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117,214,465</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18,692,931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18,692,931</w:t>
            </w: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4,488,200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4,488,200</w:t>
            </w:r>
          </w:p>
        </w:tc>
        <w:tc>
          <w:tcPr>
            <w:tcW w:w="100" w:type="dxa"/>
            <w:vAlign w:val="bottom"/>
            <w:shd w:val="clear" w:color="auto" w:fill="CCEEFF"/>
          </w:tcPr>
          <w:p>
            <w:pPr>
              <w:spacing w:after="0"/>
              <w:rPr>
                <w:sz w:val="18"/>
                <w:szCs w:val="18"/>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Options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3,469,497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3,469,497</w:t>
            </w:r>
          </w:p>
        </w:tc>
        <w:tc>
          <w:tcPr>
            <w:tcW w:w="100" w:type="dxa"/>
            <w:vAlign w:val="bottom"/>
          </w:tcPr>
          <w:p>
            <w:pPr>
              <w:spacing w:after="0"/>
              <w:rPr>
                <w:sz w:val="20"/>
                <w:szCs w:val="20"/>
                <w:color w:val="auto"/>
              </w:rPr>
            </w:pPr>
          </w:p>
        </w:tc>
      </w:tr>
      <w:tr>
        <w:trPr>
          <w:trHeight w:val="236"/>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Private Portfolio Companies</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143,865,093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143,865,093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500" w:type="dxa"/>
            <w:vAlign w:val="bottom"/>
          </w:tcPr>
          <w:p>
            <w:pPr>
              <w:spacing w:after="0" w:line="203" w:lineRule="exact"/>
              <w:rPr>
                <w:sz w:val="20"/>
                <w:szCs w:val="20"/>
                <w:color w:val="auto"/>
              </w:rPr>
            </w:pPr>
            <w:r>
              <w:rPr>
                <w:rFonts w:ascii="Arial" w:cs="Arial" w:eastAsia="Arial" w:hAnsi="Arial"/>
                <w:sz w:val="18"/>
                <w:szCs w:val="18"/>
                <w:b w:val="1"/>
                <w:bCs w:val="1"/>
                <w:color w:val="auto"/>
              </w:rPr>
              <w:t>Publicly Traded Portfolio Companies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13,298,992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13,323,485</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Non-Portfolio Investments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85,056,817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85,056,817</w:t>
            </w:r>
          </w:p>
        </w:tc>
        <w:tc>
          <w:tcPr>
            <w:tcW w:w="100" w:type="dxa"/>
            <w:vAlign w:val="bottom"/>
            <w:shd w:val="clear" w:color="auto" w:fill="CCEEFF"/>
          </w:tcPr>
          <w:p>
            <w:pPr>
              <w:spacing w:after="0"/>
              <w:rPr>
                <w:sz w:val="21"/>
                <w:szCs w:val="21"/>
                <w:color w:val="auto"/>
              </w:rPr>
            </w:pPr>
          </w:p>
        </w:tc>
      </w:tr>
      <w:tr>
        <w:trPr>
          <w:trHeight w:val="217"/>
        </w:trPr>
        <w:tc>
          <w:tcPr>
            <w:tcW w:w="3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Investments at Fair Value</w:t>
            </w:r>
          </w:p>
        </w:tc>
        <w:tc>
          <w:tcPr>
            <w:tcW w:w="6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98,355,809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24,493</w:t>
            </w: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143,865,093</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242,245,395</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tables below provide quantitative information about the fair value measurements of the Company’s Level 3 assets as of June 30, 2023 and December 31, 2022. In addition to the techniques and inputs noted in the tables below, according to the Company’s valuation policy, the Board may also use other valuation techniques and methodologies when determining the fair value measurements of the Company’s assets. The tables below are not intended to be all-inclusive, but rather provide information on the significant Level 3 inputs as they relate to the fair value measurements of the Company’s assets. To the extent an unobservable input is not reflected in the tables below, such input is deemed insignificant with respect to the Company’s Level 3 fair value measurements as of June 30, 2023 and December 31, 2022. Significant changes in the inputs in isolation would result in a significant change in the fair value measurement, depending on the input and the materiality of the investment.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Valuation Approach/</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Range (Weighted</w:t>
            </w:r>
          </w:p>
        </w:tc>
      </w:tr>
      <w:tr>
        <w:trPr>
          <w:trHeight w:val="284"/>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5"/>
              </w:rPr>
              <w:t>Asset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4"/>
                <w:szCs w:val="24"/>
                <w:color w:val="auto"/>
              </w:rPr>
            </w:pPr>
          </w:p>
        </w:tc>
        <w:tc>
          <w:tcPr>
            <w:tcW w:w="1660" w:type="dxa"/>
            <w:vAlign w:val="bottom"/>
          </w:tcPr>
          <w:p>
            <w:pPr>
              <w:jc w:val="center"/>
              <w:spacing w:after="0" w:line="277" w:lineRule="exact"/>
              <w:rPr>
                <w:sz w:val="20"/>
                <w:szCs w:val="20"/>
                <w:color w:val="auto"/>
              </w:rPr>
            </w:pPr>
            <w:r>
              <w:rPr>
                <w:rFonts w:ascii="Arial" w:cs="Arial" w:eastAsia="Arial" w:hAnsi="Arial"/>
                <w:sz w:val="18"/>
                <w:szCs w:val="18"/>
                <w:b w:val="1"/>
                <w:bCs w:val="1"/>
                <w:color w:val="auto"/>
                <w:w w:val="86"/>
              </w:rPr>
              <w:t>Technique</w:t>
            </w:r>
            <w:r>
              <w:rPr>
                <w:rFonts w:ascii="Arial" w:cs="Arial" w:eastAsia="Arial" w:hAnsi="Arial"/>
                <w:sz w:val="29"/>
                <w:szCs w:val="29"/>
                <w:b w:val="1"/>
                <w:bCs w:val="1"/>
                <w:color w:val="auto"/>
                <w:w w:val="86"/>
                <w:vertAlign w:val="superscript"/>
              </w:rPr>
              <w:t>(1)</w:t>
            </w:r>
          </w:p>
        </w:tc>
        <w:tc>
          <w:tcPr>
            <w:tcW w:w="240" w:type="dxa"/>
            <w:vAlign w:val="bottom"/>
          </w:tcPr>
          <w:p>
            <w:pPr>
              <w:spacing w:after="0"/>
              <w:rPr>
                <w:sz w:val="24"/>
                <w:szCs w:val="24"/>
                <w:color w:val="auto"/>
              </w:rPr>
            </w:pPr>
          </w:p>
        </w:tc>
        <w:tc>
          <w:tcPr>
            <w:tcW w:w="1800" w:type="dxa"/>
            <w:vAlign w:val="bottom"/>
          </w:tcPr>
          <w:p>
            <w:pPr>
              <w:jc w:val="center"/>
              <w:spacing w:after="0" w:line="277" w:lineRule="exact"/>
              <w:rPr>
                <w:sz w:val="20"/>
                <w:szCs w:val="20"/>
                <w:color w:val="auto"/>
              </w:rPr>
            </w:pPr>
            <w:r>
              <w:rPr>
                <w:rFonts w:ascii="Arial" w:cs="Arial" w:eastAsia="Arial" w:hAnsi="Arial"/>
                <w:sz w:val="18"/>
                <w:szCs w:val="18"/>
                <w:b w:val="1"/>
                <w:bCs w:val="1"/>
                <w:color w:val="auto"/>
                <w:w w:val="88"/>
              </w:rPr>
              <w:t>Unobservable Inputs</w:t>
            </w:r>
            <w:r>
              <w:rPr>
                <w:rFonts w:ascii="Arial" w:cs="Arial" w:eastAsia="Arial" w:hAnsi="Arial"/>
                <w:sz w:val="29"/>
                <w:szCs w:val="29"/>
                <w:b w:val="1"/>
                <w:bCs w:val="1"/>
                <w:color w:val="auto"/>
                <w:w w:val="88"/>
                <w:vertAlign w:val="superscript"/>
              </w:rPr>
              <w:t>(2)</w:t>
            </w:r>
          </w:p>
        </w:tc>
        <w:tc>
          <w:tcPr>
            <w:tcW w:w="220" w:type="dxa"/>
            <w:vAlign w:val="bottom"/>
          </w:tcPr>
          <w:p>
            <w:pPr>
              <w:spacing w:after="0"/>
              <w:rPr>
                <w:sz w:val="24"/>
                <w:szCs w:val="24"/>
                <w:color w:val="auto"/>
              </w:rPr>
            </w:pPr>
          </w:p>
        </w:tc>
        <w:tc>
          <w:tcPr>
            <w:tcW w:w="1460" w:type="dxa"/>
            <w:vAlign w:val="bottom"/>
            <w:gridSpan w:val="2"/>
          </w:tcPr>
          <w:p>
            <w:pPr>
              <w:jc w:val="center"/>
              <w:ind w:right="120"/>
              <w:spacing w:after="0" w:line="277" w:lineRule="exact"/>
              <w:rPr>
                <w:sz w:val="20"/>
                <w:szCs w:val="20"/>
                <w:color w:val="auto"/>
              </w:rPr>
            </w:pPr>
            <w:r>
              <w:rPr>
                <w:rFonts w:ascii="Arial" w:cs="Arial" w:eastAsia="Arial" w:hAnsi="Arial"/>
                <w:sz w:val="18"/>
                <w:szCs w:val="18"/>
                <w:b w:val="1"/>
                <w:bCs w:val="1"/>
                <w:color w:val="auto"/>
                <w:w w:val="85"/>
              </w:rPr>
              <w:t>Average)</w:t>
            </w:r>
            <w:r>
              <w:rPr>
                <w:rFonts w:ascii="Arial" w:cs="Arial" w:eastAsia="Arial" w:hAnsi="Arial"/>
                <w:sz w:val="29"/>
                <w:szCs w:val="29"/>
                <w:b w:val="1"/>
                <w:bCs w:val="1"/>
                <w:color w:val="auto"/>
                <w:w w:val="85"/>
                <w:vertAlign w:val="superscript"/>
              </w:rPr>
              <w:t>(3)</w:t>
            </w:r>
          </w:p>
        </w:tc>
      </w:tr>
      <w:tr>
        <w:trPr>
          <w:trHeight w:val="202"/>
        </w:trPr>
        <w:tc>
          <w:tcPr>
            <w:tcW w:w="4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0.91x - 10.16x</w:t>
            </w: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 in private companies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44,805,853</w:t>
            </w: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Revenue multiples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(3.67x)</w:t>
            </w:r>
          </w:p>
        </w:tc>
      </w:tr>
      <w:tr>
        <w:trPr>
          <w:trHeight w:val="270"/>
        </w:trPr>
        <w:tc>
          <w:tcPr>
            <w:tcW w:w="4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tcPr>
          <w:p>
            <w:pPr>
              <w:jc w:val="center"/>
              <w:spacing w:after="0" w:line="270" w:lineRule="exact"/>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40" w:type="dxa"/>
            <w:vAlign w:val="bottom"/>
          </w:tcPr>
          <w:p>
            <w:pPr>
              <w:spacing w:after="0"/>
              <w:rPr>
                <w:sz w:val="23"/>
                <w:szCs w:val="23"/>
                <w:color w:val="auto"/>
              </w:rPr>
            </w:pPr>
          </w:p>
        </w:tc>
        <w:tc>
          <w:tcPr>
            <w:tcW w:w="1800" w:type="dxa"/>
            <w:vAlign w:val="bottom"/>
          </w:tcPr>
          <w:p>
            <w:pPr>
              <w:jc w:val="center"/>
              <w:spacing w:after="0" w:line="270" w:lineRule="exact"/>
              <w:rPr>
                <w:sz w:val="20"/>
                <w:szCs w:val="20"/>
                <w:color w:val="auto"/>
              </w:rPr>
            </w:pPr>
            <w:r>
              <w:rPr>
                <w:rFonts w:ascii="Arial" w:cs="Arial" w:eastAsia="Arial" w:hAnsi="Arial"/>
                <w:sz w:val="18"/>
                <w:szCs w:val="18"/>
                <w:color w:val="auto"/>
                <w:w w:val="92"/>
              </w:rPr>
              <w:t>AFFO</w:t>
            </w:r>
            <w:r>
              <w:rPr>
                <w:rFonts w:ascii="Arial" w:cs="Arial" w:eastAsia="Arial" w:hAnsi="Arial"/>
                <w:sz w:val="29"/>
                <w:szCs w:val="29"/>
                <w:color w:val="auto"/>
                <w:w w:val="92"/>
                <w:vertAlign w:val="superscript"/>
              </w:rPr>
              <w:t>(4)</w:t>
            </w:r>
            <w:r>
              <w:rPr>
                <w:rFonts w:ascii="Arial" w:cs="Arial" w:eastAsia="Arial" w:hAnsi="Arial"/>
                <w:sz w:val="18"/>
                <w:szCs w:val="18"/>
                <w:color w:val="auto"/>
                <w:w w:val="92"/>
              </w:rPr>
              <w:t xml:space="preserve"> multiple</w:t>
            </w:r>
          </w:p>
        </w:tc>
        <w:tc>
          <w:tcPr>
            <w:tcW w:w="220" w:type="dxa"/>
            <w:vAlign w:val="bottom"/>
          </w:tcPr>
          <w:p>
            <w:pPr>
              <w:spacing w:after="0"/>
              <w:rPr>
                <w:sz w:val="23"/>
                <w:szCs w:val="2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10.2x</w:t>
            </w:r>
          </w:p>
        </w:tc>
      </w:tr>
      <w:tr>
        <w:trPr>
          <w:trHeight w:val="202"/>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0.16x - 11.7x</w:t>
            </w:r>
          </w:p>
        </w:tc>
      </w:tr>
      <w:tr>
        <w:trPr>
          <w:trHeight w:val="23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Preferred stock in private companies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96,909,349</w:t>
            </w: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Revenue multiples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(2.79x)</w:t>
            </w:r>
          </w:p>
        </w:tc>
      </w:tr>
      <w:tr>
        <w:trPr>
          <w:trHeight w:val="257"/>
        </w:trPr>
        <w:tc>
          <w:tcPr>
            <w:tcW w:w="4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center"/>
              <w:spacing w:after="0" w:line="256" w:lineRule="exact"/>
              <w:rPr>
                <w:sz w:val="20"/>
                <w:szCs w:val="20"/>
                <w:color w:val="auto"/>
              </w:rPr>
            </w:pPr>
            <w:r>
              <w:rPr>
                <w:rFonts w:ascii="Arial" w:cs="Arial" w:eastAsia="Arial" w:hAnsi="Arial"/>
                <w:sz w:val="18"/>
                <w:szCs w:val="18"/>
                <w:color w:val="auto"/>
                <w:w w:val="88"/>
              </w:rPr>
              <w:t>PWERM</w:t>
            </w:r>
            <w:r>
              <w:rPr>
                <w:rFonts w:ascii="Arial" w:cs="Arial" w:eastAsia="Arial" w:hAnsi="Arial"/>
                <w:sz w:val="29"/>
                <w:szCs w:val="29"/>
                <w:color w:val="auto"/>
                <w:w w:val="88"/>
                <w:vertAlign w:val="superscript"/>
              </w:rPr>
              <w:t>(5)</w:t>
            </w:r>
          </w:p>
        </w:tc>
        <w:tc>
          <w:tcPr>
            <w:tcW w:w="24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22"/>
                <w:szCs w:val="22"/>
                <w:color w:val="auto"/>
              </w:rPr>
            </w:pPr>
          </w:p>
        </w:tc>
      </w:tr>
      <w:tr>
        <w:trPr>
          <w:trHeight w:val="202"/>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0.44x - 5.44x</w:t>
            </w:r>
          </w:p>
        </w:tc>
      </w:tr>
      <w:tr>
        <w:trPr>
          <w:trHeight w:val="23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investments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3,115,764</w:t>
            </w: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Revenue multiples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(5.29x)</w:t>
            </w: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92"/>
              </w:rPr>
              <w:t>Term to expiration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3,900,883</w:t>
            </w:r>
          </w:p>
        </w:tc>
        <w:tc>
          <w:tcPr>
            <w:tcW w:w="3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Option pricing model</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15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0.5 - 3.87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660" w:hanging="652"/>
        <w:spacing w:after="0" w:line="26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June 30, 2023,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jc w:val="both"/>
        <w:ind w:left="660" w:hanging="652"/>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Board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averages are calculated based on the fair market value of each investment.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Funds From Operations, or “AFFO”.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ind w:left="940" w:hanging="835"/>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Probability-Weighted Expected Return Method, or “PWERM”.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00" w:type="dxa"/>
            <w:vAlign w:val="bottom"/>
            <w:gridSpan w:val="3"/>
          </w:tcPr>
          <w:p>
            <w:pPr>
              <w:ind w:left="220"/>
              <w:spacing w:after="0"/>
              <w:rPr>
                <w:sz w:val="20"/>
                <w:szCs w:val="20"/>
                <w:color w:val="auto"/>
              </w:rPr>
            </w:pPr>
            <w:r>
              <w:rPr>
                <w:rFonts w:ascii="Arial" w:cs="Arial" w:eastAsia="Arial" w:hAnsi="Arial"/>
                <w:sz w:val="18"/>
                <w:szCs w:val="18"/>
                <w:b w:val="1"/>
                <w:bCs w:val="1"/>
                <w:color w:val="auto"/>
              </w:rPr>
              <w:t>As of December 31, 2022</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Range</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 Approach/</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84"/>
        </w:trPr>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5"/>
              </w:rPr>
              <w:t>Asset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Fair Value</w:t>
            </w:r>
          </w:p>
        </w:tc>
        <w:tc>
          <w:tcPr>
            <w:tcW w:w="1800" w:type="dxa"/>
            <w:vAlign w:val="bottom"/>
          </w:tcPr>
          <w:p>
            <w:pPr>
              <w:jc w:val="center"/>
              <w:spacing w:after="0" w:line="277" w:lineRule="exact"/>
              <w:rPr>
                <w:sz w:val="20"/>
                <w:szCs w:val="20"/>
                <w:color w:val="auto"/>
              </w:rPr>
            </w:pPr>
            <w:r>
              <w:rPr>
                <w:rFonts w:ascii="Arial" w:cs="Arial" w:eastAsia="Arial" w:hAnsi="Arial"/>
                <w:sz w:val="18"/>
                <w:szCs w:val="18"/>
                <w:b w:val="1"/>
                <w:bCs w:val="1"/>
                <w:color w:val="auto"/>
                <w:w w:val="84"/>
              </w:rPr>
              <w:t>Technique</w:t>
            </w:r>
            <w:r>
              <w:rPr>
                <w:rFonts w:ascii="Arial" w:cs="Arial" w:eastAsia="Arial" w:hAnsi="Arial"/>
                <w:sz w:val="29"/>
                <w:szCs w:val="29"/>
                <w:b w:val="1"/>
                <w:bCs w:val="1"/>
                <w:color w:val="auto"/>
                <w:w w:val="84"/>
                <w:vertAlign w:val="superscript"/>
              </w:rPr>
              <w:t>(1)</w:t>
            </w:r>
          </w:p>
        </w:tc>
        <w:tc>
          <w:tcPr>
            <w:tcW w:w="220" w:type="dxa"/>
            <w:vAlign w:val="bottom"/>
          </w:tcPr>
          <w:p>
            <w:pPr>
              <w:spacing w:after="0"/>
              <w:rPr>
                <w:sz w:val="24"/>
                <w:szCs w:val="24"/>
                <w:color w:val="auto"/>
              </w:rPr>
            </w:pPr>
          </w:p>
        </w:tc>
        <w:tc>
          <w:tcPr>
            <w:tcW w:w="1800" w:type="dxa"/>
            <w:vAlign w:val="bottom"/>
          </w:tcPr>
          <w:p>
            <w:pPr>
              <w:jc w:val="center"/>
              <w:spacing w:after="0" w:line="277" w:lineRule="exact"/>
              <w:rPr>
                <w:sz w:val="20"/>
                <w:szCs w:val="20"/>
                <w:color w:val="auto"/>
              </w:rPr>
            </w:pPr>
            <w:r>
              <w:rPr>
                <w:rFonts w:ascii="Arial" w:cs="Arial" w:eastAsia="Arial" w:hAnsi="Arial"/>
                <w:sz w:val="18"/>
                <w:szCs w:val="18"/>
                <w:b w:val="1"/>
                <w:bCs w:val="1"/>
                <w:color w:val="auto"/>
                <w:w w:val="88"/>
              </w:rPr>
              <w:t>Unobservable Inputs</w:t>
            </w:r>
            <w:r>
              <w:rPr>
                <w:rFonts w:ascii="Arial" w:cs="Arial" w:eastAsia="Arial" w:hAnsi="Arial"/>
                <w:sz w:val="29"/>
                <w:szCs w:val="29"/>
                <w:b w:val="1"/>
                <w:bCs w:val="1"/>
                <w:color w:val="auto"/>
                <w:w w:val="88"/>
                <w:vertAlign w:val="superscript"/>
              </w:rPr>
              <w:t>(2)</w:t>
            </w:r>
          </w:p>
        </w:tc>
        <w:tc>
          <w:tcPr>
            <w:tcW w:w="220" w:type="dxa"/>
            <w:vAlign w:val="bottom"/>
          </w:tcPr>
          <w:p>
            <w:pPr>
              <w:spacing w:after="0"/>
              <w:rPr>
                <w:sz w:val="24"/>
                <w:szCs w:val="24"/>
                <w:color w:val="auto"/>
              </w:rPr>
            </w:pPr>
          </w:p>
        </w:tc>
        <w:tc>
          <w:tcPr>
            <w:tcW w:w="1240" w:type="dxa"/>
            <w:vAlign w:val="bottom"/>
            <w:gridSpan w:val="2"/>
          </w:tcPr>
          <w:p>
            <w:pPr>
              <w:jc w:val="center"/>
              <w:ind w:right="100"/>
              <w:spacing w:after="0" w:line="277" w:lineRule="exact"/>
              <w:rPr>
                <w:sz w:val="20"/>
                <w:szCs w:val="20"/>
                <w:color w:val="auto"/>
              </w:rPr>
            </w:pPr>
            <w:r>
              <w:rPr>
                <w:rFonts w:ascii="Arial" w:cs="Arial" w:eastAsia="Arial" w:hAnsi="Arial"/>
                <w:sz w:val="18"/>
                <w:szCs w:val="18"/>
                <w:b w:val="1"/>
                <w:bCs w:val="1"/>
                <w:color w:val="auto"/>
                <w:w w:val="85"/>
              </w:rPr>
              <w:t>Average)</w:t>
            </w:r>
            <w:r>
              <w:rPr>
                <w:rFonts w:ascii="Arial" w:cs="Arial" w:eastAsia="Arial" w:hAnsi="Arial"/>
                <w:sz w:val="29"/>
                <w:szCs w:val="29"/>
                <w:b w:val="1"/>
                <w:bCs w:val="1"/>
                <w:color w:val="auto"/>
                <w:w w:val="85"/>
                <w:vertAlign w:val="superscript"/>
              </w:rPr>
              <w:t>(3)</w:t>
            </w:r>
          </w:p>
        </w:tc>
        <w:tc>
          <w:tcPr>
            <w:tcW w:w="0" w:type="dxa"/>
            <w:vAlign w:val="bottom"/>
          </w:tcPr>
          <w:p>
            <w:pPr>
              <w:spacing w:after="0"/>
              <w:rPr>
                <w:sz w:val="1"/>
                <w:szCs w:val="1"/>
                <w:color w:val="auto"/>
              </w:rPr>
            </w:pPr>
          </w:p>
        </w:tc>
      </w:tr>
      <w:tr>
        <w:trPr>
          <w:trHeight w:val="202"/>
        </w:trPr>
        <w:tc>
          <w:tcPr>
            <w:tcW w:w="4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1.06x - 4.42x</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 in private companies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18,692,931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approach</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Revenue multiples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(1.74x)</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Liquidation Value</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PWERM</w:t>
            </w:r>
            <w:r>
              <w:rPr>
                <w:rFonts w:ascii="Arial" w:cs="Arial" w:eastAsia="Arial" w:hAnsi="Arial"/>
                <w:sz w:val="29"/>
                <w:szCs w:val="29"/>
                <w:color w:val="auto"/>
                <w:w w:val="90"/>
                <w:vertAlign w:val="superscript"/>
              </w:rPr>
              <w:t>(5)</w:t>
            </w:r>
          </w:p>
        </w:tc>
        <w:tc>
          <w:tcPr>
            <w:tcW w:w="220" w:type="dxa"/>
            <w:vAlign w:val="bottom"/>
            <w:shd w:val="clear" w:color="auto" w:fill="CCEEFF"/>
          </w:tcPr>
          <w:p>
            <w:pPr>
              <w:spacing w:after="0"/>
              <w:rPr>
                <w:sz w:val="17"/>
                <w:szCs w:val="17"/>
                <w:color w:val="auto"/>
              </w:rPr>
            </w:pP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9"/>
                <w:szCs w:val="29"/>
                <w:color w:val="auto"/>
                <w:w w:val="92"/>
                <w:vertAlign w:val="superscript"/>
              </w:rPr>
              <w:t>(4)</w:t>
            </w:r>
            <w:r>
              <w:rPr>
                <w:rFonts w:ascii="Arial" w:cs="Arial" w:eastAsia="Arial" w:hAnsi="Arial"/>
                <w:sz w:val="18"/>
                <w:szCs w:val="18"/>
                <w:color w:val="auto"/>
                <w:w w:val="92"/>
              </w:rPr>
              <w:t xml:space="preserve"> multiple</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8.62x -12.62x</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(10.94x)</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0.47x - 5.45x</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9"/>
              </w:rPr>
              <w:t>Preferred stock in private companies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117,214,465</w:t>
            </w:r>
          </w:p>
        </w:tc>
        <w:tc>
          <w:tcPr>
            <w:tcW w:w="3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Revenue multiples</w:t>
            </w: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(2.38x)</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Liquidation Value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15.0% (15.0%)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90"/>
              </w:rPr>
              <w:t>PWERM</w:t>
            </w:r>
            <w:r>
              <w:rPr>
                <w:rFonts w:ascii="Arial" w:cs="Arial" w:eastAsia="Arial" w:hAnsi="Arial"/>
                <w:sz w:val="29"/>
                <w:szCs w:val="29"/>
                <w:color w:val="auto"/>
                <w:w w:val="90"/>
                <w:vertAlign w:val="superscript"/>
              </w:rPr>
              <w:t>(5)</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Revenue multiples</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1.17x - 1.26x</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DLOM</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10.0% (10.0%)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Financing Risk</w:t>
            </w:r>
          </w:p>
        </w:tc>
        <w:tc>
          <w:tcPr>
            <w:tcW w:w="13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2"/>
              </w:rPr>
              <w:t>10.0% (10.0%)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0.47x - 5.45x</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0"/>
              </w:rPr>
              <w:t>Debt investments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4,488,200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Market approach</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Revenue multiples</w:t>
            </w: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(3.6x)</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Term to expiration</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1.00x - 5.29x</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Options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3,469,497</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Option pricing model</w:t>
            </w: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(Years)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(1.65x)</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Discount Rate</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15.0% (15.0%)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7830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660" w:hanging="652"/>
        <w:spacing w:after="0" w:line="26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of December 31, 2022, the Board used a hybrid market and income approach to value certain common and preferred stock investments as the Board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jc w:val="both"/>
        <w:ind w:left="660" w:hanging="652"/>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averages are calculated based on the fair market value of each investment.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Funds From Operations, or “AFFO”.</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Probability-Weighted Expected Return Method, or “PWERM”.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values of Level 3 assets and liabilities changed during the six months ended June 30, 2023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8"/>
                <w:szCs w:val="18"/>
                <w:b w:val="1"/>
                <w:bCs w:val="1"/>
                <w:color w:val="auto"/>
                <w:w w:val="89"/>
              </w:rPr>
              <w:t>Six Months Ended June 30, 2023</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4"/>
              </w:rPr>
              <w:t>Common</w:t>
            </w:r>
          </w:p>
        </w:tc>
        <w:tc>
          <w:tcPr>
            <w:tcW w:w="140" w:type="dxa"/>
            <w:vAlign w:val="bottom"/>
          </w:tcPr>
          <w:p>
            <w:pPr>
              <w:spacing w:after="0"/>
              <w:rPr>
                <w:sz w:val="17"/>
                <w:szCs w:val="17"/>
                <w:color w:val="auto"/>
              </w:rPr>
            </w:pPr>
          </w:p>
        </w:tc>
        <w:tc>
          <w:tcPr>
            <w:tcW w:w="132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7"/>
              </w:rPr>
              <w:t>Preferred</w:t>
            </w:r>
          </w:p>
        </w:tc>
        <w:tc>
          <w:tcPr>
            <w:tcW w:w="100" w:type="dxa"/>
            <w:vAlign w:val="bottom"/>
          </w:tcPr>
          <w:p>
            <w:pPr>
              <w:spacing w:after="0"/>
              <w:rPr>
                <w:sz w:val="17"/>
                <w:szCs w:val="17"/>
                <w:color w:val="auto"/>
              </w:rPr>
            </w:pPr>
          </w:p>
        </w:tc>
        <w:tc>
          <w:tcPr>
            <w:tcW w:w="13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4"/>
              </w:rPr>
              <w:t>Debt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Investments</w:t>
            </w:r>
          </w:p>
        </w:tc>
        <w:tc>
          <w:tcPr>
            <w:tcW w:w="18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Options</w:t>
            </w:r>
          </w:p>
        </w:tc>
        <w:tc>
          <w:tcPr>
            <w:tcW w:w="16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Fair Value as of December 31, 2022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18,692,931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117,214,465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4,488,200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3,469,497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143,865,093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Purchases, capitalized fees and interest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10,008,075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2,004,171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12,514,714</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Sales/Maturity of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(252,629)</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(752,629)</w:t>
            </w:r>
          </w:p>
        </w:tc>
      </w:tr>
      <w:tr>
        <w:trPr>
          <w:trHeight w:val="257"/>
        </w:trPr>
        <w:tc>
          <w:tcPr>
            <w:tcW w:w="4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3,751,518</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(3,249,855)</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(501,663)</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Realized gains/(losses)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1,330,000</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(10,914,376)</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(30,647)</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(9,615,023)</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appreciation/(depreciation)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11,275,958</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(8,145,056)</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(873,434)</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462,226</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2,719,694</w:t>
            </w:r>
          </w:p>
        </w:tc>
        <w:tc>
          <w:tcPr>
            <w:tcW w:w="100" w:type="dxa"/>
            <w:vAlign w:val="bottom"/>
            <w:shd w:val="clear" w:color="auto" w:fill="CCEEFF"/>
          </w:tcPr>
          <w:p>
            <w:pPr>
              <w:spacing w:after="0"/>
              <w:rPr>
                <w:sz w:val="22"/>
                <w:szCs w:val="22"/>
                <w:color w:val="auto"/>
              </w:rPr>
            </w:pPr>
          </w:p>
        </w:tc>
      </w:tr>
      <w:tr>
        <w:trPr>
          <w:trHeight w:val="217"/>
        </w:trPr>
        <w:tc>
          <w:tcPr>
            <w:tcW w:w="4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as of June 30, 2023</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44,805,853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96,909,349</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3,115,764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3,900,883</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148,731,849</w:t>
            </w:r>
          </w:p>
        </w:tc>
        <w:tc>
          <w:tcPr>
            <w:tcW w:w="100" w:type="dxa"/>
            <w:vAlign w:val="bottom"/>
            <w:tcBorders>
              <w:top w:val="single" w:sz="8" w:color="CCEEFF"/>
            </w:tcBorders>
          </w:tcPr>
          <w:p>
            <w:pPr>
              <w:spacing w:after="0"/>
              <w:rPr>
                <w:sz w:val="18"/>
                <w:szCs w:val="18"/>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w w:val="94"/>
              </w:rPr>
              <w:t>Net change in unrealized appreciation/ (depreciation)</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5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6"/>
              </w:rPr>
              <w:t>of Level 3 investments still held as of June 30, 2023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11,275,958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(19,059,432)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(873,434)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429,916</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(8,226,992)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six months ended June 30, 2023, the Company’s portfolio investments had the following corporate actions which are reflected above: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Conversion from</w:t>
            </w:r>
          </w:p>
        </w:tc>
        <w:tc>
          <w:tcPr>
            <w:tcW w:w="24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Conversion to</w:t>
            </w:r>
          </w:p>
        </w:tc>
      </w:tr>
      <w:tr>
        <w:trPr>
          <w:trHeight w:val="202"/>
        </w:trPr>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Senior Preferred shares, Series 1</w:t>
            </w:r>
          </w:p>
        </w:tc>
      </w:tr>
      <w:tr>
        <w:trPr>
          <w:trHeight w:val="216"/>
        </w:trPr>
        <w:tc>
          <w:tcPr>
            <w:tcW w:w="2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Orchard Technologies, Inc.</w:t>
            </w:r>
          </w:p>
        </w:tc>
        <w:tc>
          <w:tcPr>
            <w:tcW w:w="240" w:type="dxa"/>
            <w:vAlign w:val="bottom"/>
            <w:shd w:val="clear" w:color="auto" w:fill="CCEEFF"/>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Preferred shares, Series D</w:t>
            </w:r>
          </w:p>
        </w:tc>
        <w:tc>
          <w:tcPr>
            <w:tcW w:w="240" w:type="dxa"/>
            <w:vAlign w:val="bottom"/>
            <w:shd w:val="clear" w:color="auto" w:fill="CCEEFF"/>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Senior Preferred shares, Series 2</w:t>
            </w:r>
          </w:p>
        </w:tc>
      </w:tr>
      <w:tr>
        <w:trPr>
          <w:trHeight w:val="230"/>
        </w:trPr>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Simple Agreement for Future Equity</w:t>
            </w:r>
          </w:p>
        </w:tc>
        <w:tc>
          <w:tcPr>
            <w:tcW w:w="24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Common Shares</w:t>
            </w:r>
          </w:p>
        </w:tc>
      </w:tr>
      <w:tr>
        <w:trPr>
          <w:trHeight w:val="432"/>
        </w:trPr>
        <w:tc>
          <w:tcPr>
            <w:tcW w:w="11240" w:type="dxa"/>
            <w:vAlign w:val="bottom"/>
            <w:gridSpan w:val="5"/>
          </w:tcPr>
          <w:p>
            <w:pPr>
              <w:ind w:left="34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2022 as follows:</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8"/>
                <w:szCs w:val="18"/>
                <w:b w:val="1"/>
                <w:bCs w:val="1"/>
                <w:color w:val="auto"/>
                <w:w w:val="90"/>
              </w:rPr>
              <w:t>Year Ended December 31, 2022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w w:val="94"/>
              </w:rPr>
              <w:t>Common</w:t>
            </w:r>
          </w:p>
        </w:tc>
        <w:tc>
          <w:tcPr>
            <w:tcW w:w="140" w:type="dxa"/>
            <w:vAlign w:val="bottom"/>
          </w:tcPr>
          <w:p>
            <w:pPr>
              <w:spacing w:after="0"/>
              <w:rPr>
                <w:sz w:val="17"/>
                <w:szCs w:val="17"/>
                <w:color w:val="auto"/>
              </w:rPr>
            </w:pPr>
          </w:p>
        </w:tc>
        <w:tc>
          <w:tcPr>
            <w:tcW w:w="132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7"/>
              </w:rPr>
              <w:t>Preferred</w:t>
            </w:r>
          </w:p>
        </w:tc>
        <w:tc>
          <w:tcPr>
            <w:tcW w:w="100" w:type="dxa"/>
            <w:vAlign w:val="bottom"/>
          </w:tcPr>
          <w:p>
            <w:pPr>
              <w:spacing w:after="0"/>
              <w:rPr>
                <w:sz w:val="17"/>
                <w:szCs w:val="17"/>
                <w:color w:val="auto"/>
              </w:rPr>
            </w:pPr>
          </w:p>
        </w:tc>
        <w:tc>
          <w:tcPr>
            <w:tcW w:w="13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4"/>
              </w:rPr>
              <w:t>Debt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Investments</w:t>
            </w:r>
          </w:p>
        </w:tc>
        <w:tc>
          <w:tcPr>
            <w:tcW w:w="18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Options</w:t>
            </w:r>
          </w:p>
        </w:tc>
        <w:tc>
          <w:tcPr>
            <w:tcW w:w="16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Fair Value as of December 31, 2021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42,860,156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163,801,798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3,011,438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4,959,112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214,632,504</w:t>
            </w:r>
          </w:p>
        </w:tc>
        <w:tc>
          <w:tcPr>
            <w:tcW w:w="100" w:type="dxa"/>
            <w:vAlign w:val="bottom"/>
          </w:tcPr>
          <w:p>
            <w:pPr>
              <w:spacing w:after="0"/>
              <w:rPr>
                <w:sz w:val="18"/>
                <w:szCs w:val="18"/>
                <w:color w:val="auto"/>
              </w:rPr>
            </w:pPr>
          </w:p>
        </w:tc>
      </w:tr>
      <w:tr>
        <w:trPr>
          <w:trHeight w:val="257"/>
        </w:trPr>
        <w:tc>
          <w:tcPr>
            <w:tcW w:w="40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(6,918,251)</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(1,775,506)</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(48,639)</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(8,742,396)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Purchases, capitalized fees and interest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20,767,788</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1,509,093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503,183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22,780,064</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Sales/Maturity of investments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(874,470)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(1,874,470)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Realized gains/(losses)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160,965</w:t>
            </w: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(70,379)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90,586</w:t>
            </w: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change in unrealized appreciation/(depreciation)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(16,535,469)</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(65,579,615)</w:t>
            </w: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967,669</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(1,873,780)</w:t>
            </w: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(83,021,195)</w:t>
            </w:r>
          </w:p>
        </w:tc>
      </w:tr>
      <w:tr>
        <w:trPr>
          <w:trHeight w:val="256"/>
        </w:trPr>
        <w:tc>
          <w:tcPr>
            <w:tcW w:w="40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Fair Value as of December 31, 2022</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18,692,931</w:t>
            </w:r>
          </w:p>
        </w:tc>
        <w:tc>
          <w:tcPr>
            <w:tcW w:w="3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117,214,465</w:t>
            </w:r>
          </w:p>
        </w:tc>
        <w:tc>
          <w:tcPr>
            <w:tcW w:w="3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4,488,200</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3,469,497</w:t>
            </w:r>
          </w:p>
        </w:tc>
        <w:tc>
          <w:tcPr>
            <w:tcW w:w="3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143,865,093</w:t>
            </w:r>
          </w:p>
        </w:tc>
        <w:tc>
          <w:tcPr>
            <w:tcW w:w="100" w:type="dxa"/>
            <w:vAlign w:val="bottom"/>
            <w:tcBorders>
              <w:top w:val="single" w:sz="8" w:color="CCEEFF"/>
              <w:bottom w:val="single" w:sz="8" w:color="CCEEFF"/>
            </w:tcBorders>
          </w:tcPr>
          <w:p>
            <w:pPr>
              <w:spacing w:after="0"/>
              <w:rPr>
                <w:sz w:val="22"/>
                <w:szCs w:val="22"/>
                <w:color w:val="auto"/>
              </w:rPr>
            </w:pPr>
          </w:p>
        </w:tc>
      </w:tr>
      <w:tr>
        <w:trPr>
          <w:trHeight w:val="155"/>
        </w:trPr>
        <w:tc>
          <w:tcPr>
            <w:tcW w:w="40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Net change in unrealized appreciation/ (depreciation)</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6"/>
              </w:rPr>
              <w:t>of Level 3 investments still held as of December 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(7,023,165)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(63,138,372)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967,669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(1,624,324)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(70,818,192)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the year ended December 31, 2022, the Company’s portfolio investments had the following corporate actions which are reflected above: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Conversion from</w:t>
            </w:r>
          </w:p>
        </w:tc>
        <w:tc>
          <w:tcPr>
            <w:tcW w:w="240" w:type="dxa"/>
            <w:vAlign w:val="bottom"/>
            <w:tcBorders>
              <w:bottom w:val="single" w:sz="8" w:color="CCEEFF"/>
            </w:tcBorders>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Conversion to</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Common Shares, Class AA</w:t>
            </w:r>
          </w:p>
        </w:tc>
        <w:tc>
          <w:tcPr>
            <w:tcW w:w="24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rPr>
              <w:t>Forge Global, Inc.</w:t>
            </w:r>
          </w:p>
        </w:tc>
        <w:tc>
          <w:tcPr>
            <w:tcW w:w="240" w:type="dxa"/>
            <w:vAlign w:val="bottom"/>
            <w:shd w:val="clear" w:color="auto" w:fill="CCEEFF"/>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Junior Preferred Shares</w:t>
            </w:r>
          </w:p>
        </w:tc>
        <w:tc>
          <w:tcPr>
            <w:tcW w:w="240" w:type="dxa"/>
            <w:vAlign w:val="bottom"/>
            <w:shd w:val="clear" w:color="auto" w:fill="CCEEFF"/>
          </w:tcPr>
          <w:p>
            <w:pPr>
              <w:spacing w:after="0"/>
              <w:rPr>
                <w:sz w:val="18"/>
                <w:szCs w:val="18"/>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Public Common shares (Level 2)</w:t>
            </w:r>
          </w:p>
        </w:tc>
        <w:tc>
          <w:tcPr>
            <w:tcW w:w="0" w:type="dxa"/>
            <w:vAlign w:val="bottom"/>
          </w:tcPr>
          <w:p>
            <w:pPr>
              <w:spacing w:after="0"/>
              <w:rPr>
                <w:sz w:val="1"/>
                <w:szCs w:val="1"/>
                <w:color w:val="auto"/>
              </w:rPr>
            </w:pPr>
          </w:p>
        </w:tc>
      </w:tr>
      <w:tr>
        <w:trPr>
          <w:trHeight w:val="122"/>
        </w:trPr>
        <w:tc>
          <w:tcPr>
            <w:tcW w:w="292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Junior Preferred Warrants, Strike Price $12.42,</w:t>
            </w:r>
          </w:p>
        </w:tc>
        <w:tc>
          <w:tcPr>
            <w:tcW w:w="240" w:type="dxa"/>
            <w:vAlign w:val="bottom"/>
            <w:shd w:val="clear" w:color="auto" w:fill="CCEEFF"/>
          </w:tcPr>
          <w:p>
            <w:pPr>
              <w:spacing w:after="0"/>
              <w:rPr>
                <w:sz w:val="10"/>
                <w:szCs w:val="10"/>
                <w:color w:val="auto"/>
              </w:rPr>
            </w:pPr>
          </w:p>
        </w:tc>
        <w:tc>
          <w:tcPr>
            <w:tcW w:w="39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Common warrants, Strike Price $3.98, Expiration</w:t>
            </w:r>
          </w:p>
        </w:tc>
        <w:tc>
          <w:tcPr>
            <w:tcW w:w="0" w:type="dxa"/>
            <w:vAlign w:val="bottom"/>
          </w:tcPr>
          <w:p>
            <w:pPr>
              <w:spacing w:after="0"/>
              <w:rPr>
                <w:sz w:val="1"/>
                <w:szCs w:val="1"/>
                <w:color w:val="auto"/>
              </w:rPr>
            </w:pPr>
          </w:p>
        </w:tc>
      </w:tr>
      <w:tr>
        <w:trPr>
          <w:trHeight w:val="94"/>
        </w:trPr>
        <w:tc>
          <w:tcPr>
            <w:tcW w:w="29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92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Expiration Date 11/9/2025</w:t>
            </w:r>
          </w:p>
        </w:tc>
        <w:tc>
          <w:tcPr>
            <w:tcW w:w="240" w:type="dxa"/>
            <w:vAlign w:val="bottom"/>
            <w:shd w:val="clear" w:color="auto" w:fill="CCEEFF"/>
          </w:tcPr>
          <w:p>
            <w:pPr>
              <w:spacing w:after="0"/>
              <w:rPr>
                <w:sz w:val="20"/>
                <w:szCs w:val="20"/>
                <w:color w:val="auto"/>
              </w:rPr>
            </w:pP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Date 11/9/2025 (Level 2)</w:t>
            </w:r>
          </w:p>
        </w:tc>
        <w:tc>
          <w:tcPr>
            <w:tcW w:w="0" w:type="dxa"/>
            <w:vAlign w:val="bottom"/>
          </w:tcPr>
          <w:p>
            <w:pPr>
              <w:spacing w:after="0"/>
              <w:rPr>
                <w:sz w:val="1"/>
                <w:szCs w:val="1"/>
                <w:color w:val="auto"/>
              </w:rPr>
            </w:pPr>
          </w:p>
        </w:tc>
      </w:tr>
      <w:tr>
        <w:trPr>
          <w:trHeight w:val="439"/>
        </w:trPr>
        <w:tc>
          <w:tcPr>
            <w:tcW w:w="29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right"/>
              <w:ind w:right="1270"/>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Transactions during the six months ended June 30, 2023 involving the Company’s controlled investments and non-controlled/affiliate investments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Interest,</w:t>
            </w:r>
          </w:p>
        </w:tc>
        <w:tc>
          <w:tcPr>
            <w:tcW w:w="120" w:type="dxa"/>
            <w:vAlign w:val="bottom"/>
          </w:tcPr>
          <w:p>
            <w:pPr>
              <w:spacing w:after="0"/>
              <w:rPr>
                <w:sz w:val="14"/>
                <w:szCs w:val="14"/>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Fees, or</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Principal/</w:t>
            </w:r>
          </w:p>
        </w:tc>
        <w:tc>
          <w:tcPr>
            <w:tcW w:w="18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Dividends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Unrealized</w:t>
            </w:r>
          </w:p>
        </w:tc>
        <w:tc>
          <w:tcPr>
            <w:tcW w:w="9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Type/Industry/Portfolio Company/Investment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at June 30,</w:t>
            </w:r>
          </w:p>
        </w:tc>
        <w:tc>
          <w:tcPr>
            <w:tcW w:w="1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8"/>
        </w:trPr>
        <w:tc>
          <w:tcPr>
            <w:tcW w:w="4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Quantity</w:t>
            </w:r>
          </w:p>
        </w:tc>
        <w:tc>
          <w:tcPr>
            <w:tcW w:w="180" w:type="dxa"/>
            <w:vAlign w:val="bottom"/>
          </w:tcPr>
          <w:p>
            <w:pPr>
              <w:spacing w:after="0"/>
              <w:rPr>
                <w:sz w:val="15"/>
                <w:szCs w:val="15"/>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31, 2022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Gains/(Losses)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Gains/(Losses)</w:t>
            </w:r>
          </w:p>
        </w:tc>
        <w:tc>
          <w:tcPr>
            <w:tcW w:w="10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89"/>
        </w:trPr>
        <w:tc>
          <w:tcPr>
            <w:tcW w:w="436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CONTROLLED INVESTMENTS*</w:t>
            </w:r>
            <w:r>
              <w:rPr>
                <w:rFonts w:ascii="Arial" w:cs="Arial" w:eastAsia="Arial" w:hAnsi="Arial"/>
                <w:sz w:val="21"/>
                <w:szCs w:val="21"/>
                <w:b w:val="1"/>
                <w:bCs w:val="1"/>
                <w:color w:val="auto"/>
                <w:vertAlign w:val="superscript"/>
              </w:rPr>
              <w:t>(2)</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Options</w:t>
            </w:r>
          </w:p>
        </w:tc>
        <w:tc>
          <w:tcPr>
            <w:tcW w:w="204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Special Purpose Acquisition Company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ind w:left="360"/>
              <w:spacing w:after="0" w:line="216" w:lineRule="exact"/>
              <w:rPr>
                <w:sz w:val="20"/>
                <w:szCs w:val="20"/>
                <w:color w:val="auto"/>
              </w:rPr>
            </w:pPr>
            <w:r>
              <w:rPr>
                <w:rFonts w:ascii="Arial" w:cs="Arial" w:eastAsia="Arial" w:hAnsi="Arial"/>
                <w:sz w:val="14"/>
                <w:szCs w:val="14"/>
                <w:color w:val="auto"/>
              </w:rPr>
              <w:t>Colombier Sponsor LLC**–Class W Units</w:t>
            </w:r>
            <w:r>
              <w:rPr>
                <w:rFonts w:ascii="Arial" w:cs="Arial" w:eastAsia="Arial" w:hAnsi="Arial"/>
                <w:sz w:val="23"/>
                <w:szCs w:val="23"/>
                <w:color w:val="auto"/>
                <w:vertAlign w:val="superscript"/>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2,700,000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1,157,487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1,083,513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2,241,000</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Options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1,157,487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2,241,000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Clean Technology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360" w:type="dxa"/>
            <w:vAlign w:val="bottom"/>
            <w:gridSpan w:val="3"/>
          </w:tcPr>
          <w:p>
            <w:pPr>
              <w:ind w:left="360"/>
              <w:spacing w:after="0" w:line="146" w:lineRule="exact"/>
              <w:rPr>
                <w:sz w:val="20"/>
                <w:szCs w:val="20"/>
                <w:color w:val="auto"/>
              </w:rPr>
            </w:pPr>
            <w:r>
              <w:rPr>
                <w:rFonts w:ascii="Arial" w:cs="Arial" w:eastAsia="Arial" w:hAnsi="Arial"/>
                <w:sz w:val="14"/>
                <w:szCs w:val="14"/>
                <w:color w:val="auto"/>
              </w:rPr>
              <w:t>SPBRX, INC. (f/k/a GSV Sustainability Partners, Inc.)–Preferred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ind w:left="360"/>
              <w:spacing w:after="0" w:line="205" w:lineRule="exact"/>
              <w:rPr>
                <w:sz w:val="20"/>
                <w:szCs w:val="20"/>
                <w:color w:val="auto"/>
              </w:rPr>
            </w:pPr>
            <w:r>
              <w:rPr>
                <w:rFonts w:ascii="Arial" w:cs="Arial" w:eastAsia="Arial" w:hAnsi="Arial"/>
                <w:sz w:val="14"/>
                <w:szCs w:val="14"/>
                <w:color w:val="auto"/>
              </w:rPr>
              <w:t>shares, Class A</w:t>
            </w:r>
            <w:r>
              <w:rPr>
                <w:rFonts w:ascii="Arial" w:cs="Arial" w:eastAsia="Arial" w:hAnsi="Arial"/>
                <w:sz w:val="23"/>
                <w:szCs w:val="23"/>
                <w:color w:val="auto"/>
                <w:vertAlign w:val="superscript"/>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14,300,000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984,028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934,028</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Preferred Stock</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984,028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934,028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Clean Technology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36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SPBRX, INC. (f/k/a GSV Sustainability Partners, Inc.)–Common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gridSpan w:val="3"/>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Mobile Finance Technology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360" w:type="dxa"/>
            <w:vAlign w:val="bottom"/>
            <w:gridSpan w:val="3"/>
          </w:tcPr>
          <w:p>
            <w:pPr>
              <w:ind w:left="360"/>
              <w:spacing w:after="0" w:line="130" w:lineRule="exact"/>
              <w:rPr>
                <w:sz w:val="20"/>
                <w:szCs w:val="20"/>
                <w:color w:val="auto"/>
              </w:rPr>
            </w:pPr>
            <w:r>
              <w:rPr>
                <w:rFonts w:ascii="Arial" w:cs="Arial" w:eastAsia="Arial" w:hAnsi="Arial"/>
                <w:sz w:val="14"/>
                <w:szCs w:val="14"/>
                <w:color w:val="auto"/>
              </w:rPr>
              <w:t>Architect Capital PayJoy SPV, LLC**–Membership Interest 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360" w:type="dxa"/>
            <w:vAlign w:val="bottom"/>
            <w:gridSpan w:val="3"/>
          </w:tcPr>
          <w:p>
            <w:pPr>
              <w:ind w:left="360"/>
              <w:spacing w:after="0"/>
              <w:rPr>
                <w:sz w:val="20"/>
                <w:szCs w:val="20"/>
                <w:color w:val="auto"/>
              </w:rPr>
            </w:pPr>
            <w:r>
              <w:rPr>
                <w:rFonts w:ascii="Arial" w:cs="Arial" w:eastAsia="Arial" w:hAnsi="Arial"/>
                <w:sz w:val="14"/>
                <w:szCs w:val="14"/>
                <w:color w:val="auto"/>
              </w:rPr>
              <w:t>Lending SPV***</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10,000,000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554,425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10,000,000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10,000,000</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Special Purpose Acquisition Company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ind w:left="360"/>
              <w:spacing w:after="0" w:line="216" w:lineRule="exact"/>
              <w:rPr>
                <w:sz w:val="20"/>
                <w:szCs w:val="20"/>
                <w:color w:val="auto"/>
              </w:rPr>
            </w:pPr>
            <w:r>
              <w:rPr>
                <w:rFonts w:ascii="Arial" w:cs="Arial" w:eastAsia="Arial" w:hAnsi="Arial"/>
                <w:sz w:val="14"/>
                <w:szCs w:val="14"/>
                <w:color w:val="auto"/>
              </w:rPr>
              <w:t>Colombier Sponsor LLC**–Class B Units</w:t>
            </w:r>
            <w:r>
              <w:rPr>
                <w:rFonts w:ascii="Arial" w:cs="Arial" w:eastAsia="Arial" w:hAnsi="Arial"/>
                <w:sz w:val="23"/>
                <w:szCs w:val="23"/>
                <w:color w:val="auto"/>
                <w:vertAlign w:val="superscript"/>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1,976,032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1,554,355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13,387,250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14,941,605</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Common Stock</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554,425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11,554,355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13,387,250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1"/>
              </w:rPr>
              <w:t>24,941,605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gridSpan w:val="3"/>
            <w:vMerge w:val="restart"/>
          </w:tcPr>
          <w:p>
            <w:pPr>
              <w:spacing w:after="0" w:line="210" w:lineRule="exact"/>
              <w:rPr>
                <w:sz w:val="20"/>
                <w:szCs w:val="20"/>
                <w:color w:val="auto"/>
              </w:rPr>
            </w:pPr>
            <w:r>
              <w:rPr>
                <w:rFonts w:ascii="Arial" w:cs="Arial" w:eastAsia="Arial" w:hAnsi="Arial"/>
                <w:sz w:val="14"/>
                <w:szCs w:val="14"/>
                <w:b w:val="1"/>
                <w:bCs w:val="1"/>
                <w:color w:val="auto"/>
              </w:rPr>
              <w:t>TOTAL CONTROLLED INVESTMENTS*</w:t>
            </w:r>
            <w:r>
              <w:rPr>
                <w:rFonts w:ascii="Arial" w:cs="Arial" w:eastAsia="Arial" w:hAnsi="Arial"/>
                <w:sz w:val="23"/>
                <w:szCs w:val="23"/>
                <w:b w:val="1"/>
                <w:bCs w:val="1"/>
                <w:color w:val="auto"/>
                <w:vertAlign w:val="superscript"/>
              </w:rPr>
              <w:t>(2)</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554,425</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13,695,870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14,420,763</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28,116,633</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15.06%</w:t>
            </w:r>
          </w:p>
        </w:tc>
        <w:tc>
          <w:tcPr>
            <w:tcW w:w="0" w:type="dxa"/>
            <w:vAlign w:val="bottom"/>
          </w:tcPr>
          <w:p>
            <w:pPr>
              <w:spacing w:after="0"/>
              <w:rPr>
                <w:sz w:val="1"/>
                <w:szCs w:val="1"/>
                <w:color w:val="auto"/>
              </w:rPr>
            </w:pPr>
          </w:p>
        </w:tc>
      </w:tr>
      <w:tr>
        <w:trPr>
          <w:trHeight w:val="203"/>
        </w:trPr>
        <w:tc>
          <w:tcPr>
            <w:tcW w:w="436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NON-CONTROLLED/AFFILIATE INVESTMENTS*</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Debt Investments</w:t>
            </w: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60" w:type="dxa"/>
            <w:vAlign w:val="bottom"/>
            <w:gridSpan w:val="3"/>
          </w:tcPr>
          <w:p>
            <w:pPr>
              <w:ind w:left="360"/>
              <w:spacing w:after="0" w:line="133" w:lineRule="exact"/>
              <w:rPr>
                <w:sz w:val="20"/>
                <w:szCs w:val="20"/>
                <w:color w:val="auto"/>
              </w:rPr>
            </w:pPr>
            <w:r>
              <w:rPr>
                <w:rFonts w:ascii="Arial" w:cs="Arial" w:eastAsia="Arial" w:hAnsi="Arial"/>
                <w:sz w:val="14"/>
                <w:szCs w:val="14"/>
                <w:color w:val="auto"/>
                <w:w w:val="95"/>
              </w:rPr>
              <w:t>OneValley, Inc. (f/k/a NestGSV, Inc.) –Convertible Promissory Note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ind w:left="360"/>
              <w:spacing w:after="0" w:line="205" w:lineRule="exact"/>
              <w:rPr>
                <w:sz w:val="20"/>
                <w:szCs w:val="20"/>
                <w:color w:val="auto"/>
              </w:rPr>
            </w:pPr>
            <w:r>
              <w:rPr>
                <w:rFonts w:ascii="Arial" w:cs="Arial" w:eastAsia="Arial" w:hAnsi="Arial"/>
                <w:sz w:val="14"/>
                <w:szCs w:val="14"/>
                <w:color w:val="auto"/>
              </w:rPr>
              <w:t>8%, Due 8/23/2024</w:t>
            </w:r>
            <w:r>
              <w:rPr>
                <w:rFonts w:ascii="Arial" w:cs="Arial" w:eastAsia="Arial" w:hAnsi="Arial"/>
                <w:sz w:val="23"/>
                <w:szCs w:val="23"/>
                <w:color w:val="auto"/>
                <w:vertAlign w:val="superscript"/>
              </w:rPr>
              <w:t>(3)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1,010,198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1,988,200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(1,027,809)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960,391</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Debt Investments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1,988,200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(1,027,809)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960,391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Knowledge Networks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ind w:left="360"/>
              <w:spacing w:after="0"/>
              <w:rPr>
                <w:sz w:val="20"/>
                <w:szCs w:val="20"/>
                <w:color w:val="auto"/>
              </w:rPr>
            </w:pPr>
            <w:r>
              <w:rPr>
                <w:rFonts w:ascii="Arial" w:cs="Arial" w:eastAsia="Arial" w:hAnsi="Arial"/>
                <w:sz w:val="14"/>
                <w:szCs w:val="14"/>
                <w:color w:val="auto"/>
              </w:rPr>
              <w:t>Maven Research, Inc.–Preferred shares, Series 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318,979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Maven Research, Inc.–Preferred shares, Series B</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3"/>
          </w:tcPr>
          <w:p>
            <w:pPr>
              <w:ind w:left="180"/>
              <w:spacing w:after="0"/>
              <w:rPr>
                <w:sz w:val="20"/>
                <w:szCs w:val="20"/>
                <w:color w:val="auto"/>
              </w:rPr>
            </w:pPr>
            <w:r>
              <w:rPr>
                <w:rFonts w:ascii="Arial" w:cs="Arial" w:eastAsia="Arial" w:hAnsi="Arial"/>
                <w:sz w:val="14"/>
                <w:szCs w:val="14"/>
                <w:i w:val="1"/>
                <w:iCs w:val="1"/>
                <w:color w:val="auto"/>
              </w:rPr>
              <w:t>Total Knowledge Networks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Digital Media Platform</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gridSpan w:val="3"/>
          </w:tcPr>
          <w:p>
            <w:pPr>
              <w:ind w:left="360"/>
              <w:spacing w:after="0" w:line="202" w:lineRule="exact"/>
              <w:rPr>
                <w:sz w:val="20"/>
                <w:szCs w:val="20"/>
                <w:color w:val="auto"/>
              </w:rPr>
            </w:pPr>
            <w:r>
              <w:rPr>
                <w:rFonts w:ascii="Arial" w:cs="Arial" w:eastAsia="Arial" w:hAnsi="Arial"/>
                <w:sz w:val="14"/>
                <w:szCs w:val="14"/>
                <w:color w:val="auto"/>
              </w:rPr>
              <w:t>Ozy Media, Inc.–Preferred shares, Series C-2 6%</w:t>
            </w:r>
            <w:r>
              <w:rPr>
                <w:rFonts w:ascii="Arial" w:cs="Arial" w:eastAsia="Arial" w:hAnsi="Arial"/>
                <w:sz w:val="23"/>
                <w:szCs w:val="23"/>
                <w:color w:val="auto"/>
                <w:vertAlign w:val="superscript"/>
              </w:rPr>
              <w:t>(8)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(2,414,178</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2,414,178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60" w:type="dxa"/>
            <w:vAlign w:val="bottom"/>
            <w:gridSpan w:val="3"/>
            <w:shd w:val="clear" w:color="auto" w:fill="CCEEFF"/>
          </w:tcPr>
          <w:p>
            <w:pPr>
              <w:ind w:left="360"/>
              <w:spacing w:after="0" w:line="189" w:lineRule="exact"/>
              <w:rPr>
                <w:sz w:val="20"/>
                <w:szCs w:val="20"/>
                <w:color w:val="auto"/>
              </w:rPr>
            </w:pPr>
            <w:r>
              <w:rPr>
                <w:rFonts w:ascii="Arial" w:cs="Arial" w:eastAsia="Arial" w:hAnsi="Arial"/>
                <w:sz w:val="13"/>
                <w:szCs w:val="13"/>
                <w:color w:val="auto"/>
              </w:rPr>
              <w:t>Ozy Media, Inc.–Preferred shares, Series B 6%</w:t>
            </w:r>
            <w:r>
              <w:rPr>
                <w:rFonts w:ascii="Arial" w:cs="Arial" w:eastAsia="Arial" w:hAnsi="Arial"/>
                <w:sz w:val="21"/>
                <w:szCs w:val="21"/>
                <w:color w:val="auto"/>
                <w:vertAlign w:val="superscript"/>
              </w:rPr>
              <w:t>(8)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(4,999,999</w:t>
            </w:r>
          </w:p>
        </w:tc>
        <w:tc>
          <w:tcPr>
            <w:tcW w:w="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360" w:type="dxa"/>
            <w:vAlign w:val="bottom"/>
            <w:gridSpan w:val="3"/>
          </w:tcPr>
          <w:p>
            <w:pPr>
              <w:ind w:left="360"/>
              <w:spacing w:after="0" w:line="202" w:lineRule="exact"/>
              <w:rPr>
                <w:sz w:val="20"/>
                <w:szCs w:val="20"/>
                <w:color w:val="auto"/>
              </w:rPr>
            </w:pPr>
            <w:r>
              <w:rPr>
                <w:rFonts w:ascii="Arial" w:cs="Arial" w:eastAsia="Arial" w:hAnsi="Arial"/>
                <w:sz w:val="14"/>
                <w:szCs w:val="14"/>
                <w:color w:val="auto"/>
              </w:rPr>
              <w:t>Ozy Media, Inc.–Preferred shares, Series A 6%</w:t>
            </w:r>
            <w:r>
              <w:rPr>
                <w:rFonts w:ascii="Arial" w:cs="Arial" w:eastAsia="Arial" w:hAnsi="Arial"/>
                <w:sz w:val="23"/>
                <w:szCs w:val="23"/>
                <w:color w:val="auto"/>
                <w:vertAlign w:val="superscript"/>
              </w:rPr>
              <w:t>(8)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(3,000,200</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3,000,200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4"/>
                <w:szCs w:val="14"/>
                <w:color w:val="auto"/>
              </w:rPr>
              <w:t>Ozy Media, Inc.–Preferred shares, Series Seed 6%</w:t>
            </w:r>
            <w:r>
              <w:rPr>
                <w:rFonts w:ascii="Arial" w:cs="Arial" w:eastAsia="Arial" w:hAnsi="Arial"/>
                <w:sz w:val="23"/>
                <w:szCs w:val="23"/>
                <w:color w:val="auto"/>
                <w:vertAlign w:val="superscript"/>
              </w:rPr>
              <w:t>(8)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3"/>
            <w:shd w:val="clear" w:color="auto" w:fill="CCEEFF"/>
          </w:tcPr>
          <w:p>
            <w:pPr>
              <w:jc w:val="right"/>
              <w:ind w:right="120"/>
              <w:spacing w:after="0" w:line="230" w:lineRule="exact"/>
              <w:rPr>
                <w:sz w:val="20"/>
                <w:szCs w:val="20"/>
                <w:color w:val="auto"/>
              </w:rPr>
            </w:pPr>
            <w:r>
              <w:rPr>
                <w:rFonts w:ascii="Arial" w:cs="Arial" w:eastAsia="Arial" w:hAnsi="Arial"/>
                <w:sz w:val="12"/>
                <w:szCs w:val="12"/>
                <w:color w:val="auto"/>
              </w:rPr>
              <w:t xml:space="preserve">(500,000 </w:t>
            </w:r>
            <w:r>
              <w:rPr>
                <w:rFonts w:ascii="Arial" w:cs="Arial" w:eastAsia="Arial" w:hAnsi="Arial"/>
                <w:sz w:val="26"/>
                <w:szCs w:val="26"/>
                <w:color w:val="auto"/>
                <w:vertAlign w:val="superscript"/>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gridSpan w:val="3"/>
            <w:vMerge w:val="restart"/>
          </w:tcPr>
          <w:p>
            <w:pPr>
              <w:ind w:left="180"/>
              <w:spacing w:after="0" w:line="155" w:lineRule="exact"/>
              <w:rPr>
                <w:sz w:val="20"/>
                <w:szCs w:val="20"/>
                <w:color w:val="auto"/>
              </w:rPr>
            </w:pPr>
            <w:r>
              <w:rPr>
                <w:rFonts w:ascii="Arial" w:cs="Arial" w:eastAsia="Arial" w:hAnsi="Arial"/>
                <w:sz w:val="14"/>
                <w:szCs w:val="14"/>
                <w:i w:val="1"/>
                <w:iCs w:val="1"/>
                <w:color w:val="auto"/>
              </w:rPr>
              <w:t>Total Digital Media Platform</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40"/>
              <w:spacing w:after="0" w:line="135" w:lineRule="exact"/>
              <w:rPr>
                <w:sz w:val="20"/>
                <w:szCs w:val="20"/>
                <w:color w:val="auto"/>
              </w:rPr>
            </w:pPr>
            <w:r>
              <w:rPr>
                <w:rFonts w:ascii="Arial" w:cs="Arial" w:eastAsia="Arial" w:hAnsi="Arial"/>
                <w:sz w:val="14"/>
                <w:szCs w:val="14"/>
                <w:color w:val="auto"/>
                <w:w w:val="85"/>
              </w:rPr>
              <w:t>—</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(10,914,377</w:t>
            </w:r>
          </w:p>
        </w:tc>
        <w:tc>
          <w:tcPr>
            <w:tcW w:w="2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10,914,377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80"/>
              <w:spacing w:after="0"/>
              <w:rPr>
                <w:sz w:val="20"/>
                <w:szCs w:val="20"/>
                <w:color w:val="auto"/>
              </w:rPr>
            </w:pPr>
            <w:r>
              <w:rPr>
                <w:rFonts w:ascii="Arial" w:cs="Arial" w:eastAsia="Arial" w:hAnsi="Arial"/>
                <w:sz w:val="14"/>
                <w:szCs w:val="14"/>
                <w:i w:val="1"/>
                <w:iCs w:val="1"/>
                <w:color w:val="auto"/>
              </w:rPr>
              <w:t>Interactive Learning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ind w:left="360"/>
              <w:spacing w:after="0" w:line="216" w:lineRule="exact"/>
              <w:rPr>
                <w:sz w:val="20"/>
                <w:szCs w:val="20"/>
                <w:color w:val="auto"/>
              </w:rPr>
            </w:pPr>
            <w:r>
              <w:rPr>
                <w:rFonts w:ascii="Arial" w:cs="Arial" w:eastAsia="Arial" w:hAnsi="Arial"/>
                <w:sz w:val="14"/>
                <w:szCs w:val="14"/>
                <w:color w:val="auto"/>
              </w:rPr>
              <w:t>StormWind, LLC–Preferred shares, Series D 8%</w:t>
            </w:r>
            <w:r>
              <w:rPr>
                <w:rFonts w:ascii="Arial" w:cs="Arial" w:eastAsia="Arial" w:hAnsi="Arial"/>
                <w:sz w:val="23"/>
                <w:szCs w:val="23"/>
                <w:color w:val="auto"/>
                <w:vertAlign w:val="superscript"/>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329,337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533,429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563,039</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360"/>
              <w:spacing w:after="0" w:line="216" w:lineRule="exact"/>
              <w:rPr>
                <w:sz w:val="20"/>
                <w:szCs w:val="20"/>
                <w:color w:val="auto"/>
              </w:rPr>
            </w:pPr>
            <w:r>
              <w:rPr>
                <w:rFonts w:ascii="Arial" w:cs="Arial" w:eastAsia="Arial" w:hAnsi="Arial"/>
                <w:sz w:val="14"/>
                <w:szCs w:val="14"/>
                <w:color w:val="auto"/>
              </w:rPr>
              <w:t>StormWind, LLC–Preferred shares, Series C 8%</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2,779,134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5,675,081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5,952,610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16"/>
        </w:trPr>
        <w:tc>
          <w:tcPr>
            <w:tcW w:w="4360" w:type="dxa"/>
            <w:vAlign w:val="bottom"/>
            <w:gridSpan w:val="3"/>
          </w:tcPr>
          <w:p>
            <w:pPr>
              <w:ind w:left="360"/>
              <w:spacing w:after="0" w:line="216" w:lineRule="exact"/>
              <w:rPr>
                <w:sz w:val="20"/>
                <w:szCs w:val="20"/>
                <w:color w:val="auto"/>
              </w:rPr>
            </w:pPr>
            <w:r>
              <w:rPr>
                <w:rFonts w:ascii="Arial" w:cs="Arial" w:eastAsia="Arial" w:hAnsi="Arial"/>
                <w:sz w:val="14"/>
                <w:szCs w:val="14"/>
                <w:color w:val="auto"/>
              </w:rPr>
              <w:t>StormWind, LLC–Preferred shares, Series B 8%</w:t>
            </w:r>
            <w:r>
              <w:rPr>
                <w:rFonts w:ascii="Arial" w:cs="Arial" w:eastAsia="Arial" w:hAnsi="Arial"/>
                <w:sz w:val="23"/>
                <w:szCs w:val="23"/>
                <w:color w:val="auto"/>
                <w:vertAlign w:val="superscript"/>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3,279,629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3,550,631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294,866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3,845,497</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360"/>
              <w:spacing w:after="0" w:line="230" w:lineRule="exact"/>
              <w:rPr>
                <w:sz w:val="20"/>
                <w:szCs w:val="20"/>
                <w:color w:val="auto"/>
              </w:rPr>
            </w:pPr>
            <w:r>
              <w:rPr>
                <w:rFonts w:ascii="Arial" w:cs="Arial" w:eastAsia="Arial" w:hAnsi="Arial"/>
                <w:sz w:val="14"/>
                <w:szCs w:val="14"/>
                <w:color w:val="auto"/>
              </w:rPr>
              <w:t>StormWind, LLC–Preferred shares, Series A 8%</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366,666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191,694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224,660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7"/>
        </w:trPr>
        <w:tc>
          <w:tcPr>
            <w:tcW w:w="2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3"/>
          </w:tcPr>
          <w:p>
            <w:pPr>
              <w:ind w:left="180"/>
              <w:spacing w:after="0"/>
              <w:rPr>
                <w:sz w:val="20"/>
                <w:szCs w:val="20"/>
                <w:color w:val="auto"/>
              </w:rPr>
            </w:pPr>
            <w:r>
              <w:rPr>
                <w:rFonts w:ascii="Arial" w:cs="Arial" w:eastAsia="Arial" w:hAnsi="Arial"/>
                <w:sz w:val="14"/>
                <w:szCs w:val="14"/>
                <w:i w:val="1"/>
                <w:iCs w:val="1"/>
                <w:color w:val="auto"/>
              </w:rPr>
              <w:t>Total Interactive Learning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9,950,835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634,971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10,585,806</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43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Stock</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9,950,835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(10,914,377</w:t>
            </w:r>
          </w:p>
        </w:tc>
        <w:tc>
          <w:tcPr>
            <w:tcW w:w="2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11,549,348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10,585,806</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spacing w:after="0"/>
              <w:rPr>
                <w:sz w:val="20"/>
                <w:szCs w:val="20"/>
                <w:color w:val="auto"/>
              </w:rPr>
            </w:pPr>
            <w:r>
              <w:rPr>
                <w:rFonts w:ascii="Arial" w:cs="Arial" w:eastAsia="Arial" w:hAnsi="Arial"/>
                <w:sz w:val="14"/>
                <w:szCs w:val="14"/>
                <w:i w:val="1"/>
                <w:iCs w:val="1"/>
                <w:color w:val="auto"/>
              </w:rPr>
              <w:t>Digital Media Platform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3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w w:val="97"/>
              </w:rPr>
              <w:t>Ozy Media, Inc.–Common Warrants, Strike Price $0.01, Expiration Date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4/9/2028</w:t>
            </w:r>
            <w:r>
              <w:rPr>
                <w:rFonts w:ascii="Arial" w:cs="Arial" w:eastAsia="Arial" w:hAnsi="Arial"/>
                <w:sz w:val="23"/>
                <w:szCs w:val="23"/>
                <w:color w:val="auto"/>
                <w:vertAlign w:val="superscript"/>
              </w:rPr>
              <w:t>(8)</w:t>
            </w: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(30,647 )</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80"/>
              <w:spacing w:after="0"/>
              <w:rPr>
                <w:sz w:val="20"/>
                <w:szCs w:val="20"/>
                <w:color w:val="auto"/>
              </w:rPr>
            </w:pPr>
            <w:r>
              <w:rPr>
                <w:rFonts w:ascii="Arial" w:cs="Arial" w:eastAsia="Arial" w:hAnsi="Arial"/>
                <w:sz w:val="14"/>
                <w:szCs w:val="14"/>
                <w:i w:val="1"/>
                <w:iCs w:val="1"/>
                <w:color w:val="auto"/>
              </w:rPr>
              <w:t>Global Innovation Platform</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360" w:type="dxa"/>
            <w:vAlign w:val="bottom"/>
            <w:gridSpan w:val="3"/>
            <w:shd w:val="clear" w:color="auto" w:fill="CCEEFF"/>
          </w:tcPr>
          <w:p>
            <w:pPr>
              <w:ind w:left="360"/>
              <w:spacing w:after="0" w:line="130" w:lineRule="exact"/>
              <w:rPr>
                <w:sz w:val="20"/>
                <w:szCs w:val="20"/>
                <w:color w:val="auto"/>
              </w:rPr>
            </w:pPr>
            <w:r>
              <w:rPr>
                <w:rFonts w:ascii="Arial" w:cs="Arial" w:eastAsia="Arial" w:hAnsi="Arial"/>
                <w:sz w:val="14"/>
                <w:szCs w:val="14"/>
                <w:color w:val="auto"/>
                <w:w w:val="97"/>
              </w:rPr>
              <w:t>OneValley, Inc. (f/k/a NestGSV, Inc.)–Preferred Warrant Series B,</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36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Strike Price $2.31, Expiration Date 12/31/2023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4360" w:type="dxa"/>
            <w:vAlign w:val="bottom"/>
            <w:gridSpan w:val="3"/>
          </w:tcPr>
          <w:p>
            <w:pPr>
              <w:ind w:left="360"/>
              <w:spacing w:after="0" w:line="146" w:lineRule="exact"/>
              <w:rPr>
                <w:sz w:val="20"/>
                <w:szCs w:val="20"/>
                <w:color w:val="auto"/>
              </w:rPr>
            </w:pPr>
            <w:r>
              <w:rPr>
                <w:rFonts w:ascii="Arial" w:cs="Arial" w:eastAsia="Arial" w:hAnsi="Arial"/>
                <w:sz w:val="14"/>
                <w:szCs w:val="14"/>
                <w:color w:val="auto"/>
              </w:rPr>
              <w:t>OneValley, Inc. (f/k/a NestGSV, Inc.)–Derivative Security,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360" w:type="dxa"/>
            <w:vAlign w:val="bottom"/>
            <w:gridSpan w:val="3"/>
          </w:tcPr>
          <w:p>
            <w:pPr>
              <w:ind w:left="360"/>
              <w:spacing w:after="0" w:line="219" w:lineRule="exact"/>
              <w:rPr>
                <w:sz w:val="20"/>
                <w:szCs w:val="20"/>
                <w:color w:val="auto"/>
              </w:rPr>
            </w:pPr>
            <w:r>
              <w:rPr>
                <w:rFonts w:ascii="Arial" w:cs="Arial" w:eastAsia="Arial" w:hAnsi="Arial"/>
                <w:sz w:val="14"/>
                <w:szCs w:val="14"/>
                <w:color w:val="auto"/>
              </w:rPr>
              <w:t>Expiration Date 8/23/2024</w:t>
            </w:r>
            <w:r>
              <w:rPr>
                <w:rFonts w:ascii="Arial" w:cs="Arial" w:eastAsia="Arial" w:hAnsi="Arial"/>
                <w:sz w:val="23"/>
                <w:szCs w:val="23"/>
                <w:color w:val="auto"/>
                <w:vertAlign w:val="superscript"/>
              </w:rPr>
              <w:t>(6)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652,127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(652,127)</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360" w:type="dxa"/>
            <w:vAlign w:val="bottom"/>
            <w:gridSpan w:val="3"/>
            <w:vMerge w:val="restart"/>
            <w:shd w:val="clear" w:color="auto" w:fill="CCEEFF"/>
          </w:tcPr>
          <w:p>
            <w:pPr>
              <w:ind w:left="180"/>
              <w:spacing w:after="0"/>
              <w:rPr>
                <w:sz w:val="20"/>
                <w:szCs w:val="20"/>
                <w:color w:val="auto"/>
              </w:rPr>
            </w:pPr>
            <w:r>
              <w:rPr>
                <w:rFonts w:ascii="Arial" w:cs="Arial" w:eastAsia="Arial" w:hAnsi="Arial"/>
                <w:sz w:val="14"/>
                <w:szCs w:val="14"/>
                <w:i w:val="1"/>
                <w:iCs w:val="1"/>
                <w:color w:val="auto"/>
              </w:rPr>
              <w:t>Total Global Innovation Platform</w:t>
            </w: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6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652,127</w:t>
            </w:r>
          </w:p>
        </w:tc>
        <w:tc>
          <w:tcPr>
            <w:tcW w:w="1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(652,127)</w:t>
            </w:r>
          </w:p>
        </w:tc>
        <w:tc>
          <w:tcPr>
            <w:tcW w:w="1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Total Options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652,127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(30,647</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(621,480)</w:t>
            </w: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6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Online Education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Curious.com, Inc.–Common shares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1,135,944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Total Common 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360" w:type="dxa"/>
            <w:vAlign w:val="bottom"/>
            <w:gridSpan w:val="3"/>
            <w:vMerge w:val="restart"/>
            <w:shd w:val="clear" w:color="auto" w:fill="CCEEFF"/>
          </w:tcPr>
          <w:p>
            <w:pPr>
              <w:spacing w:after="0" w:line="230" w:lineRule="exact"/>
              <w:rPr>
                <w:sz w:val="20"/>
                <w:szCs w:val="20"/>
                <w:color w:val="auto"/>
              </w:rPr>
            </w:pPr>
            <w:r>
              <w:rPr>
                <w:rFonts w:ascii="Arial" w:cs="Arial" w:eastAsia="Arial" w:hAnsi="Arial"/>
                <w:sz w:val="14"/>
                <w:szCs w:val="14"/>
                <w:b w:val="1"/>
                <w:bCs w:val="1"/>
                <w:color w:val="auto"/>
              </w:rPr>
              <w:t>TOTAL NON-CONTROLLED/AFFILIATE INVESTMENTS*</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1"/>
              </w:rPr>
              <w:t>12,591,162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(10,945,025)</w:t>
            </w: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9,900,060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91"/>
              </w:rPr>
              <w:t>11,546,197</w:t>
            </w: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3"/>
                <w:szCs w:val="13"/>
                <w:b w:val="1"/>
                <w:bCs w:val="1"/>
                <w:color w:val="auto"/>
              </w:rPr>
              <w:t>6.18</w:t>
            </w:r>
            <w:r>
              <w:rPr>
                <w:rFonts w:ascii="Arial" w:cs="Arial" w:eastAsia="Arial" w:hAnsi="Arial"/>
                <w:sz w:val="23"/>
                <w:szCs w:val="23"/>
                <w:b w:val="1"/>
                <w:bCs w:val="1"/>
                <w:color w:val="auto"/>
                <w:vertAlign w:val="superscript"/>
              </w:rPr>
              <w:t>%</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jc w:val="both"/>
        <w:ind w:left="660" w:hanging="652"/>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92" w:lineRule="exact"/>
        <w:rPr>
          <w:sz w:val="20"/>
          <w:szCs w:val="20"/>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1940 Act. Of the Company’s total investments as of June 30, 2023, 20.76% of its total investments are non-qualifying assets.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25" w:lineRule="exact"/>
        <w:rPr>
          <w:sz w:val="20"/>
          <w:szCs w:val="20"/>
          <w:color w:val="auto"/>
        </w:rPr>
      </w:pPr>
    </w:p>
    <w:p>
      <w:pPr>
        <w:jc w:val="both"/>
        <w:ind w:left="66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June 30, 2023, the investments noted had been placed on non-accrual status.</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Colombier Sponsor LLC is the sponsor of Colombier Acquisition Corp., a SPAC formed for the purpose of effecting a merger, capital stock exchange, asset acquisition, stock purchase, reorganization or similar business combination with one or more businesses.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March 1, 2023, Ozy Media, Inc. suspended operations. On May 4, 2023, SuRo Capital Corp. abandoned its investment in Ozy Media,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Transactions during the year ended December 31, 2022 involving the Company’s controlled investments and non-controlled/affiliate investments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Interest,</w:t>
            </w: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Fees, or</w:t>
            </w: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Type/Industry/Portfolio</w:t>
            </w:r>
          </w:p>
        </w:tc>
        <w:tc>
          <w:tcPr>
            <w:tcW w:w="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Dividends</w:t>
            </w:r>
          </w:p>
        </w:tc>
        <w:tc>
          <w:tcPr>
            <w:tcW w:w="8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at</w:t>
            </w:r>
          </w:p>
        </w:tc>
        <w:tc>
          <w:tcPr>
            <w:tcW w:w="12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Transfer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Fees,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Credited</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December</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78"/>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Company/Investment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Quantity</w:t>
            </w:r>
          </w:p>
        </w:tc>
        <w:tc>
          <w:tcPr>
            <w:tcW w:w="1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Income</w:t>
            </w: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31, 2021</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(Out)</w:t>
            </w:r>
          </w:p>
        </w:tc>
        <w:tc>
          <w:tcPr>
            <w:tcW w:w="12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480" w:type="dxa"/>
            <w:vAlign w:val="bottom"/>
            <w:gridSpan w:val="3"/>
            <w:vMerge w:val="continue"/>
          </w:tcPr>
          <w:p>
            <w:pPr>
              <w:spacing w:after="0"/>
              <w:rPr>
                <w:sz w:val="15"/>
                <w:szCs w:val="15"/>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Gains/(Losses)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Gains/(Losses)</w:t>
            </w:r>
          </w:p>
        </w:tc>
        <w:tc>
          <w:tcPr>
            <w:tcW w:w="80" w:type="dxa"/>
            <w:vAlign w:val="bottom"/>
          </w:tcPr>
          <w:p>
            <w:pPr>
              <w:spacing w:after="0"/>
              <w:rPr>
                <w:sz w:val="15"/>
                <w:szCs w:val="15"/>
                <w:color w:val="auto"/>
              </w:rPr>
            </w:pPr>
          </w:p>
        </w:tc>
        <w:tc>
          <w:tcPr>
            <w:tcW w:w="66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31, 2022</w:t>
            </w:r>
          </w:p>
        </w:tc>
        <w:tc>
          <w:tcPr>
            <w:tcW w:w="1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700" w:type="dxa"/>
            <w:vAlign w:val="bottom"/>
            <w:tcBorders>
              <w:top w:val="single" w:sz="8" w:color="auto"/>
            </w:tcBorders>
            <w:gridSpan w:val="4"/>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CONTROLLED INVESTMENTS*</w:t>
            </w:r>
            <w:r>
              <w:rPr>
                <w:rFonts w:ascii="Arial" w:cs="Arial" w:eastAsia="Arial" w:hAnsi="Arial"/>
                <w:sz w:val="21"/>
                <w:szCs w:val="21"/>
                <w:b w:val="1"/>
                <w:bCs w:val="1"/>
                <w:color w:val="auto"/>
                <w:vertAlign w:val="superscript"/>
              </w:rPr>
              <w:t>(2)</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Options</w:t>
            </w:r>
          </w:p>
        </w:tc>
        <w:tc>
          <w:tcPr>
            <w:tcW w:w="3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Special Purpose Acquisition Company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00" w:type="dxa"/>
            <w:vAlign w:val="bottom"/>
            <w:gridSpan w:val="4"/>
          </w:tcPr>
          <w:p>
            <w:pPr>
              <w:ind w:left="360"/>
              <w:spacing w:after="0" w:line="133" w:lineRule="exact"/>
              <w:rPr>
                <w:sz w:val="20"/>
                <w:szCs w:val="20"/>
                <w:color w:val="auto"/>
              </w:rPr>
            </w:pPr>
            <w:r>
              <w:rPr>
                <w:rFonts w:ascii="Arial" w:cs="Arial" w:eastAsia="Arial" w:hAnsi="Arial"/>
                <w:sz w:val="14"/>
                <w:szCs w:val="14"/>
                <w:color w:val="auto"/>
              </w:rPr>
              <w:t>Colombier Sponsor LLC**–Class W</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700" w:type="dxa"/>
            <w:vAlign w:val="bottom"/>
            <w:gridSpan w:val="4"/>
          </w:tcPr>
          <w:p>
            <w:pPr>
              <w:ind w:left="360"/>
              <w:spacing w:after="0" w:line="205" w:lineRule="exact"/>
              <w:rPr>
                <w:sz w:val="20"/>
                <w:szCs w:val="20"/>
                <w:color w:val="auto"/>
              </w:rPr>
            </w:pPr>
            <w:r>
              <w:rPr>
                <w:rFonts w:ascii="Arial" w:cs="Arial" w:eastAsia="Arial" w:hAnsi="Arial"/>
                <w:sz w:val="14"/>
                <w:szCs w:val="14"/>
                <w:color w:val="auto"/>
              </w:rPr>
              <w:t>Units</w:t>
            </w:r>
            <w:r>
              <w:rPr>
                <w:rFonts w:ascii="Arial" w:cs="Arial" w:eastAsia="Arial" w:hAnsi="Arial"/>
                <w:sz w:val="23"/>
                <w:szCs w:val="23"/>
                <w:color w:val="auto"/>
                <w:vertAlign w:val="superscript"/>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2,700,000</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1,157,487</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1,157,487</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Options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1,157,487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1,157,487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9"/>
        </w:trPr>
        <w:tc>
          <w:tcPr>
            <w:tcW w:w="2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Clean Technology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7"/>
              </w:rPr>
              <w:t>SPBRX, INC. (f/k/a GSV Sustainability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gridSpan w:val="4"/>
          </w:tcPr>
          <w:p>
            <w:pPr>
              <w:ind w:left="360"/>
              <w:spacing w:after="0"/>
              <w:rPr>
                <w:sz w:val="20"/>
                <w:szCs w:val="20"/>
                <w:color w:val="auto"/>
              </w:rPr>
            </w:pPr>
            <w:r>
              <w:rPr>
                <w:rFonts w:ascii="Arial" w:cs="Arial" w:eastAsia="Arial" w:hAnsi="Arial"/>
                <w:sz w:val="14"/>
                <w:szCs w:val="14"/>
                <w:color w:val="auto"/>
                <w:w w:val="95"/>
              </w:rPr>
              <w:t>Partners, Inc.)–Preferred shares, Class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700" w:type="dxa"/>
            <w:vAlign w:val="bottom"/>
            <w:gridSpan w:val="4"/>
          </w:tcPr>
          <w:p>
            <w:pPr>
              <w:ind w:left="360"/>
              <w:spacing w:after="0" w:line="205" w:lineRule="exact"/>
              <w:rPr>
                <w:sz w:val="20"/>
                <w:szCs w:val="20"/>
                <w:color w:val="auto"/>
              </w:rPr>
            </w:pPr>
            <w:r>
              <w:rPr>
                <w:rFonts w:ascii="Arial" w:cs="Arial" w:eastAsia="Arial" w:hAnsi="Arial"/>
                <w:sz w:val="23"/>
                <w:szCs w:val="23"/>
                <w:color w:val="auto"/>
                <w:vertAlign w:val="subscript"/>
              </w:rPr>
              <w:t>A</w:t>
            </w:r>
            <w:r>
              <w:rPr>
                <w:rFonts w:ascii="Arial" w:cs="Arial" w:eastAsia="Arial" w:hAnsi="Arial"/>
                <w:sz w:val="11"/>
                <w:szCs w:val="11"/>
                <w:color w:val="auto"/>
              </w:rPr>
              <w:t>(4)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14,300,000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1,047,033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(63,005)</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984,028</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1,047,033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(63,005)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984,028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9"/>
        </w:trPr>
        <w:tc>
          <w:tcPr>
            <w:tcW w:w="2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Clean Technology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7"/>
              </w:rPr>
              <w:t>SPBRX, INC. (f/k/a GSV Sustainability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Partners, Inc.)–Common 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Mobile Finance Technology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8"/>
              </w:rPr>
              <w:t>Architect Capital PayJoy SPV, LLC**–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Membership Interest in Lending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SPV***</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10,000,000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1,685,000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10,000,000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10,000,000</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Special Purpose Acquisition Company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00" w:type="dxa"/>
            <w:vAlign w:val="bottom"/>
            <w:gridSpan w:val="4"/>
          </w:tcPr>
          <w:p>
            <w:pPr>
              <w:ind w:left="360"/>
              <w:spacing w:after="0" w:line="133" w:lineRule="exact"/>
              <w:rPr>
                <w:sz w:val="20"/>
                <w:szCs w:val="20"/>
                <w:color w:val="auto"/>
              </w:rPr>
            </w:pPr>
            <w:r>
              <w:rPr>
                <w:rFonts w:ascii="Arial" w:cs="Arial" w:eastAsia="Arial" w:hAnsi="Arial"/>
                <w:sz w:val="14"/>
                <w:szCs w:val="14"/>
                <w:color w:val="auto"/>
              </w:rPr>
              <w:t>Colombier Sponsor LLC**–Class B</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700" w:type="dxa"/>
            <w:vAlign w:val="bottom"/>
            <w:gridSpan w:val="4"/>
          </w:tcPr>
          <w:p>
            <w:pPr>
              <w:ind w:left="360"/>
              <w:spacing w:after="0" w:line="205" w:lineRule="exact"/>
              <w:rPr>
                <w:sz w:val="20"/>
                <w:szCs w:val="20"/>
                <w:color w:val="auto"/>
              </w:rPr>
            </w:pPr>
            <w:r>
              <w:rPr>
                <w:rFonts w:ascii="Arial" w:cs="Arial" w:eastAsia="Arial" w:hAnsi="Arial"/>
                <w:sz w:val="14"/>
                <w:szCs w:val="14"/>
                <w:color w:val="auto"/>
              </w:rPr>
              <w:t>Units</w:t>
            </w:r>
            <w:r>
              <w:rPr>
                <w:rFonts w:ascii="Arial" w:cs="Arial" w:eastAsia="Arial" w:hAnsi="Arial"/>
                <w:sz w:val="23"/>
                <w:szCs w:val="23"/>
                <w:color w:val="auto"/>
                <w:vertAlign w:val="superscript"/>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1,976,033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1,554,354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1,554,355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62"/>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Total Common Stock</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9"/>
              </w:rPr>
              <w:t>1,685,000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11,554,354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11,554,355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gridSpan w:val="4"/>
            <w:vMerge w:val="restart"/>
          </w:tcPr>
          <w:p>
            <w:pPr>
              <w:spacing w:after="0" w:line="135" w:lineRule="exact"/>
              <w:rPr>
                <w:sz w:val="20"/>
                <w:szCs w:val="20"/>
                <w:color w:val="auto"/>
              </w:rPr>
            </w:pPr>
            <w:r>
              <w:rPr>
                <w:rFonts w:ascii="Arial" w:cs="Arial" w:eastAsia="Arial" w:hAnsi="Arial"/>
                <w:sz w:val="14"/>
                <w:szCs w:val="14"/>
                <w:b w:val="1"/>
                <w:bCs w:val="1"/>
                <w:color w:val="auto"/>
              </w:rPr>
              <w:t>TOTAL CONTROLLED INVESTMENTS*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80" w:type="dxa"/>
            <w:vAlign w:val="bottom"/>
            <w:vMerge w:val="restart"/>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1,685,000</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13,758,874</w:t>
            </w:r>
          </w:p>
        </w:tc>
        <w:tc>
          <w:tcPr>
            <w:tcW w:w="40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5"/>
              </w:rPr>
              <w:t>—</w:t>
            </w:r>
          </w:p>
        </w:tc>
        <w:tc>
          <w:tcPr>
            <w:tcW w:w="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8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(63,004)</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13,695,870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6.52%</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20"/>
                <w:szCs w:val="20"/>
                <w:color w:val="auto"/>
              </w:rPr>
            </w:pPr>
            <w:r>
              <w:rPr>
                <w:rFonts w:ascii="Arial" w:cs="Arial" w:eastAsia="Arial" w:hAnsi="Arial"/>
                <w:sz w:val="12"/>
                <w:szCs w:val="12"/>
                <w:b w:val="1"/>
                <w:bCs w:val="1"/>
                <w:color w:val="auto"/>
              </w:rPr>
              <w:t>(2)</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0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NON-CONTROLLED/AFFILIATE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21"/>
                <w:szCs w:val="21"/>
                <w:b w:val="1"/>
                <w:bCs w:val="1"/>
                <w:color w:val="auto"/>
                <w:vertAlign w:val="superscript"/>
              </w:rPr>
              <w:t>(1)</w:t>
            </w:r>
          </w:p>
        </w:tc>
        <w:tc>
          <w:tcPr>
            <w:tcW w:w="48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1440" w:type="dxa"/>
            <w:vAlign w:val="bottom"/>
            <w:tcBorders>
              <w:top w:val="single" w:sz="8" w:color="CCEEFF"/>
            </w:tcBorders>
            <w:gridSpan w:val="3"/>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Global Innovation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7"/>
              </w:rPr>
              <w:t>OneValley, Inc. (f/k/a NestGSV, Inc.)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700" w:type="dxa"/>
            <w:vAlign w:val="bottom"/>
            <w:gridSpan w:val="4"/>
          </w:tcPr>
          <w:p>
            <w:pPr>
              <w:ind w:left="360"/>
              <w:spacing w:after="0" w:line="151" w:lineRule="exact"/>
              <w:rPr>
                <w:sz w:val="20"/>
                <w:szCs w:val="20"/>
                <w:color w:val="auto"/>
              </w:rPr>
            </w:pPr>
            <w:r>
              <w:rPr>
                <w:rFonts w:ascii="Arial" w:cs="Arial" w:eastAsia="Arial" w:hAnsi="Arial"/>
                <w:sz w:val="14"/>
                <w:szCs w:val="14"/>
                <w:color w:val="auto"/>
                <w:w w:val="98"/>
              </w:rPr>
              <w:t>Convertible Promissory Note 8%, Due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60" w:type="dxa"/>
            <w:vAlign w:val="bottom"/>
          </w:tcPr>
          <w:p>
            <w:pPr>
              <w:ind w:left="360"/>
              <w:spacing w:after="0" w:line="205" w:lineRule="exact"/>
              <w:rPr>
                <w:sz w:val="20"/>
                <w:szCs w:val="20"/>
                <w:color w:val="auto"/>
              </w:rPr>
            </w:pPr>
            <w:r>
              <w:rPr>
                <w:rFonts w:ascii="Arial" w:cs="Arial" w:eastAsia="Arial" w:hAnsi="Arial"/>
                <w:sz w:val="14"/>
                <w:szCs w:val="14"/>
                <w:color w:val="auto"/>
              </w:rPr>
              <w:t>8/23/2024</w:t>
            </w:r>
            <w:r>
              <w:rPr>
                <w:rFonts w:ascii="Arial" w:cs="Arial" w:eastAsia="Arial" w:hAnsi="Arial"/>
                <w:sz w:val="23"/>
                <w:szCs w:val="23"/>
                <w:color w:val="auto"/>
                <w:vertAlign w:val="superscript"/>
              </w:rPr>
              <w:t>(3)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1,010,198</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505,099</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1,483,101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1,988,200</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49"/>
        </w:trPr>
        <w:tc>
          <w:tcPr>
            <w:tcW w:w="2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505,099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1,483,101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1,988,200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48"/>
        </w:trPr>
        <w:tc>
          <w:tcPr>
            <w:tcW w:w="2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Knowledge Networks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2"/>
              </w:rPr>
              <w:t>Maven Research, Inc.–Preferred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Series 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318,979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shd w:val="clear" w:color="auto" w:fill="CCEEFF"/>
          </w:tcPr>
          <w:p>
            <w:pPr>
              <w:ind w:left="360"/>
              <w:spacing w:after="0" w:line="130" w:lineRule="exact"/>
              <w:rPr>
                <w:sz w:val="20"/>
                <w:szCs w:val="20"/>
                <w:color w:val="auto"/>
              </w:rPr>
            </w:pPr>
            <w:r>
              <w:rPr>
                <w:rFonts w:ascii="Arial" w:cs="Arial" w:eastAsia="Arial" w:hAnsi="Arial"/>
                <w:sz w:val="14"/>
                <w:szCs w:val="14"/>
                <w:color w:val="auto"/>
                <w:w w:val="92"/>
              </w:rPr>
              <w:t>Maven Research, Inc.–Preferred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Series B</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gridSpan w:val="4"/>
            <w:vMerge w:val="restart"/>
          </w:tcPr>
          <w:p>
            <w:pPr>
              <w:ind w:left="180"/>
              <w:spacing w:after="0" w:line="155" w:lineRule="exact"/>
              <w:rPr>
                <w:sz w:val="20"/>
                <w:szCs w:val="20"/>
                <w:color w:val="auto"/>
              </w:rPr>
            </w:pPr>
            <w:r>
              <w:rPr>
                <w:rFonts w:ascii="Arial" w:cs="Arial" w:eastAsia="Arial" w:hAnsi="Arial"/>
                <w:sz w:val="14"/>
                <w:szCs w:val="14"/>
                <w:i w:val="1"/>
                <w:iCs w:val="1"/>
                <w:color w:val="auto"/>
              </w:rPr>
              <w:t>Total Knowledge Networks</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ind w:left="8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Digital Media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rPr>
              <w:t>Ozy Media, Inc.–Preferred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Series C-2 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683,482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shd w:val="clear" w:color="auto" w:fill="CCEEFF"/>
          </w:tcPr>
          <w:p>
            <w:pPr>
              <w:ind w:left="360"/>
              <w:spacing w:after="0" w:line="130" w:lineRule="exact"/>
              <w:rPr>
                <w:sz w:val="20"/>
                <w:szCs w:val="20"/>
                <w:color w:val="auto"/>
              </w:rPr>
            </w:pPr>
            <w:r>
              <w:rPr>
                <w:rFonts w:ascii="Arial" w:cs="Arial" w:eastAsia="Arial" w:hAnsi="Arial"/>
                <w:sz w:val="14"/>
                <w:szCs w:val="14"/>
                <w:color w:val="auto"/>
              </w:rPr>
              <w:t>Ozy Media, Inc.–Preferred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Series B 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922,509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rPr>
              <w:t>Ozy Media, Inc.–Preferred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Series A 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1,090,909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shd w:val="clear" w:color="auto" w:fill="CCEEFF"/>
          </w:tcPr>
          <w:p>
            <w:pPr>
              <w:ind w:left="360"/>
              <w:spacing w:after="0" w:line="130" w:lineRule="exact"/>
              <w:rPr>
                <w:sz w:val="20"/>
                <w:szCs w:val="20"/>
                <w:color w:val="auto"/>
              </w:rPr>
            </w:pPr>
            <w:r>
              <w:rPr>
                <w:rFonts w:ascii="Arial" w:cs="Arial" w:eastAsia="Arial" w:hAnsi="Arial"/>
                <w:sz w:val="14"/>
                <w:szCs w:val="14"/>
                <w:color w:val="auto"/>
              </w:rPr>
              <w:t>Ozy Media, Inc.–Preferred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700" w:type="dxa"/>
            <w:vAlign w:val="bottom"/>
            <w:gridSpan w:val="4"/>
            <w:shd w:val="clear" w:color="auto" w:fill="CCEEFF"/>
          </w:tcPr>
          <w:p>
            <w:pPr>
              <w:ind w:left="360"/>
              <w:spacing w:after="0" w:line="154" w:lineRule="exact"/>
              <w:rPr>
                <w:sz w:val="20"/>
                <w:szCs w:val="20"/>
                <w:color w:val="auto"/>
              </w:rPr>
            </w:pPr>
            <w:r>
              <w:rPr>
                <w:rFonts w:ascii="Arial" w:cs="Arial" w:eastAsia="Arial" w:hAnsi="Arial"/>
                <w:sz w:val="14"/>
                <w:szCs w:val="14"/>
                <w:color w:val="auto"/>
              </w:rPr>
              <w:t>Series Seed 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gridSpan w:val="4"/>
            <w:vMerge w:val="restart"/>
          </w:tcPr>
          <w:p>
            <w:pPr>
              <w:ind w:left="180"/>
              <w:spacing w:after="0" w:line="155" w:lineRule="exact"/>
              <w:rPr>
                <w:sz w:val="20"/>
                <w:szCs w:val="20"/>
                <w:color w:val="auto"/>
              </w:rPr>
            </w:pPr>
            <w:r>
              <w:rPr>
                <w:rFonts w:ascii="Arial" w:cs="Arial" w:eastAsia="Arial" w:hAnsi="Arial"/>
                <w:sz w:val="14"/>
                <w:szCs w:val="14"/>
                <w:i w:val="1"/>
                <w:iCs w:val="1"/>
                <w:color w:val="auto"/>
              </w:rPr>
              <w:t>Total Digital Media Platform</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7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ind w:left="8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Interactive Learning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gridSpan w:val="4"/>
          </w:tcPr>
          <w:p>
            <w:pPr>
              <w:ind w:left="360"/>
              <w:spacing w:after="0" w:line="146" w:lineRule="exact"/>
              <w:rPr>
                <w:sz w:val="20"/>
                <w:szCs w:val="20"/>
                <w:color w:val="auto"/>
              </w:rPr>
            </w:pPr>
            <w:r>
              <w:rPr>
                <w:rFonts w:ascii="Arial" w:cs="Arial" w:eastAsia="Arial" w:hAnsi="Arial"/>
                <w:sz w:val="14"/>
                <w:szCs w:val="14"/>
                <w:color w:val="auto"/>
              </w:rPr>
              <w:t>StormWind, LLC–Preferred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gridSpan w:val="4"/>
          </w:tcPr>
          <w:p>
            <w:pPr>
              <w:ind w:left="360"/>
              <w:spacing w:after="0" w:line="205" w:lineRule="exact"/>
              <w:rPr>
                <w:sz w:val="20"/>
                <w:szCs w:val="20"/>
                <w:color w:val="auto"/>
              </w:rPr>
            </w:pPr>
            <w:r>
              <w:rPr>
                <w:rFonts w:ascii="Arial" w:cs="Arial" w:eastAsia="Arial" w:hAnsi="Arial"/>
                <w:sz w:val="14"/>
                <w:szCs w:val="14"/>
                <w:color w:val="auto"/>
              </w:rPr>
              <w:t xml:space="preserve">Series D 8% </w:t>
            </w:r>
            <w:r>
              <w:rPr>
                <w:rFonts w:ascii="Arial" w:cs="Arial" w:eastAsia="Arial" w:hAnsi="Arial"/>
                <w:sz w:val="23"/>
                <w:szCs w:val="23"/>
                <w:color w:val="auto"/>
                <w:vertAlign w:val="superscript"/>
              </w:rPr>
              <w:t>(5)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329,337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621,093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(87,664)</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533,429</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32"/>
        </w:trPr>
        <w:tc>
          <w:tcPr>
            <w:tcW w:w="2700" w:type="dxa"/>
            <w:vAlign w:val="bottom"/>
            <w:gridSpan w:val="4"/>
            <w:shd w:val="clear" w:color="auto" w:fill="CCEEFF"/>
          </w:tcPr>
          <w:p>
            <w:pPr>
              <w:ind w:left="360"/>
              <w:spacing w:after="0" w:line="133" w:lineRule="exact"/>
              <w:rPr>
                <w:sz w:val="20"/>
                <w:szCs w:val="20"/>
                <w:color w:val="auto"/>
              </w:rPr>
            </w:pPr>
            <w:r>
              <w:rPr>
                <w:rFonts w:ascii="Arial" w:cs="Arial" w:eastAsia="Arial" w:hAnsi="Arial"/>
                <w:sz w:val="14"/>
                <w:szCs w:val="14"/>
                <w:color w:val="auto"/>
              </w:rPr>
              <w:t>StormWind, LLC–Preferred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700" w:type="dxa"/>
            <w:vAlign w:val="bottom"/>
            <w:gridSpan w:val="4"/>
            <w:shd w:val="clear" w:color="auto" w:fill="CCEEFF"/>
          </w:tcPr>
          <w:p>
            <w:pPr>
              <w:ind w:left="360"/>
              <w:spacing w:after="0" w:line="205" w:lineRule="exact"/>
              <w:rPr>
                <w:sz w:val="20"/>
                <w:szCs w:val="20"/>
                <w:color w:val="auto"/>
              </w:rPr>
            </w:pPr>
            <w:r>
              <w:rPr>
                <w:rFonts w:ascii="Arial" w:cs="Arial" w:eastAsia="Arial" w:hAnsi="Arial"/>
                <w:sz w:val="14"/>
                <w:szCs w:val="14"/>
                <w:color w:val="auto"/>
              </w:rPr>
              <w:t>Series C 8%</w:t>
            </w:r>
            <w:r>
              <w:rPr>
                <w:rFonts w:ascii="Arial" w:cs="Arial" w:eastAsia="Arial" w:hAnsi="Arial"/>
                <w:sz w:val="23"/>
                <w:szCs w:val="23"/>
                <w:color w:val="auto"/>
                <w:vertAlign w:val="superscript"/>
              </w:rPr>
              <w:t>(5)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2,779,134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6,496,729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(821,648)</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5,675,081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6"/>
        </w:trPr>
        <w:tc>
          <w:tcPr>
            <w:tcW w:w="2700" w:type="dxa"/>
            <w:vAlign w:val="bottom"/>
            <w:gridSpan w:val="4"/>
          </w:tcPr>
          <w:p>
            <w:pPr>
              <w:ind w:left="360"/>
              <w:spacing w:after="0" w:line="146" w:lineRule="exact"/>
              <w:rPr>
                <w:sz w:val="20"/>
                <w:szCs w:val="20"/>
                <w:color w:val="auto"/>
              </w:rPr>
            </w:pPr>
            <w:r>
              <w:rPr>
                <w:rFonts w:ascii="Arial" w:cs="Arial" w:eastAsia="Arial" w:hAnsi="Arial"/>
                <w:sz w:val="14"/>
                <w:szCs w:val="14"/>
                <w:color w:val="auto"/>
              </w:rPr>
              <w:t>StormWind, LLC–Preferred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gridSpan w:val="4"/>
          </w:tcPr>
          <w:p>
            <w:pPr>
              <w:ind w:left="360"/>
              <w:spacing w:after="0" w:line="205" w:lineRule="exact"/>
              <w:rPr>
                <w:sz w:val="20"/>
                <w:szCs w:val="20"/>
                <w:color w:val="auto"/>
              </w:rPr>
            </w:pPr>
            <w:r>
              <w:rPr>
                <w:rFonts w:ascii="Arial" w:cs="Arial" w:eastAsia="Arial" w:hAnsi="Arial"/>
                <w:sz w:val="14"/>
                <w:szCs w:val="14"/>
                <w:color w:val="auto"/>
              </w:rPr>
              <w:t>Series B 8%</w:t>
            </w:r>
            <w:r>
              <w:rPr>
                <w:rFonts w:ascii="Arial" w:cs="Arial" w:eastAsia="Arial" w:hAnsi="Arial"/>
                <w:sz w:val="23"/>
                <w:szCs w:val="23"/>
                <w:color w:val="auto"/>
                <w:vertAlign w:val="superscript"/>
              </w:rPr>
              <w:t>(5)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3,279,629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4,423,607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(872,976)</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3,550,631</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32"/>
        </w:trPr>
        <w:tc>
          <w:tcPr>
            <w:tcW w:w="2700" w:type="dxa"/>
            <w:vAlign w:val="bottom"/>
            <w:gridSpan w:val="4"/>
            <w:shd w:val="clear" w:color="auto" w:fill="CCEEFF"/>
          </w:tcPr>
          <w:p>
            <w:pPr>
              <w:ind w:left="360"/>
              <w:spacing w:after="0" w:line="133" w:lineRule="exact"/>
              <w:rPr>
                <w:sz w:val="20"/>
                <w:szCs w:val="20"/>
                <w:color w:val="auto"/>
              </w:rPr>
            </w:pPr>
            <w:r>
              <w:rPr>
                <w:rFonts w:ascii="Arial" w:cs="Arial" w:eastAsia="Arial" w:hAnsi="Arial"/>
                <w:sz w:val="14"/>
                <w:szCs w:val="14"/>
                <w:color w:val="auto"/>
              </w:rPr>
              <w:t>StormWind, LLC–Preferred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00" w:type="dxa"/>
            <w:vAlign w:val="bottom"/>
            <w:gridSpan w:val="4"/>
            <w:shd w:val="clear" w:color="auto" w:fill="CCEEFF"/>
          </w:tcPr>
          <w:p>
            <w:pPr>
              <w:ind w:left="360"/>
              <w:spacing w:after="0" w:line="191" w:lineRule="exact"/>
              <w:rPr>
                <w:sz w:val="20"/>
                <w:szCs w:val="20"/>
                <w:color w:val="auto"/>
              </w:rPr>
            </w:pPr>
            <w:r>
              <w:rPr>
                <w:rFonts w:ascii="Arial" w:cs="Arial" w:eastAsia="Arial" w:hAnsi="Arial"/>
                <w:sz w:val="14"/>
                <w:szCs w:val="14"/>
                <w:color w:val="auto"/>
              </w:rPr>
              <w:t>Series A 8%</w:t>
            </w:r>
            <w:r>
              <w:rPr>
                <w:rFonts w:ascii="Arial" w:cs="Arial" w:eastAsia="Arial" w:hAnsi="Arial"/>
                <w:sz w:val="22"/>
                <w:szCs w:val="22"/>
                <w:color w:val="auto"/>
                <w:vertAlign w:val="superscript"/>
              </w:rPr>
              <w:t>(5)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289,293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(97,599)</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191,694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gridSpan w:val="4"/>
            <w:vMerge w:val="restart"/>
          </w:tcPr>
          <w:p>
            <w:pPr>
              <w:ind w:left="180"/>
              <w:spacing w:after="0" w:line="155" w:lineRule="exact"/>
              <w:rPr>
                <w:sz w:val="20"/>
                <w:szCs w:val="20"/>
                <w:color w:val="auto"/>
              </w:rPr>
            </w:pPr>
            <w:r>
              <w:rPr>
                <w:rFonts w:ascii="Arial" w:cs="Arial" w:eastAsia="Arial" w:hAnsi="Arial"/>
                <w:sz w:val="14"/>
                <w:szCs w:val="14"/>
                <w:i w:val="1"/>
                <w:iCs w:val="1"/>
                <w:color w:val="auto"/>
              </w:rPr>
              <w:t>Total Interactive Learning</w:t>
            </w: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w w:val="91"/>
              </w:rPr>
              <w:t>11,830,722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2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ind w:left="80"/>
              <w:spacing w:after="0" w:line="135" w:lineRule="exact"/>
              <w:rPr>
                <w:sz w:val="20"/>
                <w:szCs w:val="20"/>
                <w:color w:val="auto"/>
              </w:rPr>
            </w:pPr>
            <w:r>
              <w:rPr>
                <w:rFonts w:ascii="Arial" w:cs="Arial" w:eastAsia="Arial" w:hAnsi="Arial"/>
                <w:sz w:val="14"/>
                <w:szCs w:val="14"/>
                <w:color w:val="auto"/>
                <w:w w:val="85"/>
              </w:rPr>
              <w:t>—</w:t>
            </w:r>
          </w:p>
        </w:tc>
        <w:tc>
          <w:tcPr>
            <w:tcW w:w="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(1,879,887)</w:t>
            </w: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9,950,835</w:t>
            </w:r>
          </w:p>
        </w:tc>
        <w:tc>
          <w:tcPr>
            <w:tcW w:w="120" w:type="dxa"/>
            <w:vAlign w:val="bottom"/>
            <w:vMerge w:val="continue"/>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Stock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11,830,722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(1,879,887)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9,950,835</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76"/>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gridSpan w:val="4"/>
            <w:shd w:val="clear" w:color="auto" w:fill="CCEEFF"/>
          </w:tcPr>
          <w:p>
            <w:pPr>
              <w:ind w:left="180"/>
              <w:spacing w:after="0"/>
              <w:rPr>
                <w:sz w:val="20"/>
                <w:szCs w:val="20"/>
                <w:color w:val="auto"/>
              </w:rPr>
            </w:pPr>
            <w:r>
              <w:rPr>
                <w:rFonts w:ascii="Arial" w:cs="Arial" w:eastAsia="Arial" w:hAnsi="Arial"/>
                <w:sz w:val="14"/>
                <w:szCs w:val="14"/>
                <w:i w:val="1"/>
                <w:iCs w:val="1"/>
                <w:color w:val="auto"/>
              </w:rPr>
              <w:t>Digital Media Platform</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rPr>
              <w:t>Ozy Media, Inc.–Common Warrants,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gridSpan w:val="4"/>
          </w:tcPr>
          <w:p>
            <w:pPr>
              <w:ind w:left="360"/>
              <w:spacing w:after="0" w:line="149" w:lineRule="exact"/>
              <w:rPr>
                <w:sz w:val="20"/>
                <w:szCs w:val="20"/>
                <w:color w:val="auto"/>
              </w:rPr>
            </w:pPr>
            <w:r>
              <w:rPr>
                <w:rFonts w:ascii="Arial" w:cs="Arial" w:eastAsia="Arial" w:hAnsi="Arial"/>
                <w:sz w:val="14"/>
                <w:szCs w:val="14"/>
                <w:color w:val="auto"/>
              </w:rPr>
              <w:t>Strike Price $0.01, Expiration Date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tcPr>
          <w:p>
            <w:pPr>
              <w:ind w:left="360"/>
              <w:spacing w:after="0"/>
              <w:rPr>
                <w:sz w:val="20"/>
                <w:szCs w:val="20"/>
                <w:color w:val="auto"/>
              </w:rPr>
            </w:pPr>
            <w:r>
              <w:rPr>
                <w:rFonts w:ascii="Arial" w:cs="Arial" w:eastAsia="Arial" w:hAnsi="Arial"/>
                <w:sz w:val="14"/>
                <w:szCs w:val="14"/>
                <w:color w:val="auto"/>
              </w:rPr>
              <w:t>4/9/2028</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295,565</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180"/>
              <w:spacing w:after="0" w:line="149" w:lineRule="exact"/>
              <w:rPr>
                <w:sz w:val="20"/>
                <w:szCs w:val="20"/>
                <w:color w:val="auto"/>
              </w:rPr>
            </w:pPr>
            <w:r>
              <w:rPr>
                <w:rFonts w:ascii="Arial" w:cs="Arial" w:eastAsia="Arial" w:hAnsi="Arial"/>
                <w:sz w:val="14"/>
                <w:szCs w:val="14"/>
                <w:i w:val="1"/>
                <w:iCs w:val="1"/>
                <w:color w:val="auto"/>
              </w:rPr>
              <w:t>Global Innovation Platform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8"/>
              </w:rPr>
              <w:t>OneValley, Inc. (f/k/a NestGSV, Inc.)–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gridSpan w:val="4"/>
          </w:tcPr>
          <w:p>
            <w:pPr>
              <w:ind w:left="360"/>
              <w:spacing w:after="0" w:line="149" w:lineRule="exact"/>
              <w:rPr>
                <w:sz w:val="20"/>
                <w:szCs w:val="20"/>
                <w:color w:val="auto"/>
              </w:rPr>
            </w:pPr>
            <w:r>
              <w:rPr>
                <w:rFonts w:ascii="Arial" w:cs="Arial" w:eastAsia="Arial" w:hAnsi="Arial"/>
                <w:sz w:val="14"/>
                <w:szCs w:val="14"/>
                <w:color w:val="auto"/>
                <w:w w:val="93"/>
              </w:rPr>
              <w:t>Preferred Warrant Series B, Strike Price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$2.31, Expiration Date 5/29/2022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70,379</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shd w:val="clear" w:color="auto" w:fill="CCEEFF"/>
          </w:tcPr>
          <w:p>
            <w:pPr>
              <w:ind w:left="360"/>
              <w:spacing w:after="0" w:line="130" w:lineRule="exact"/>
              <w:rPr>
                <w:sz w:val="20"/>
                <w:szCs w:val="20"/>
                <w:color w:val="auto"/>
              </w:rPr>
            </w:pPr>
            <w:r>
              <w:rPr>
                <w:rFonts w:ascii="Arial" w:cs="Arial" w:eastAsia="Arial" w:hAnsi="Arial"/>
                <w:sz w:val="14"/>
                <w:szCs w:val="14"/>
                <w:color w:val="auto"/>
                <w:w w:val="98"/>
              </w:rPr>
              <w:t>OneValley, Inc. (f/k/a NestGSV, Inc.)–</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gridSpan w:val="4"/>
            <w:shd w:val="clear" w:color="auto" w:fill="CCEEFF"/>
          </w:tcPr>
          <w:p>
            <w:pPr>
              <w:ind w:left="360"/>
              <w:spacing w:after="0" w:line="149" w:lineRule="exact"/>
              <w:rPr>
                <w:sz w:val="20"/>
                <w:szCs w:val="20"/>
                <w:color w:val="auto"/>
              </w:rPr>
            </w:pPr>
            <w:r>
              <w:rPr>
                <w:rFonts w:ascii="Arial" w:cs="Arial" w:eastAsia="Arial" w:hAnsi="Arial"/>
                <w:sz w:val="14"/>
                <w:szCs w:val="14"/>
                <w:color w:val="auto"/>
                <w:w w:val="93"/>
              </w:rPr>
              <w:t>Preferred Warrant Series B, Strike Price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0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$2.31, Expiration Date 12/31/2023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gridSpan w:val="4"/>
          </w:tcPr>
          <w:p>
            <w:pPr>
              <w:ind w:left="360"/>
              <w:spacing w:after="0" w:line="130" w:lineRule="exact"/>
              <w:rPr>
                <w:sz w:val="20"/>
                <w:szCs w:val="20"/>
                <w:color w:val="auto"/>
              </w:rPr>
            </w:pPr>
            <w:r>
              <w:rPr>
                <w:rFonts w:ascii="Arial" w:cs="Arial" w:eastAsia="Arial" w:hAnsi="Arial"/>
                <w:sz w:val="14"/>
                <w:szCs w:val="14"/>
                <w:color w:val="auto"/>
                <w:w w:val="98"/>
              </w:rPr>
              <w:t>OneValley, Inc. (f/k/a NestGSV, Inc.)–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00" w:type="dxa"/>
            <w:vAlign w:val="bottom"/>
            <w:gridSpan w:val="4"/>
          </w:tcPr>
          <w:p>
            <w:pPr>
              <w:ind w:left="360"/>
              <w:spacing w:after="0"/>
              <w:rPr>
                <w:sz w:val="20"/>
                <w:szCs w:val="20"/>
                <w:color w:val="auto"/>
              </w:rPr>
            </w:pPr>
            <w:r>
              <w:rPr>
                <w:rFonts w:ascii="Arial" w:cs="Arial" w:eastAsia="Arial" w:hAnsi="Arial"/>
                <w:sz w:val="14"/>
                <w:szCs w:val="14"/>
                <w:color w:val="auto"/>
              </w:rPr>
              <w:t>Derivative Security, Expiration Date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360"/>
              <w:spacing w:after="0" w:line="219" w:lineRule="exact"/>
              <w:rPr>
                <w:sz w:val="20"/>
                <w:szCs w:val="20"/>
                <w:color w:val="auto"/>
              </w:rPr>
            </w:pPr>
            <w:r>
              <w:rPr>
                <w:rFonts w:ascii="Arial" w:cs="Arial" w:eastAsia="Arial" w:hAnsi="Arial"/>
                <w:sz w:val="14"/>
                <w:szCs w:val="14"/>
                <w:color w:val="auto"/>
              </w:rPr>
              <w:t>8/23/2024</w:t>
            </w:r>
            <w:r>
              <w:rPr>
                <w:rFonts w:ascii="Arial" w:cs="Arial" w:eastAsia="Arial" w:hAnsi="Arial"/>
                <w:sz w:val="23"/>
                <w:szCs w:val="23"/>
                <w:color w:val="auto"/>
                <w:vertAlign w:val="superscript"/>
              </w:rPr>
              <w:t>(6)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2,268,268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(1,616,141)</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652,127</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7"/>
        </w:trPr>
        <w:tc>
          <w:tcPr>
            <w:tcW w:w="2700" w:type="dxa"/>
            <w:vAlign w:val="bottom"/>
            <w:gridSpan w:val="4"/>
            <w:vMerge w:val="restart"/>
            <w:shd w:val="clear" w:color="auto" w:fill="CCEEFF"/>
          </w:tcPr>
          <w:p>
            <w:pPr>
              <w:spacing w:after="0"/>
              <w:rPr>
                <w:sz w:val="20"/>
                <w:szCs w:val="20"/>
                <w:color w:val="auto"/>
              </w:rPr>
            </w:pPr>
            <w:r>
              <w:rPr>
                <w:rFonts w:ascii="Arial" w:cs="Arial" w:eastAsia="Arial" w:hAnsi="Arial"/>
                <w:sz w:val="14"/>
                <w:szCs w:val="14"/>
                <w:i w:val="1"/>
                <w:iCs w:val="1"/>
                <w:color w:val="auto"/>
              </w:rPr>
              <w:t>Total Global Innovation Platform</w:t>
            </w: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00" w:type="dxa"/>
            <w:vAlign w:val="bottom"/>
            <w:gridSpan w:val="4"/>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2,273,268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(70,379)</w:t>
            </w:r>
          </w:p>
        </w:tc>
        <w:tc>
          <w:tcPr>
            <w:tcW w:w="14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(1,550,762)</w:t>
            </w:r>
          </w:p>
        </w:tc>
        <w:tc>
          <w:tcPr>
            <w:tcW w:w="12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652,127</w:t>
            </w:r>
          </w:p>
        </w:tc>
        <w:tc>
          <w:tcPr>
            <w:tcW w:w="12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76"/>
        </w:trPr>
        <w:tc>
          <w:tcPr>
            <w:tcW w:w="2700" w:type="dxa"/>
            <w:vAlign w:val="bottom"/>
            <w:gridSpan w:val="4"/>
          </w:tcPr>
          <w:p>
            <w:pPr>
              <w:spacing w:after="0"/>
              <w:rPr>
                <w:sz w:val="20"/>
                <w:szCs w:val="20"/>
                <w:color w:val="auto"/>
              </w:rPr>
            </w:pPr>
            <w:r>
              <w:rPr>
                <w:rFonts w:ascii="Arial" w:cs="Arial" w:eastAsia="Arial" w:hAnsi="Arial"/>
                <w:sz w:val="14"/>
                <w:szCs w:val="14"/>
                <w:b w:val="1"/>
                <w:bCs w:val="1"/>
                <w:color w:val="auto"/>
              </w:rPr>
              <w:t>Total Options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2,273,268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(1,550,762)</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652,127</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75"/>
        </w:trPr>
        <w:tc>
          <w:tcPr>
            <w:tcW w:w="270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Common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gridSpan w:val="4"/>
          </w:tcPr>
          <w:p>
            <w:pPr>
              <w:ind w:left="180"/>
              <w:spacing w:after="0" w:line="149" w:lineRule="exact"/>
              <w:rPr>
                <w:sz w:val="20"/>
                <w:szCs w:val="20"/>
                <w:color w:val="auto"/>
              </w:rPr>
            </w:pPr>
            <w:r>
              <w:rPr>
                <w:rFonts w:ascii="Arial" w:cs="Arial" w:eastAsia="Arial" w:hAnsi="Arial"/>
                <w:sz w:val="14"/>
                <w:szCs w:val="14"/>
                <w:i w:val="1"/>
                <w:iCs w:val="1"/>
                <w:color w:val="auto"/>
              </w:rPr>
              <w:t>Online Education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Curious.com, Inc.–Common shares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1,135,944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40" w:type="dxa"/>
            <w:vAlign w:val="bottom"/>
          </w:tcPr>
          <w:p>
            <w:pPr>
              <w:spacing w:after="0"/>
              <w:rPr>
                <w:sz w:val="20"/>
                <w:szCs w:val="20"/>
                <w:color w:val="auto"/>
              </w:rPr>
            </w:pPr>
            <w:r>
              <w:rPr>
                <w:rFonts w:ascii="Arial" w:cs="Arial" w:eastAsia="Arial" w:hAnsi="Arial"/>
                <w:sz w:val="14"/>
                <w:szCs w:val="14"/>
                <w:b w:val="1"/>
                <w:bCs w:val="1"/>
                <w:color w:val="auto"/>
              </w:rPr>
              <w:t>Total Common Stock</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12"/>
        </w:trPr>
        <w:tc>
          <w:tcPr>
            <w:tcW w:w="27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NON-</w:t>
            </w:r>
          </w:p>
        </w:tc>
        <w:tc>
          <w:tcPr>
            <w:tcW w:w="8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r>
      <w:tr>
        <w:trPr>
          <w:trHeight w:val="165"/>
        </w:trPr>
        <w:tc>
          <w:tcPr>
            <w:tcW w:w="2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CONTROLLED/AFFILIATE</w:t>
            </w: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43"/>
        </w:trPr>
        <w:tc>
          <w:tcPr>
            <w:tcW w:w="2740" w:type="dxa"/>
            <w:vAlign w:val="bottom"/>
            <w:shd w:val="clear" w:color="auto" w:fill="CCEEFF"/>
          </w:tcPr>
          <w:p>
            <w:pPr>
              <w:spacing w:after="0" w:line="223"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(1)</w:t>
            </w:r>
          </w:p>
        </w:tc>
        <w:tc>
          <w:tcPr>
            <w:tcW w:w="8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14,609,089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85"/>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(70,379) $</w:t>
            </w:r>
          </w:p>
        </w:tc>
        <w:tc>
          <w:tcPr>
            <w:tcW w:w="17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xml:space="preserve">(1,947,548)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12,591,162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jc w:val="both"/>
        <w:ind w:left="660" w:hanging="652"/>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92" w:lineRule="exact"/>
        <w:rPr>
          <w:sz w:val="20"/>
          <w:szCs w:val="20"/>
          <w:color w:val="auto"/>
        </w:rPr>
      </w:pPr>
    </w:p>
    <w:p>
      <w:pPr>
        <w:ind w:left="6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assets that SuRo Capital Corp. believes do not represent “qualifying assets” under Section 55(a) of the 1940 Act. Of the Company’s total investments as of December 31, 2022, 14.47% of its total investments are non-qualifying assets.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25" w:lineRule="exact"/>
        <w:rPr>
          <w:sz w:val="20"/>
          <w:szCs w:val="20"/>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“Affiliate Investments” are investments in those companies that are “Affiliated Companies” of SuRo Capital Corp., as defined in the 1940 Act. In general, a company is deemed to be an “Affiliate” of SuRo Capital Corp. if SuRo Capital Corp. beneficially owns, directly or indirectly, between 5% and 25%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Investments” are investments in those companies that are “Controlled Companies” of SuRo Capital Corp., as defined in the 1940 Act. In general, under the 1940 Act, the Company would “Control” a portfolio company if the Company beneficially owns, directly or indirectly, more than 25% of its outstanding voting securities (i.e., securities with the right to elect directors) and/or had the power to exercise control over the management or policies of such portfolio company.</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2022, the investments noted had been placed on non-accrual status.</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ending August 23, 2024, while SuRo Capital Corp. can put the shares to OneValley, Inc. (f/k/a NestGSV, Inc.) at the end of the five year period.</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the Company’s Board of Directors approved an extension of the Share Repurchase Program until the earlier of (i) October 31, 2023 or (ii) the repurchase of $55.0 million in aggregate amount of the Company’s common stock.</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and six months ended June 30, 2023, the Company did not repurchase any shares of the Company’s common stock under the Share Repurchase Program. During the three and six months ended June 30, 2022, the Company repurchased 855,159 and 1,008,676 shares of the Company’s common stock under the Share Repurchase Program. As of June 30, 2023, the dollar value of shares that remained available to be purchased by the Company under the Share Repurchase Program was approximately $16.4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17, 2023, the Company commenced a modified “Dutch Auction” tender offer (the “Modified Dutch Auction Tender Offer”) to purchase up to 3,000,000 shares of its common stock from its stockholders, which expired on April 17, 2023. In accordance with the terms of the Modified Dutch Auction Tender Offer, the Company selected the lowest price per share of not less than $3.00 per share and not greater than $4.50 per share.</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Modified Dutch Auction Tender Offer, the Company repurchased 3,000,000 shares, representing 10.6% of its outstanding shares, on or about April 21, 2023 at a price of $4.50 per share. The Company used available cash to fund the purchase of its shares of common stock in the Modified Dutch Auction Tender Offer and to pay for all related fees and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2019 Equity Incentive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11—Stock-Based Compensation” for a description of the Company’s restricted shares of common stock granted under the Amended &amp; Restated 2019 Equity Incentive Plan (as defined therein).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the Shares, if any, will be made by any method that is deemed to be an “at-the-market” offering as defined in Rule 415 under the Securities Act,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three and six months ended June 30, 2023, the Company did not issue or sell shares under the ATM program. During the three and six months ended June 30, 2022, the Company issued and sold 0 and 17,807 shares, respectively, under the ATM Program at weighted-average price of $13.01 per share, for gross proceeds of $231,677 and net proceeds of $229,896, after deducting commissions to the Agents on Shares sold. As of June 30, 2023, up to approximately $98.8 million in aggregate amount of the Shares remain available for sale under the ATM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and six months ended June 30,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2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Earnings per common share–basic:</w:t>
            </w:r>
          </w:p>
        </w:tc>
        <w:tc>
          <w:tcPr>
            <w:tcW w:w="20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right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rPr>
              <w:t>Net change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(15,620,024)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(94,339,688)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(11,003,515)</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(73,883,233)</w:t>
            </w:r>
          </w:p>
        </w:tc>
        <w:tc>
          <w:tcPr>
            <w:tcW w:w="0" w:type="dxa"/>
            <w:vAlign w:val="bottom"/>
          </w:tcPr>
          <w:p>
            <w:pPr>
              <w:spacing w:after="0"/>
              <w:rPr>
                <w:sz w:val="1"/>
                <w:szCs w:val="1"/>
                <w:color w:val="auto"/>
              </w:rPr>
            </w:pPr>
          </w:p>
        </w:tc>
      </w:tr>
      <w:tr>
        <w:trPr>
          <w:trHeight w:val="250"/>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common shares–basic</w:t>
            </w:r>
          </w:p>
        </w:tc>
        <w:tc>
          <w:tcPr>
            <w:tcW w:w="22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25,952,447</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30,633,878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27,158,786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30,929,321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2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Earnings per common share–basic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6"/>
        </w:trPr>
        <w:tc>
          <w:tcPr>
            <w:tcW w:w="472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Earnings per common share–diluted:</w:t>
            </w:r>
          </w:p>
        </w:tc>
        <w:tc>
          <w:tcPr>
            <w:tcW w:w="220" w:type="dxa"/>
            <w:vAlign w:val="bottom"/>
            <w:shd w:val="clear" w:color="auto" w:fill="CCEEFF"/>
          </w:tcPr>
          <w:p>
            <w:pPr>
              <w:spacing w:after="0"/>
              <w:rPr>
                <w:sz w:val="13"/>
                <w:szCs w:val="13"/>
                <w:color w:val="auto"/>
              </w:rPr>
            </w:pPr>
          </w:p>
        </w:tc>
        <w:tc>
          <w:tcPr>
            <w:tcW w:w="1140" w:type="dxa"/>
            <w:vAlign w:val="bottom"/>
            <w:tcBorders>
              <w:righ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Net change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1"/>
              <w:spacing w:after="0"/>
              <w:rPr>
                <w:sz w:val="20"/>
                <w:szCs w:val="20"/>
                <w:color w:val="auto"/>
              </w:rPr>
            </w:pPr>
            <w:r>
              <w:rPr>
                <w:rFonts w:ascii="Arial" w:cs="Arial" w:eastAsia="Arial" w:hAnsi="Arial"/>
                <w:sz w:val="18"/>
                <w:szCs w:val="18"/>
                <w:color w:val="auto"/>
              </w:rPr>
              <w:t>(15,620,024)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1"/>
              <w:spacing w:after="0"/>
              <w:rPr>
                <w:sz w:val="20"/>
                <w:szCs w:val="20"/>
                <w:color w:val="auto"/>
              </w:rPr>
            </w:pPr>
            <w:r>
              <w:rPr>
                <w:rFonts w:ascii="Arial" w:cs="Arial" w:eastAsia="Arial" w:hAnsi="Arial"/>
                <w:sz w:val="18"/>
                <w:szCs w:val="18"/>
                <w:color w:val="auto"/>
              </w:rPr>
              <w:t>(94,339,688)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(11,003,515)</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(73,883,233)</w:t>
            </w:r>
          </w:p>
        </w:tc>
        <w:tc>
          <w:tcPr>
            <w:tcW w:w="0" w:type="dxa"/>
            <w:vAlign w:val="bottom"/>
          </w:tcPr>
          <w:p>
            <w:pPr>
              <w:spacing w:after="0"/>
              <w:rPr>
                <w:sz w:val="1"/>
                <w:szCs w:val="1"/>
                <w:color w:val="auto"/>
              </w:rPr>
            </w:pPr>
          </w:p>
        </w:tc>
      </w:tr>
      <w:tr>
        <w:trPr>
          <w:trHeight w:val="27"/>
        </w:trPr>
        <w:tc>
          <w:tcPr>
            <w:tcW w:w="4720" w:type="dxa"/>
            <w:vAlign w:val="bottom"/>
            <w:gridSpan w:val="3"/>
            <w:vMerge w:val="restart"/>
            <w:shd w:val="clear" w:color="auto" w:fill="CCEEFF"/>
          </w:tcPr>
          <w:p>
            <w:pPr>
              <w:spacing w:after="0" w:line="284" w:lineRule="exact"/>
              <w:rPr>
                <w:sz w:val="20"/>
                <w:szCs w:val="20"/>
                <w:color w:val="auto"/>
              </w:rPr>
            </w:pPr>
            <w:r>
              <w:rPr>
                <w:rFonts w:ascii="Arial" w:cs="Arial" w:eastAsia="Arial" w:hAnsi="Arial"/>
                <w:sz w:val="18"/>
                <w:szCs w:val="18"/>
                <w:color w:val="auto"/>
              </w:rPr>
              <w:t>Weighted-average common shares outstanding–diluted</w:t>
            </w:r>
            <w:r>
              <w:rPr>
                <w:rFonts w:ascii="Arial" w:cs="Arial" w:eastAsia="Arial" w:hAnsi="Arial"/>
                <w:sz w:val="29"/>
                <w:szCs w:val="29"/>
                <w:color w:val="auto"/>
                <w:vertAlign w:val="superscript"/>
              </w:rPr>
              <w:t>(1)</w:t>
            </w:r>
          </w:p>
        </w:tc>
        <w:tc>
          <w:tcPr>
            <w:tcW w:w="22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20" w:type="dxa"/>
            <w:vAlign w:val="bottom"/>
            <w:gridSpan w:val="3"/>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25,952,447</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30,633,878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27,158,786</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30,929,321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Earnings per common share–diluted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5540" w:right="1840" w:hanging="5532"/>
        <w:spacing w:after="0" w:line="527" w:lineRule="auto"/>
        <w:tabs>
          <w:tab w:leader="none" w:pos="3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three and six months ended June 30, 2023 and June 30, 2022, there were no potentially dilutive securities outstanding.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As of June 30, 2023, the Company had approximately $5.8 million in non-binding investment agreements that required it to make a future investment in a portfolio company.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Related Deposits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June 30, 2023 and December 31, 2022, the Company booked a right-of-use asset and operating lease liability of $206,554 and $288,268, respectively, on the Condensed Consolidated Statement of Assets and Liabilities. As of June 30, 2023 and December 31, 2022, the Company recorded a security deposit of $16,574 and $16,574, respectively, on the Condensed Consolidated Statement of Assets and Liabilities. For the three months ended June 30, 2023 and 2022, the Company incurred $50,441 and $47,349, respectively, of operating lease expense. For the six months ended June 30, 2023 and 2022, the Company incurred $99,164 and $94,721, respectively, of operating lease expense. The amounts reflected on the Condensed Consolidated Statement of Assets and Liabilities have been discounted using the rate implicit in the lease. As of June 30, 2023, the remaining lease term was 1.1 years and the discount rate was 3.00%.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4"/>
          </w:tcPr>
          <w:p>
            <w:pPr>
              <w:jc w:val="right"/>
              <w:ind w:right="287"/>
              <w:spacing w:after="0"/>
              <w:rPr>
                <w:sz w:val="20"/>
                <w:szCs w:val="20"/>
                <w:color w:val="auto"/>
              </w:rPr>
            </w:pPr>
            <w:r>
              <w:rPr>
                <w:rFonts w:ascii="Arial" w:cs="Arial" w:eastAsia="Arial" w:hAnsi="Arial"/>
                <w:sz w:val="18"/>
                <w:szCs w:val="18"/>
                <w:color w:val="auto"/>
                <w:w w:val="94"/>
              </w:rPr>
              <w:t>The following table shows future minimum payments under the Company’s operating lease as of June 30, 2023:</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764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Amount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113,603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73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NOTE 8—FINANCIAL HIGHLIGHTS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w w:val="97"/>
              </w:rPr>
              <w:t>Three Months Ended June 30,</w:t>
            </w:r>
          </w:p>
        </w:tc>
        <w:tc>
          <w:tcPr>
            <w:tcW w:w="300" w:type="dxa"/>
            <w:vAlign w:val="bottom"/>
          </w:tcPr>
          <w:p>
            <w:pPr>
              <w:spacing w:after="0"/>
              <w:rPr>
                <w:sz w:val="24"/>
                <w:szCs w:val="2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Basic Share Data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asset value at beginning of the year</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7.59</w:t>
            </w:r>
          </w:p>
        </w:tc>
        <w:tc>
          <w:tcPr>
            <w:tcW w:w="300" w:type="dxa"/>
            <w:vAlign w:val="bottom"/>
          </w:tcPr>
          <w:p>
            <w:pPr>
              <w:spacing w:after="0"/>
              <w:rPr>
                <w:sz w:val="18"/>
                <w:szCs w:val="18"/>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12.22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7.39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Net investment loss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line="270" w:lineRule="exact"/>
              <w:rPr>
                <w:sz w:val="20"/>
                <w:szCs w:val="20"/>
                <w:color w:val="auto"/>
              </w:rPr>
            </w:pPr>
            <w:r>
              <w:rPr>
                <w:rFonts w:ascii="Arial" w:cs="Arial" w:eastAsia="Arial" w:hAnsi="Arial"/>
                <w:sz w:val="18"/>
                <w:szCs w:val="18"/>
                <w:color w:val="auto"/>
              </w:rPr>
              <w:t>Net realized gain/(loss) on investments</w:t>
            </w:r>
            <w:r>
              <w:rPr>
                <w:rFonts w:ascii="Arial" w:cs="Arial" w:eastAsia="Arial" w:hAnsi="Arial"/>
                <w:sz w:val="29"/>
                <w:szCs w:val="29"/>
                <w:color w:val="auto"/>
                <w:vertAlign w:val="superscript"/>
              </w:rPr>
              <w:t>(1)</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23"/>
                <w:szCs w:val="23"/>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3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Net change in unrealized</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180"/>
              <w:spacing w:after="0" w:line="273" w:lineRule="exact"/>
              <w:rPr>
                <w:sz w:val="20"/>
                <w:szCs w:val="20"/>
                <w:color w:val="auto"/>
              </w:rPr>
            </w:pPr>
            <w:r>
              <w:rPr>
                <w:rFonts w:ascii="Arial" w:cs="Arial" w:eastAsia="Arial" w:hAnsi="Arial"/>
                <w:sz w:val="18"/>
                <w:szCs w:val="18"/>
                <w:color w:val="auto"/>
              </w:rPr>
              <w:t>appreciation/(depreciation) of investments</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0.37</w:t>
            </w: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w w:val="94"/>
              </w:rPr>
              <w:t>Issuance of common stock from public offering</w:t>
            </w:r>
            <w:r>
              <w:rPr>
                <w:rFonts w:ascii="Arial" w:cs="Arial" w:eastAsia="Arial" w:hAnsi="Arial"/>
                <w:sz w:val="29"/>
                <w:szCs w:val="29"/>
                <w:color w:val="auto"/>
                <w:w w:val="94"/>
                <w:vertAlign w:val="superscript"/>
              </w:rPr>
              <w:t>(1)</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3940" w:type="dxa"/>
            <w:vAlign w:val="bottom"/>
          </w:tcPr>
          <w:p>
            <w:pPr>
              <w:ind w:left="180"/>
              <w:spacing w:after="0" w:line="256" w:lineRule="exact"/>
              <w:rPr>
                <w:sz w:val="20"/>
                <w:szCs w:val="20"/>
                <w:color w:val="auto"/>
              </w:rPr>
            </w:pPr>
            <w:r>
              <w:rPr>
                <w:rFonts w:ascii="Arial" w:cs="Arial" w:eastAsia="Arial" w:hAnsi="Arial"/>
                <w:sz w:val="18"/>
                <w:szCs w:val="18"/>
                <w:color w:val="auto"/>
              </w:rPr>
              <w:t>Repurchase of common stock</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22"/>
                <w:szCs w:val="2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0.33</w:t>
            </w:r>
          </w:p>
        </w:tc>
        <w:tc>
          <w:tcPr>
            <w:tcW w:w="32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03"/>
        </w:trPr>
        <w:tc>
          <w:tcPr>
            <w:tcW w:w="3940" w:type="dxa"/>
            <w:vAlign w:val="bottom"/>
            <w:shd w:val="clear" w:color="auto" w:fill="CCEEFF"/>
          </w:tcPr>
          <w:p>
            <w:pPr>
              <w:ind w:left="180"/>
              <w:spacing w:after="0" w:line="284"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asset value at end of period</w:t>
            </w: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w:t>
            </w: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w:t>
            </w:r>
          </w:p>
        </w:tc>
        <w:tc>
          <w:tcPr>
            <w:tcW w:w="42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w:t>
            </w:r>
          </w:p>
        </w:tc>
        <w:tc>
          <w:tcPr>
            <w:tcW w:w="4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market value at end of period</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line="270"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(25.84)%</w:t>
            </w:r>
          </w:p>
        </w:tc>
        <w:tc>
          <w:tcPr>
            <w:tcW w:w="300" w:type="dxa"/>
            <w:vAlign w:val="bottom"/>
          </w:tcPr>
          <w:p>
            <w:pPr>
              <w:spacing w:after="0"/>
              <w:rPr>
                <w:sz w:val="23"/>
                <w:szCs w:val="23"/>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(0.54)%</w:t>
            </w: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25,398,640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30,325,187</w:t>
            </w:r>
          </w:p>
        </w:tc>
        <w:tc>
          <w:tcPr>
            <w:tcW w:w="30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25,398,640</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30,325,187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Ratios/Supplemental Data: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186,692,724</w:t>
            </w:r>
          </w:p>
        </w:tc>
        <w:tc>
          <w:tcPr>
            <w:tcW w:w="300" w:type="dxa"/>
            <w:vAlign w:val="bottom"/>
          </w:tcPr>
          <w:p>
            <w:pPr>
              <w:spacing w:after="0"/>
              <w:rPr>
                <w:sz w:val="18"/>
                <w:szCs w:val="18"/>
                <w:color w:val="auto"/>
              </w:rPr>
            </w:pP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280,172,472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186,692,724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280,172,472</w:t>
            </w: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Average net assets</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205,097,855</w:t>
            </w:r>
          </w:p>
        </w:tc>
        <w:tc>
          <w:tcPr>
            <w:tcW w:w="3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378,428,728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207,210,870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371,249,600</w:t>
            </w:r>
          </w:p>
        </w:tc>
        <w:tc>
          <w:tcPr>
            <w:tcW w:w="0" w:type="dxa"/>
            <w:vAlign w:val="bottom"/>
          </w:tcPr>
          <w:p>
            <w:pPr>
              <w:spacing w:after="0"/>
              <w:rPr>
                <w:sz w:val="1"/>
                <w:szCs w:val="1"/>
                <w:color w:val="auto"/>
              </w:rPr>
            </w:pPr>
          </w:p>
        </w:tc>
      </w:tr>
      <w:tr>
        <w:trPr>
          <w:trHeight w:val="186"/>
        </w:trPr>
        <w:tc>
          <w:tcPr>
            <w:tcW w:w="3940" w:type="dxa"/>
            <w:vAlign w:val="bottom"/>
            <w:tcBorders>
              <w:top w:val="single" w:sz="8" w:color="CCEEFF"/>
            </w:tcBorders>
          </w:tcPr>
          <w:p>
            <w:pPr>
              <w:spacing w:after="0" w:line="187" w:lineRule="exact"/>
              <w:rPr>
                <w:sz w:val="20"/>
                <w:szCs w:val="20"/>
                <w:color w:val="auto"/>
              </w:rPr>
            </w:pPr>
            <w:r>
              <w:rPr>
                <w:rFonts w:ascii="Arial" w:cs="Arial" w:eastAsia="Arial" w:hAnsi="Arial"/>
                <w:sz w:val="18"/>
                <w:szCs w:val="18"/>
                <w:color w:val="auto"/>
              </w:rPr>
              <w:t>Ratio of net operating expenses to average net</w:t>
            </w: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3940" w:type="dxa"/>
            <w:vAlign w:val="bottom"/>
          </w:tcPr>
          <w:p>
            <w:pPr>
              <w:spacing w:after="0" w:line="299" w:lineRule="exact"/>
              <w:rPr>
                <w:sz w:val="20"/>
                <w:szCs w:val="20"/>
                <w:color w:val="auto"/>
              </w:rPr>
            </w:pPr>
            <w:r>
              <w:rPr>
                <w:rFonts w:ascii="Arial" w:cs="Arial" w:eastAsia="Arial" w:hAnsi="Arial"/>
                <w:sz w:val="18"/>
                <w:szCs w:val="18"/>
                <w:color w:val="auto"/>
              </w:rPr>
              <w:t>assets</w:t>
            </w:r>
            <w:r>
              <w:rPr>
                <w:rFonts w:ascii="Arial" w:cs="Arial" w:eastAsia="Arial" w:hAnsi="Arial"/>
                <w:sz w:val="29"/>
                <w:szCs w:val="29"/>
                <w:color w:val="auto"/>
                <w:vertAlign w:val="superscript"/>
              </w:rPr>
              <w:t>(3)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shd w:val="clear" w:color="auto" w:fill="CCEEFF"/>
          </w:tcPr>
          <w:p>
            <w:pPr>
              <w:spacing w:after="0" w:line="243" w:lineRule="exact"/>
              <w:rPr>
                <w:sz w:val="20"/>
                <w:szCs w:val="20"/>
                <w:color w:val="auto"/>
              </w:rPr>
            </w:pPr>
            <w:r>
              <w:rPr>
                <w:rFonts w:ascii="Arial" w:cs="Arial" w:eastAsia="Arial" w:hAnsi="Arial"/>
                <w:sz w:val="17"/>
                <w:szCs w:val="17"/>
                <w:color w:val="auto"/>
                <w:w w:val="98"/>
              </w:rPr>
              <w:t>Ratio of net investment loss to average net assets</w:t>
            </w:r>
            <w:r>
              <w:rPr>
                <w:rFonts w:ascii="Arial" w:cs="Arial" w:eastAsia="Arial" w:hAnsi="Arial"/>
                <w:sz w:val="28"/>
                <w:szCs w:val="28"/>
                <w:color w:val="auto"/>
                <w:w w:val="98"/>
                <w:vertAlign w:val="superscript"/>
              </w:rPr>
              <w:t>(3)</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relevant period.</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Because the ratios are calculated for the Company’s common stock taken as a whole, an individual investor’s ratios may vary from these ratios.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and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9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 result of their ownership of certain portfolio investments. Any income generated by these taxable subsidiaries generally would be subject to tax at normal corporate tax rates based on its taxable income.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the Taxable Subsidiaries identified their major tax jurisdictions as U.S. federal, New York, and California and may be subject to the taxing authorities’ examination for the tax years 2020–2023 in New York and 2019–2023 in California, respectively. Further, the Company and the Taxable Subsidiaries accrue all interest and penalties related to uncertain tax positions as incurred. As of June 30, 2023, there were no material interest or penalties incurred related to uncertain tax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6.00% Notes due 2026</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6.00% Notes due 2026 are direct unsecured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6.00% Notes due 2026 are listed for trading on the Nasdaq Global Select Market under the symbol “SSSSL”. The reported closing market price of SSSSL on June 30, 2023 and December 31, 2022 was $23.20 and $23.51 per note, respectively. As of June 30, 2023 and December 31, 2022, the fair value of the 6.00% Notes due 2026 was $69.6 million and $70.5 million, respectively. The 6.00% Notes due 2026 are classified as Level 1 of the fair value hierarchy (Refer to “Note 2 — Significant Accounting Policies”). As of June 30, 2023 and December 31, 2022, the Company was in compliance with the terms of the Indenture.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Incentive Plan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Nasdaq on the date of grant.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Stock Option Awards Under 2019 Equity Incentive Plan</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As of July 17, 2019</w:t>
            </w:r>
          </w:p>
        </w:tc>
      </w:tr>
      <w:tr>
        <w:trPr>
          <w:trHeight w:val="241"/>
        </w:trPr>
        <w:tc>
          <w:tcPr>
            <w:tcW w:w="9100" w:type="dxa"/>
            <w:vAlign w:val="bottom"/>
          </w:tcPr>
          <w:p>
            <w:pPr>
              <w:spacing w:after="0"/>
              <w:rPr>
                <w:sz w:val="20"/>
                <w:szCs w:val="20"/>
                <w:color w:val="auto"/>
              </w:rPr>
            </w:pPr>
            <w:r>
              <w:rPr>
                <w:rFonts w:ascii="Arial" w:cs="Arial" w:eastAsia="Arial" w:hAnsi="Arial"/>
                <w:sz w:val="18"/>
                <w:szCs w:val="18"/>
                <w:b w:val="1"/>
                <w:bCs w:val="1"/>
                <w:color w:val="auto"/>
              </w:rPr>
              <w:t>Input Assumptions</w:t>
            </w:r>
          </w:p>
        </w:tc>
        <w:tc>
          <w:tcPr>
            <w:tcW w:w="24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(years)</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5.55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910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39.47%</w:t>
            </w:r>
          </w:p>
        </w:tc>
        <w:tc>
          <w:tcPr>
            <w:tcW w:w="100" w:type="dxa"/>
            <w:vAlign w:val="bottom"/>
          </w:tcPr>
          <w:p>
            <w:pPr>
              <w:spacing w:after="0"/>
              <w:rPr>
                <w:sz w:val="20"/>
                <w:szCs w:val="20"/>
                <w:color w:val="auto"/>
              </w:rPr>
            </w:pPr>
          </w:p>
        </w:tc>
      </w:tr>
      <w:tr>
        <w:trPr>
          <w:trHeight w:val="222"/>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1.86%</w:t>
            </w:r>
          </w:p>
        </w:tc>
        <w:tc>
          <w:tcPr>
            <w:tcW w:w="100" w:type="dxa"/>
            <w:vAlign w:val="bottom"/>
            <w:shd w:val="clear" w:color="auto" w:fill="CCEEFF"/>
          </w:tcPr>
          <w:p>
            <w:pPr>
              <w:spacing w:after="0"/>
              <w:rPr>
                <w:sz w:val="19"/>
                <w:szCs w:val="19"/>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Dividend yield</w:t>
            </w:r>
          </w:p>
        </w:tc>
        <w:tc>
          <w:tcPr>
            <w:tcW w:w="24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Weighted-Average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 Fair</w:t>
            </w:r>
          </w:p>
        </w:tc>
      </w:tr>
      <w:tr>
        <w:trPr>
          <w:trHeight w:val="241"/>
        </w:trPr>
        <w:tc>
          <w:tcPr>
            <w:tcW w:w="5400" w:type="dxa"/>
            <w:vAlign w:val="bottom"/>
          </w:tcPr>
          <w:p>
            <w:pPr>
              <w:spacing w:after="0"/>
              <w:rPr>
                <w:sz w:val="20"/>
                <w:szCs w:val="20"/>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Exercise Price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1,155,000</w:t>
            </w:r>
          </w:p>
        </w:tc>
        <w:tc>
          <w:tcPr>
            <w:tcW w:w="3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Vested and Exercisable as of December 31, 2019</w:t>
            </w: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385,000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5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w:t>
            </w:r>
          </w:p>
        </w:tc>
        <w:tc>
          <w:tcPr>
            <w:tcW w:w="2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1"/>
                <w:szCs w:val="21"/>
                <w:color w:val="auto"/>
              </w:rPr>
            </w:pPr>
          </w:p>
        </w:tc>
      </w:tr>
      <w:tr>
        <w:trPr>
          <w:trHeight w:val="217"/>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as of June 30, 2023 and December 31, 2022</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425"/>
        </w:trPr>
        <w:tc>
          <w:tcPr>
            <w:tcW w:w="5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and December 31, 2022, there was $0 of total unrecognized compensation cost related to non-vested stock options granted under the 2019 Equity Incentive Plan, as the options were cancelled effective April 28,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 During the six months ended June 30, 2023, the Company granted 60,060 restricted shares to the Company’s non-employee directors pursuant to the Amended &amp; Restated 2019 Equity Incentive Plan. Additionally, on May 31, 2023, 26,736 restricted shares related to the 2022 non-employee director grants vested. Compensation expense associated with the restricted shares is recognized on a quarterly basis over the respective vesting periods.</w:t>
      </w:r>
    </w:p>
    <w:p>
      <w:pPr>
        <w:spacing w:after="0" w:line="1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six months ended June 30, 2023, the Company did not grant any restricted shares to the Company’s officers pursuant to the Amended &amp; Restated 2019 Equity Incentive Plan. The Company determined that the fair values, based on the grant date close price of such restricted shares granted to the Company’s officers under the Amended &amp; Restated 2019 Equity Incentive Plan during the six months ended June 30, 2023 and 2022 were approximately $0 and $2,885,000, respectively, in the aggregate.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six months ended June 30, 2023 and 2022, the Company recognized stock-based compensation expense of $1,525,258 and $1,263,300, respectively. As of June 30, 2023 and December 31, 2022, there were approximately $4,926,351 and $6,451,610 of total unrecognized compensation costs related to the restricted share grants. Compensation expense associated with the restricted shares is recognized on a quarterly basis over the respective vesting periods.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11"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The following table summarizes the activities for the Company’s restricted share grants for the six months ended June 30, 2023 under the Amended &amp; Restated 2019 Equity Incentive Plan:</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Number of Restricted</w:t>
            </w:r>
          </w:p>
        </w:tc>
      </w:tr>
      <w:tr>
        <w:trPr>
          <w:trHeight w:val="241"/>
        </w:trPr>
        <w:tc>
          <w:tcPr>
            <w:tcW w:w="5740" w:type="dxa"/>
            <w:vAlign w:val="bottom"/>
          </w:tcPr>
          <w:p>
            <w:pPr>
              <w:spacing w:after="0"/>
              <w:rPr>
                <w:sz w:val="20"/>
                <w:szCs w:val="20"/>
                <w:color w:val="auto"/>
              </w:rPr>
            </w:pPr>
          </w:p>
        </w:tc>
        <w:tc>
          <w:tcPr>
            <w:tcW w:w="21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Shares</w:t>
            </w: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606,620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60,060</w:t>
            </w:r>
          </w:p>
        </w:tc>
      </w:tr>
      <w:tr>
        <w:trPr>
          <w:trHeight w:val="269"/>
        </w:trPr>
        <w:tc>
          <w:tcPr>
            <w:tcW w:w="57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Vested</w:t>
            </w:r>
            <w:r>
              <w:rPr>
                <w:rFonts w:ascii="Arial" w:cs="Arial" w:eastAsia="Arial" w:hAnsi="Arial"/>
                <w:sz w:val="29"/>
                <w:szCs w:val="29"/>
                <w:color w:val="auto"/>
                <w:vertAlign w:val="superscript"/>
              </w:rPr>
              <w:t>(1)</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(168,306)</w:t>
            </w:r>
          </w:p>
        </w:tc>
      </w:tr>
      <w:tr>
        <w:trPr>
          <w:trHeight w:val="237"/>
        </w:trPr>
        <w:tc>
          <w:tcPr>
            <w:tcW w:w="5740" w:type="dxa"/>
            <w:vAlign w:val="bottom"/>
          </w:tcPr>
          <w:p>
            <w:pPr>
              <w:spacing w:after="0"/>
              <w:rPr>
                <w:sz w:val="20"/>
                <w:szCs w:val="20"/>
                <w:color w:val="auto"/>
              </w:rPr>
            </w:pPr>
            <w:r>
              <w:rPr>
                <w:rFonts w:ascii="Arial" w:cs="Arial" w:eastAsia="Arial" w:hAnsi="Arial"/>
                <w:sz w:val="18"/>
                <w:szCs w:val="18"/>
                <w:color w:val="auto"/>
              </w:rPr>
              <w:t>Forfeited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498,374</w:t>
            </w:r>
          </w:p>
        </w:tc>
        <w:tc>
          <w:tcPr>
            <w:tcW w:w="80" w:type="dxa"/>
            <w:vAlign w:val="bottom"/>
            <w:tcBorders>
              <w:top w:val="single" w:sz="8" w:color="CCEEFF"/>
            </w:tcBorders>
            <w:shd w:val="clear" w:color="auto" w:fill="CCEEFF"/>
          </w:tcPr>
          <w:p>
            <w:pPr>
              <w:spacing w:after="0"/>
              <w:rPr>
                <w:sz w:val="21"/>
                <w:szCs w:val="2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Vested as of June 30, 2023</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339,106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balance of vested shares reflects the total shares vested during the period and has not been reduced for those vested shares forfeited at time of vest related to net share settlement.</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Amended &amp; Restated 2019 Equity Incentive Plan provides for the concept of “net share settlement.” Specifically, it provides that the Company is authorized to withhold the Common Stock at the time the restricted shares are vested and taxed in satisfaction of the Participant’s tax obligations. On June 16, 2020, the Company received exemptive relief from the SEC to permit such withholding of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July 1, 2023 through August 8, 2023, the Company exited or received proceeds from the following investments (excluding short-term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investments):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6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Net Share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Realized</w:t>
            </w:r>
          </w:p>
        </w:tc>
      </w:tr>
      <w:tr>
        <w:trPr>
          <w:trHeight w:val="27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Portfolio Company</w:t>
            </w: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6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Sold</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0"/>
              <w:spacing w:after="0" w:line="270" w:lineRule="exact"/>
              <w:rPr>
                <w:sz w:val="20"/>
                <w:szCs w:val="20"/>
                <w:color w:val="auto"/>
              </w:rPr>
            </w:pPr>
            <w:r>
              <w:rPr>
                <w:rFonts w:ascii="Arial" w:cs="Arial" w:eastAsia="Arial" w:hAnsi="Arial"/>
                <w:sz w:val="18"/>
                <w:szCs w:val="18"/>
                <w:b w:val="1"/>
                <w:bCs w:val="1"/>
                <w:color w:val="auto"/>
                <w:w w:val="85"/>
              </w:rPr>
              <w:t xml:space="preserve">Price </w:t>
            </w:r>
            <w:r>
              <w:rPr>
                <w:rFonts w:ascii="Arial" w:cs="Arial" w:eastAsia="Arial" w:hAnsi="Arial"/>
                <w:sz w:val="29"/>
                <w:szCs w:val="29"/>
                <w:b w:val="1"/>
                <w:bCs w:val="1"/>
                <w:color w:val="auto"/>
                <w:w w:val="85"/>
                <w:vertAlign w:val="superscript"/>
              </w:rPr>
              <w:t>(1)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3"/>
              </w:rPr>
              <w:t>Proceeds</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90"/>
              <w:spacing w:after="0" w:line="270" w:lineRule="exact"/>
              <w:rPr>
                <w:sz w:val="20"/>
                <w:szCs w:val="20"/>
                <w:color w:val="auto"/>
              </w:rPr>
            </w:pPr>
            <w:r>
              <w:rPr>
                <w:rFonts w:ascii="Arial" w:cs="Arial" w:eastAsia="Arial" w:hAnsi="Arial"/>
                <w:sz w:val="18"/>
                <w:szCs w:val="18"/>
                <w:b w:val="1"/>
                <w:bCs w:val="1"/>
                <w:color w:val="auto"/>
              </w:rPr>
              <w:t>Loss</w:t>
            </w:r>
            <w:r>
              <w:rPr>
                <w:rFonts w:ascii="Arial" w:cs="Arial" w:eastAsia="Arial" w:hAnsi="Arial"/>
                <w:sz w:val="29"/>
                <w:szCs w:val="29"/>
                <w:b w:val="1"/>
                <w:bCs w:val="1"/>
                <w:color w:val="auto"/>
                <w:vertAlign w:val="superscript"/>
              </w:rPr>
              <w:t>(2)</w:t>
            </w:r>
          </w:p>
        </w:tc>
        <w:tc>
          <w:tcPr>
            <w:tcW w:w="100" w:type="dxa"/>
            <w:vAlign w:val="bottom"/>
            <w:tcBorders>
              <w:bottom w:val="single" w:sz="8" w:color="CCEEFF"/>
            </w:tcBorders>
          </w:tcPr>
          <w:p>
            <w:pPr>
              <w:spacing w:after="0"/>
              <w:rPr>
                <w:sz w:val="24"/>
                <w:szCs w:val="24"/>
                <w:color w:val="auto"/>
              </w:rPr>
            </w:pPr>
          </w:p>
        </w:tc>
      </w:tr>
      <w:tr>
        <w:trPr>
          <w:trHeight w:val="257"/>
        </w:trPr>
        <w:tc>
          <w:tcPr>
            <w:tcW w:w="32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(3)</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589,996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1,820,302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(1,394,547)</w:t>
            </w:r>
          </w:p>
        </w:tc>
      </w:tr>
      <w:tr>
        <w:trPr>
          <w:trHeight w:val="213"/>
        </w:trPr>
        <w:tc>
          <w:tcPr>
            <w:tcW w:w="3260" w:type="dxa"/>
            <w:vAlign w:val="bottom"/>
          </w:tcPr>
          <w:p>
            <w:pPr>
              <w:ind w:left="20"/>
              <w:spacing w:after="0"/>
              <w:rPr>
                <w:sz w:val="20"/>
                <w:szCs w:val="20"/>
                <w:color w:val="auto"/>
              </w:rPr>
            </w:pPr>
            <w:r>
              <w:rPr>
                <w:rFonts w:ascii="Arial" w:cs="Arial" w:eastAsia="Arial" w:hAnsi="Arial"/>
                <w:sz w:val="18"/>
                <w:szCs w:val="18"/>
                <w:color w:val="auto"/>
              </w:rPr>
              <w:t>Residential Homes For Rent, LLC (d/b/a</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4"/>
        </w:trPr>
        <w:tc>
          <w:tcPr>
            <w:tcW w:w="3260" w:type="dxa"/>
            <w:vAlign w:val="bottom"/>
          </w:tcPr>
          <w:p>
            <w:pPr>
              <w:ind w:left="20"/>
              <w:spacing w:after="0" w:line="287" w:lineRule="exact"/>
              <w:rPr>
                <w:sz w:val="20"/>
                <w:szCs w:val="20"/>
                <w:color w:val="auto"/>
              </w:rPr>
            </w:pPr>
            <w:r>
              <w:rPr>
                <w:rFonts w:ascii="Arial" w:cs="Arial" w:eastAsia="Arial" w:hAnsi="Arial"/>
                <w:sz w:val="18"/>
                <w:szCs w:val="18"/>
                <w:color w:val="auto"/>
              </w:rPr>
              <w:t>Second Avenue)</w:t>
            </w:r>
            <w:r>
              <w:rPr>
                <w:rFonts w:ascii="Arial" w:cs="Arial" w:eastAsia="Arial" w:hAnsi="Arial"/>
                <w:sz w:val="29"/>
                <w:szCs w:val="29"/>
                <w:color w:val="auto"/>
                <w:vertAlign w:val="superscript"/>
              </w:rPr>
              <w:t>(4)</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7/24/2023</w:t>
            </w: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83,333</w:t>
            </w:r>
          </w:p>
        </w:tc>
        <w:tc>
          <w:tcPr>
            <w:tcW w:w="14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32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1,903,635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(1,394,547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Realized loss does not include adjustments to amounts held in escrow receivable.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August 8, 2023, SuRo Capital held 262,420 shares of Nextdoor Holdings, Inc. public common shares.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June 30, 2023, $0.1 million has been received from Residential Homes for Rent, LLC (d/b/a Second Avenue) related to the 15% term loan due December 23, 2023. Of the proceeds received, $0.1 million repaid a portion of the outstanding principal and the remaining proceeds were attributed to interest.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July 1, 2023 through August 8, 2023, the Company made the following investments (not including capitalized transaction costs).</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Transaction Date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43"/>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FourKites, Inc.</w:t>
            </w:r>
          </w:p>
        </w:tc>
        <w:tc>
          <w:tcPr>
            <w:tcW w:w="16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shares</w:t>
            </w:r>
          </w:p>
        </w:tc>
        <w:tc>
          <w:tcPr>
            <w:tcW w:w="16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5,803,269</w:t>
            </w:r>
          </w:p>
        </w:tc>
        <w:tc>
          <w:tcPr>
            <w:tcW w:w="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Shogun Enterprises, Inc.</w:t>
            </w: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(d/b/a Hearth)</w:t>
            </w:r>
          </w:p>
        </w:tc>
        <w:tc>
          <w:tcPr>
            <w:tcW w:w="1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Preferred shares</w:t>
            </w:r>
          </w:p>
        </w:tc>
        <w:tc>
          <w:tcPr>
            <w:tcW w:w="212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7/12/2023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499,998</w:t>
            </w:r>
          </w:p>
        </w:tc>
        <w:tc>
          <w:tcPr>
            <w:tcW w:w="60" w:type="dxa"/>
            <w:vAlign w:val="bottom"/>
          </w:tcPr>
          <w:p>
            <w:pPr>
              <w:spacing w:after="0"/>
              <w:rPr>
                <w:sz w:val="20"/>
                <w:szCs w:val="20"/>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Stake Trade, Inc. (d/b/a</w:t>
            </w:r>
          </w:p>
        </w:tc>
        <w:tc>
          <w:tcPr>
            <w:tcW w:w="1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Simple Agreement for</w:t>
            </w:r>
          </w:p>
        </w:tc>
        <w:tc>
          <w:tcPr>
            <w:tcW w:w="1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4"/>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Prophet Exchange)</w:t>
            </w:r>
          </w:p>
        </w:tc>
        <w:tc>
          <w:tcPr>
            <w:tcW w:w="160" w:type="dxa"/>
            <w:vAlign w:val="bottom"/>
            <w:shd w:val="clear" w:color="auto" w:fill="CCEEFF"/>
          </w:tcPr>
          <w:p>
            <w:pPr>
              <w:spacing w:after="0"/>
              <w:rPr>
                <w:sz w:val="22"/>
                <w:szCs w:val="22"/>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Future Equity</w:t>
            </w:r>
          </w:p>
        </w:tc>
        <w:tc>
          <w:tcPr>
            <w:tcW w:w="2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7/26/2023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22"/>
                <w:szCs w:val="22"/>
                <w:color w:val="auto"/>
              </w:rPr>
            </w:pPr>
          </w:p>
        </w:tc>
      </w:tr>
      <w:tr>
        <w:trPr>
          <w:trHeight w:val="203"/>
        </w:trPr>
        <w:tc>
          <w:tcPr>
            <w:tcW w:w="20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7,303,267</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7, 2023, the Company’s Board of Directors authorized an extension of, and a $5.0 million increase in the amount of shares that may be repurchased under, the Company’s discretionary Share Repurchase Program until the earlier of (i) October 31, 2024 or (ii) the repurchase of $60.0 million in aggregate amount of the Company’s common stock.</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timing and number of shares to be repurchased pursuant to the Company’s discretionary Share Repurchase Program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w:t>
      </w:r>
    </w:p>
    <w:p>
      <w:pPr>
        <w:sectPr>
          <w:pgSz w:w="11900" w:h="16838" w:orient="portrait"/>
          <w:cols w:equalWidth="0" w:num="1">
            <w:col w:w="11240"/>
          </w:cols>
          <w:pgMar w:left="320" w:top="233" w:right="339" w:bottom="0" w:gutter="0" w:footer="0" w:header="0"/>
        </w:sectPr>
      </w:pPr>
    </w:p>
    <w:bookmarkStart w:id="46" w:name="page47"/>
    <w:bookmarkEnd w:id="46"/>
    <w:p>
      <w:pPr>
        <w:spacing w:after="0" w:line="277" w:lineRule="auto"/>
        <w:rPr>
          <w:sz w:val="20"/>
          <w:szCs w:val="20"/>
          <w:color w:val="auto"/>
        </w:rPr>
      </w:pPr>
      <w:r>
        <w:rPr>
          <w:rFonts w:ascii="Arial" w:cs="Arial" w:eastAsia="Arial" w:hAnsi="Arial"/>
          <w:sz w:val="18"/>
          <w:szCs w:val="18"/>
          <w:color w:val="auto"/>
        </w:rPr>
        <w:t>Program, the Company may repurchase its outstanding common stock in the open market, provided that it complies with the prohibitions under its insider trading policies and procedures and the applicable provisions of the 1940 Act and the Exchange Act.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August 8, 2023, the dollar value of shares that remained available to be purchased by the Company under the Share Repurchase Program was approximately $21.4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three controlled portfolio companies as of June 30, 2023,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June 30, 2022 as the Company’s significant subsidiaries would not have been considered significant subsidiaries under the Final Rules.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dependence upon our management team and key investment professionals;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manage our business and future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investments in growth-stage companies, other venture capital-backed companies, and generally U.S.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make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the uncertainty of the value of our portfolio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in political, economic or industry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changes in laws or regulations (including the interpretation thereof), including tax laws, on our operations and/or the operation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market volatility, including general price and volume fluctuations in stock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inflation or an inflationary economic environment could adversely affect our portfolio companies’ operating results, causing us to suffer losses in our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ectPr>
          <w:pgSz w:w="11900" w:h="16838" w:orient="portrait"/>
          <w:cols w:equalWidth="0" w:num="1">
            <w:col w:w="11240"/>
          </w:cols>
          <w:pgMar w:left="320" w:top="233" w:right="339" w:bottom="736"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736"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date of inception was January 6, 2011, which is the date we commenced development stage activities. We commenced operations as a BDC upon completion of our IPO in May 2011 and began our investment operations during the second quarter of 2011.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and effective June 22, 2020, we changed our name to “SuRo Capital Corp.” from “Sutter Rock Capital Corp.”</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and effective March 12, 2019, our Board of Directors approved our internalization (the “Internalization”) and we began operating as an internally-managed non-diversified closed-end management investment company that has elected to be regulated as a BDC under the 1940 Act. Our Board of Directors approved the Internalization in order to better align the interests of our stockholders with its management. As an internally managed BDC, we are managed by our employees, rather than the employees of an external investment adviser, thereby allowing for greater transparency to stockholders through robust disclosure regarding our compensation structure. As a result of the Internalization,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2023, of all of our portfolio investments, excluding U.S. Treasury bills, was $160,283,146.</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six months ended June 30, 2023, we funded investments in an aggregate amount of $13,829,990 (not including capitalized transaction costs or investments in short-term U.S. Treasury investments) as shown in the following table:</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Transaction Date</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Gross Payments</w:t>
            </w:r>
          </w:p>
        </w:tc>
        <w:tc>
          <w:tcPr>
            <w:tcW w:w="100" w:type="dxa"/>
            <w:vAlign w:val="bottom"/>
            <w:tcBorders>
              <w:bottom w:val="single" w:sz="8" w:color="CCEEFF"/>
            </w:tcBorders>
          </w:tcPr>
          <w:p>
            <w:pPr>
              <w:spacing w:after="0"/>
              <w:rPr>
                <w:sz w:val="20"/>
                <w:szCs w:val="20"/>
                <w:color w:val="auto"/>
              </w:rPr>
            </w:pPr>
          </w:p>
        </w:tc>
      </w:tr>
      <w:tr>
        <w:trPr>
          <w:trHeight w:val="257"/>
        </w:trPr>
        <w:tc>
          <w:tcPr>
            <w:tcW w:w="3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Orchard Technologies, Inc.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Preferred shares, Series 1</w:t>
            </w:r>
          </w:p>
        </w:tc>
        <w:tc>
          <w:tcPr>
            <w:tcW w:w="19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1/13/2023</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r>
      <w:tr>
        <w:trPr>
          <w:trHeight w:val="297"/>
        </w:trPr>
        <w:tc>
          <w:tcPr>
            <w:tcW w:w="3640" w:type="dxa"/>
            <w:vAlign w:val="bottom"/>
          </w:tcPr>
          <w:p>
            <w:pPr>
              <w:spacing w:after="0" w:line="296" w:lineRule="exact"/>
              <w:rPr>
                <w:sz w:val="20"/>
                <w:szCs w:val="20"/>
                <w:color w:val="auto"/>
              </w:rPr>
            </w:pPr>
            <w:r>
              <w:rPr>
                <w:rFonts w:ascii="Arial" w:cs="Arial" w:eastAsia="Arial" w:hAnsi="Arial"/>
                <w:sz w:val="18"/>
                <w:szCs w:val="18"/>
                <w:color w:val="auto"/>
              </w:rPr>
              <w:t>True Global Ventures 4 Plus Pte Ltd</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Limited Partner Fund Investment</w:t>
            </w:r>
          </w:p>
        </w:tc>
        <w:tc>
          <w:tcPr>
            <w:tcW w:w="19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3/31/2023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1,330,000</w:t>
            </w:r>
          </w:p>
        </w:tc>
      </w:tr>
      <w:tr>
        <w:trPr>
          <w:trHeight w:val="202"/>
        </w:trPr>
        <w:tc>
          <w:tcPr>
            <w:tcW w:w="3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Simple Agreement for Future Equity</w:t>
            </w: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PayJoy, Inc.</w:t>
            </w:r>
          </w:p>
        </w:tc>
        <w:tc>
          <w:tcPr>
            <w:tcW w:w="2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(SAFE)</w:t>
            </w:r>
          </w:p>
        </w:tc>
        <w:tc>
          <w:tcPr>
            <w:tcW w:w="19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5/25/2023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36"/>
        </w:trPr>
        <w:tc>
          <w:tcPr>
            <w:tcW w:w="3640" w:type="dxa"/>
            <w:vAlign w:val="bottom"/>
          </w:tcPr>
          <w:p>
            <w:pPr>
              <w:spacing w:after="0"/>
              <w:rPr>
                <w:sz w:val="20"/>
                <w:szCs w:val="20"/>
                <w:color w:val="auto"/>
              </w:rPr>
            </w:pPr>
            <w:r>
              <w:rPr>
                <w:rFonts w:ascii="Arial" w:cs="Arial" w:eastAsia="Arial" w:hAnsi="Arial"/>
                <w:sz w:val="18"/>
                <w:szCs w:val="18"/>
                <w:color w:val="auto"/>
              </w:rPr>
              <w:t>ServiceTitan, Inc.</w:t>
            </w:r>
          </w:p>
        </w:tc>
        <w:tc>
          <w:tcPr>
            <w:tcW w:w="2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19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6/30/2023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9,999,990</w:t>
            </w:r>
          </w:p>
        </w:tc>
      </w:tr>
      <w:tr>
        <w:trPr>
          <w:trHeight w:val="270"/>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7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7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13,829,990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January 13, 2023, we invested $2.0 million in Orchard Technologies, Inc.’s Series 1 Senior Preferred financing round. As part of the transaction, we exchanged a portion of its existing Series D Preferred shares investment for Series 1 Senior Preferred shares, Series 2 Senior Preferred shares, and Common shares. Additionally, our previous investment in the Simple Agreement for Future Equity was converted into additional Series 1 Senior Preferred shares.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previously unfunded capital commitment of $1.3 million was deemed fully contributed in lieu of cash distributions.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we capitalized fees of $14,723.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six months ended June 30, 2023, we exited or received proceeds from investments in the amount of $7,587,861, net of transaction costs, and realized a net loss on investments of $(13,080,856) (including adjustments to amounts held in escrow receivable) as shown in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Average Net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8"/>
              </w:rPr>
              <w:t>Realized</w:t>
            </w:r>
          </w:p>
        </w:tc>
      </w:tr>
      <w:tr>
        <w:trPr>
          <w:trHeight w:val="270"/>
        </w:trPr>
        <w:tc>
          <w:tcPr>
            <w:tcW w:w="3940" w:type="dxa"/>
            <w:vAlign w:val="bottom"/>
          </w:tcPr>
          <w:p>
            <w:pPr>
              <w:ind w:left="1240"/>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3"/>
                <w:szCs w:val="23"/>
                <w:color w:val="auto"/>
              </w:rPr>
            </w:pP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3"/>
                <w:szCs w:val="23"/>
                <w:color w:val="auto"/>
              </w:rPr>
            </w:pPr>
          </w:p>
        </w:tc>
        <w:tc>
          <w:tcPr>
            <w:tcW w:w="1460" w:type="dxa"/>
            <w:vAlign w:val="bottom"/>
            <w:gridSpan w:val="3"/>
          </w:tcPr>
          <w:p>
            <w:pPr>
              <w:jc w:val="right"/>
              <w:ind w:right="340"/>
              <w:spacing w:after="0" w:line="270" w:lineRule="exact"/>
              <w:rPr>
                <w:sz w:val="20"/>
                <w:szCs w:val="20"/>
                <w:color w:val="auto"/>
              </w:rPr>
            </w:pPr>
            <w:r>
              <w:rPr>
                <w:rFonts w:ascii="Arial" w:cs="Arial" w:eastAsia="Arial" w:hAnsi="Arial"/>
                <w:sz w:val="18"/>
                <w:szCs w:val="18"/>
                <w:b w:val="1"/>
                <w:bCs w:val="1"/>
                <w:color w:val="auto"/>
                <w:w w:val="86"/>
              </w:rPr>
              <w:t xml:space="preserve">Share Price </w:t>
            </w:r>
            <w:r>
              <w:rPr>
                <w:rFonts w:ascii="Arial" w:cs="Arial" w:eastAsia="Arial" w:hAnsi="Arial"/>
                <w:sz w:val="29"/>
                <w:szCs w:val="29"/>
                <w:b w:val="1"/>
                <w:bCs w:val="1"/>
                <w:color w:val="auto"/>
                <w:w w:val="86"/>
                <w:vertAlign w:val="superscript"/>
              </w:rPr>
              <w:t>(1)</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Net Proceeds</w:t>
            </w:r>
          </w:p>
        </w:tc>
        <w:tc>
          <w:tcPr>
            <w:tcW w:w="1240" w:type="dxa"/>
            <w:vAlign w:val="bottom"/>
            <w:gridSpan w:val="3"/>
          </w:tcPr>
          <w:p>
            <w:pPr>
              <w:jc w:val="right"/>
              <w:ind w:right="101"/>
              <w:spacing w:after="0" w:line="270" w:lineRule="exact"/>
              <w:rPr>
                <w:sz w:val="20"/>
                <w:szCs w:val="20"/>
                <w:color w:val="auto"/>
              </w:rPr>
            </w:pPr>
            <w:r>
              <w:rPr>
                <w:rFonts w:ascii="Arial" w:cs="Arial" w:eastAsia="Arial" w:hAnsi="Arial"/>
                <w:sz w:val="18"/>
                <w:szCs w:val="18"/>
                <w:b w:val="1"/>
                <w:bCs w:val="1"/>
                <w:color w:val="auto"/>
                <w:w w:val="88"/>
              </w:rPr>
              <w:t>Gain/(Loss)</w:t>
            </w:r>
            <w:r>
              <w:rPr>
                <w:rFonts w:ascii="Arial" w:cs="Arial" w:eastAsia="Arial" w:hAnsi="Arial"/>
                <w:sz w:val="29"/>
                <w:szCs w:val="29"/>
                <w:b w:val="1"/>
                <w:bCs w:val="1"/>
                <w:color w:val="auto"/>
                <w:w w:val="88"/>
                <w:vertAlign w:val="superscript"/>
              </w:rPr>
              <w:t>(2)</w:t>
            </w:r>
          </w:p>
        </w:tc>
      </w:tr>
      <w:tr>
        <w:trPr>
          <w:trHeight w:val="27"/>
        </w:trPr>
        <w:tc>
          <w:tcPr>
            <w:tcW w:w="3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70"/>
        </w:trPr>
        <w:tc>
          <w:tcPr>
            <w:tcW w:w="3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Kahoot! ASA</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75,601</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(100,466)</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color w:val="auto"/>
                <w:w w:val="94"/>
              </w:rPr>
              <w:t>NewLake Capital Partners, Inc. (f/k/a GreenAcreage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3940" w:type="dxa"/>
            <w:vAlign w:val="bottom"/>
          </w:tcPr>
          <w:p>
            <w:pPr>
              <w:spacing w:after="0" w:line="273" w:lineRule="exact"/>
              <w:rPr>
                <w:sz w:val="20"/>
                <w:szCs w:val="20"/>
                <w:color w:val="auto"/>
              </w:rPr>
            </w:pPr>
            <w:r>
              <w:rPr>
                <w:rFonts w:ascii="Arial" w:cs="Arial" w:eastAsia="Arial" w:hAnsi="Arial"/>
                <w:sz w:val="18"/>
                <w:szCs w:val="18"/>
                <w:color w:val="auto"/>
              </w:rPr>
              <w:t>Real Estate Corp.)</w:t>
            </w:r>
            <w:r>
              <w:rPr>
                <w:rFonts w:ascii="Arial" w:cs="Arial" w:eastAsia="Arial" w:hAnsi="Arial"/>
                <w:sz w:val="29"/>
                <w:szCs w:val="29"/>
                <w:color w:val="auto"/>
                <w:vertAlign w:val="superscript"/>
              </w:rPr>
              <w:t>(4)</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123,938</w:t>
            </w:r>
          </w:p>
        </w:tc>
        <w:tc>
          <w:tcPr>
            <w:tcW w:w="100" w:type="dxa"/>
            <w:vAlign w:val="bottom"/>
          </w:tcPr>
          <w:p>
            <w:pPr>
              <w:spacing w:after="0"/>
              <w:rPr>
                <w:sz w:val="23"/>
                <w:szCs w:val="2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2,293,102</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(186,748)</w:t>
            </w:r>
          </w:p>
        </w:tc>
      </w:tr>
      <w:tr>
        <w:trPr>
          <w:trHeight w:val="270"/>
        </w:trPr>
        <w:tc>
          <w:tcPr>
            <w:tcW w:w="3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950,000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23"/>
                <w:szCs w:val="23"/>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2,895,073</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(2,428,701)</w:t>
            </w: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Rent the Runway, Inc.</w:t>
            </w:r>
            <w:r>
              <w:rPr>
                <w:rFonts w:ascii="Arial" w:cs="Arial" w:eastAsia="Arial" w:hAnsi="Arial"/>
                <w:sz w:val="29"/>
                <w:szCs w:val="29"/>
                <w:color w:val="auto"/>
                <w:vertAlign w:val="superscript"/>
              </w:rPr>
              <w:t>(6)</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1/4/2023</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79,191</w:t>
            </w:r>
          </w:p>
        </w:tc>
        <w:tc>
          <w:tcPr>
            <w:tcW w:w="10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241,456</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(961,837)</w:t>
            </w:r>
          </w:p>
        </w:tc>
      </w:tr>
      <w:tr>
        <w:trPr>
          <w:trHeight w:val="21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Residential Homes for Rent, LLC (d/b/a Second</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3"/>
        </w:trPr>
        <w:tc>
          <w:tcPr>
            <w:tcW w:w="394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rPr>
              <w:t>Avenue)</w:t>
            </w:r>
            <w:r>
              <w:rPr>
                <w:rFonts w:ascii="Arial" w:cs="Arial" w:eastAsia="Arial" w:hAnsi="Arial"/>
                <w:sz w:val="29"/>
                <w:szCs w:val="29"/>
                <w:color w:val="auto"/>
                <w:vertAlign w:val="superscript"/>
              </w:rPr>
              <w:t>(7)</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23"/>
                <w:szCs w:val="23"/>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r>
      <w:tr>
        <w:trPr>
          <w:trHeight w:val="257"/>
        </w:trPr>
        <w:tc>
          <w:tcPr>
            <w:tcW w:w="3940" w:type="dxa"/>
            <w:vAlign w:val="bottom"/>
          </w:tcPr>
          <w:p>
            <w:pPr>
              <w:spacing w:after="0" w:line="256" w:lineRule="exact"/>
              <w:rPr>
                <w:sz w:val="20"/>
                <w:szCs w:val="20"/>
                <w:color w:val="auto"/>
              </w:rPr>
            </w:pPr>
            <w:r>
              <w:rPr>
                <w:rFonts w:ascii="Arial" w:cs="Arial" w:eastAsia="Arial" w:hAnsi="Arial"/>
                <w:sz w:val="18"/>
                <w:szCs w:val="18"/>
                <w:color w:val="auto"/>
              </w:rPr>
              <w:t>True Global Ventures 4 Plus Pte Ltd</w:t>
            </w:r>
            <w:r>
              <w:rPr>
                <w:rFonts w:ascii="Arial" w:cs="Arial" w:eastAsia="Arial" w:hAnsi="Arial"/>
                <w:sz w:val="29"/>
                <w:szCs w:val="29"/>
                <w:color w:val="auto"/>
                <w:vertAlign w:val="superscript"/>
              </w:rPr>
              <w:t>(8)</w:t>
            </w:r>
          </w:p>
        </w:tc>
        <w:tc>
          <w:tcPr>
            <w:tcW w:w="2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22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1,582,629</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22"/>
                <w:szCs w:val="22"/>
                <w:color w:val="auto"/>
              </w:rPr>
            </w:pPr>
          </w:p>
        </w:tc>
      </w:tr>
      <w:tr>
        <w:trPr>
          <w:trHeight w:val="303"/>
        </w:trPr>
        <w:tc>
          <w:tcPr>
            <w:tcW w:w="394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Ozy Media, Inc.</w:t>
            </w:r>
            <w:r>
              <w:rPr>
                <w:rFonts w:ascii="Arial" w:cs="Arial" w:eastAsia="Arial" w:hAnsi="Arial"/>
                <w:sz w:val="29"/>
                <w:szCs w:val="29"/>
                <w:color w:val="auto"/>
                <w:vertAlign w:val="superscript"/>
              </w:rPr>
              <w:t>(9)</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5/4/2023</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3,492,465</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(10,945,024)</w:t>
            </w:r>
          </w:p>
        </w:tc>
      </w:tr>
      <w:tr>
        <w:trPr>
          <w:trHeight w:val="203"/>
        </w:trPr>
        <w:tc>
          <w:tcPr>
            <w:tcW w:w="39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7,587,861</w:t>
            </w:r>
          </w:p>
        </w:tc>
        <w:tc>
          <w:tcPr>
            <w:tcW w:w="3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7"/>
              </w:rPr>
              <w:t>(13,292,776</w:t>
            </w:r>
          </w:p>
        </w:tc>
        <w:tc>
          <w:tcPr>
            <w:tcW w:w="100" w:type="dxa"/>
            <w:vAlign w:val="bottom"/>
            <w:tcBorders>
              <w:top w:val="single" w:sz="8" w:color="CCEEFF"/>
            </w:tcBorders>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Realized gain/(loss) does not include adjustments to amounts held in escrow receivable.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March 8, 2023, we had sold our remaining Kahoot! ASA public common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June 30, 2023, we held 105,820 remaining NewLake Capital Partners, Inc. public common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June 30, 2023, we held 852,416 remaining Nextdoor Holdings, Inc. public common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January 4, 2023, we had sold our remaining Rent the Runway, Inc. public common shares.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six months ended June 30, 2023, approximately $0.6 million was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previously unfunded capital commitment of $1.3 million was deemed fully contributed in lieu of cash distributions.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4, 2023, we abandoned our investment in Ozy Media,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six months ended June 30, 2022, we funded investments in an aggregate amount of $11,000,000 (not including capitalized transaction costs) as shown in the following table:</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240" w:type="dxa"/>
            <w:vAlign w:val="bottom"/>
          </w:tcPr>
          <w:p>
            <w:pPr>
              <w:spacing w:after="0"/>
              <w:rPr>
                <w:sz w:val="20"/>
                <w:szCs w:val="20"/>
                <w:color w:val="auto"/>
              </w:rPr>
            </w:pPr>
          </w:p>
        </w:tc>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Transaction Date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 Payments</w:t>
            </w:r>
          </w:p>
        </w:tc>
      </w:tr>
      <w:tr>
        <w:trPr>
          <w:trHeight w:val="216"/>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Shogun Enterprises, Inc. (d/b/a Hearth)</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Convertible Note</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5/2/2022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EDGE Markets, Inc.</w:t>
            </w:r>
          </w:p>
        </w:tc>
        <w:tc>
          <w:tcPr>
            <w:tcW w:w="22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85"/>
              </w:rPr>
              <w:t>Preferred Shares, Series Seed</w:t>
            </w:r>
          </w:p>
        </w:tc>
        <w:tc>
          <w:tcPr>
            <w:tcW w:w="198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5/18/2022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r>
      <w:tr>
        <w:trPr>
          <w:trHeight w:val="250"/>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Whoop, Inc.</w:t>
            </w:r>
          </w:p>
        </w:tc>
        <w:tc>
          <w:tcPr>
            <w:tcW w:w="2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Preferred Shares, Series C</w:t>
            </w:r>
          </w:p>
        </w:tc>
        <w:tc>
          <w:tcPr>
            <w:tcW w:w="198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6/30/2022</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11,000,000</w:t>
            </w:r>
          </w:p>
        </w:tc>
        <w:tc>
          <w:tcPr>
            <w:tcW w:w="10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2022, we capitalized fees of $8,515.</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six months ended June 30, 2022, we exited or received proceeds from investments in the amount of $5,051,279, net of transaction costs, and realized a net gain on investments of $1,130,050 (including adjustments to amounts held in escrow receivable) as shown in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Transaction</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Average Net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Realized</w:t>
            </w:r>
          </w:p>
        </w:tc>
      </w:tr>
      <w:tr>
        <w:trPr>
          <w:trHeight w:val="277"/>
        </w:trPr>
        <w:tc>
          <w:tcPr>
            <w:tcW w:w="39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460" w:type="dxa"/>
            <w:vAlign w:val="bottom"/>
            <w:gridSpan w:val="3"/>
          </w:tcPr>
          <w:p>
            <w:pPr>
              <w:jc w:val="right"/>
              <w:ind w:right="340"/>
              <w:spacing w:after="0" w:line="270" w:lineRule="exact"/>
              <w:rPr>
                <w:sz w:val="20"/>
                <w:szCs w:val="20"/>
                <w:color w:val="auto"/>
              </w:rPr>
            </w:pPr>
            <w:r>
              <w:rPr>
                <w:rFonts w:ascii="Arial" w:cs="Arial" w:eastAsia="Arial" w:hAnsi="Arial"/>
                <w:sz w:val="18"/>
                <w:szCs w:val="18"/>
                <w:b w:val="1"/>
                <w:bCs w:val="1"/>
                <w:color w:val="auto"/>
                <w:w w:val="86"/>
              </w:rPr>
              <w:t xml:space="preserve">Share Price </w:t>
            </w:r>
            <w:r>
              <w:rPr>
                <w:rFonts w:ascii="Arial" w:cs="Arial" w:eastAsia="Arial" w:hAnsi="Arial"/>
                <w:sz w:val="29"/>
                <w:szCs w:val="29"/>
                <w:b w:val="1"/>
                <w:bCs w:val="1"/>
                <w:color w:val="auto"/>
                <w:w w:val="86"/>
                <w:vertAlign w:val="superscript"/>
              </w:rPr>
              <w:t>(1)</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Net Proceeds</w:t>
            </w:r>
          </w:p>
        </w:tc>
        <w:tc>
          <w:tcPr>
            <w:tcW w:w="1240" w:type="dxa"/>
            <w:vAlign w:val="bottom"/>
            <w:gridSpan w:val="3"/>
          </w:tcPr>
          <w:p>
            <w:pPr>
              <w:jc w:val="right"/>
              <w:ind w:right="140"/>
              <w:spacing w:after="0" w:line="270" w:lineRule="exact"/>
              <w:rPr>
                <w:sz w:val="20"/>
                <w:szCs w:val="20"/>
                <w:color w:val="auto"/>
              </w:rPr>
            </w:pPr>
            <w:r>
              <w:rPr>
                <w:rFonts w:ascii="Arial" w:cs="Arial" w:eastAsia="Arial" w:hAnsi="Arial"/>
                <w:sz w:val="18"/>
                <w:szCs w:val="18"/>
                <w:b w:val="1"/>
                <w:bCs w:val="1"/>
                <w:color w:val="auto"/>
                <w:w w:val="88"/>
              </w:rPr>
              <w:t>Gain/(Loss)</w:t>
            </w:r>
            <w:r>
              <w:rPr>
                <w:rFonts w:ascii="Arial" w:cs="Arial" w:eastAsia="Arial" w:hAnsi="Arial"/>
                <w:sz w:val="29"/>
                <w:szCs w:val="29"/>
                <w:b w:val="1"/>
                <w:bCs w:val="1"/>
                <w:color w:val="auto"/>
                <w:w w:val="88"/>
                <w:vertAlign w:val="superscript"/>
              </w:rPr>
              <w:t>(2)</w:t>
            </w:r>
          </w:p>
        </w:tc>
      </w:tr>
      <w:tr>
        <w:trPr>
          <w:trHeight w:val="202"/>
        </w:trPr>
        <w:tc>
          <w:tcPr>
            <w:tcW w:w="3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NewLake Capital Partners, Inc. (f/k/a GreenAcreage</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Corp.)</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836,485</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215,799</w:t>
            </w:r>
          </w:p>
        </w:tc>
        <w:tc>
          <w:tcPr>
            <w:tcW w:w="10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Rover Group, Inc.</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474,335</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2,659,209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1,241,310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Rent the Runway, Inc.</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181,115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(578,626)</w:t>
            </w:r>
          </w:p>
        </w:tc>
      </w:tr>
      <w:tr>
        <w:trPr>
          <w:trHeight w:val="199"/>
        </w:trPr>
        <w:tc>
          <w:tcPr>
            <w:tcW w:w="3940" w:type="dxa"/>
            <w:vAlign w:val="bottom"/>
          </w:tcPr>
          <w:p>
            <w:pPr>
              <w:spacing w:after="0" w:line="200" w:lineRule="exact"/>
              <w:rPr>
                <w:sz w:val="20"/>
                <w:szCs w:val="20"/>
                <w:color w:val="auto"/>
              </w:rPr>
            </w:pPr>
            <w:r>
              <w:rPr>
                <w:rFonts w:ascii="Arial" w:cs="Arial" w:eastAsia="Arial" w:hAnsi="Arial"/>
                <w:sz w:val="18"/>
                <w:szCs w:val="18"/>
                <w:color w:val="auto"/>
              </w:rPr>
              <w:t>Residential Homes for Rent, LLC (d/b/a Second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3940" w:type="dxa"/>
            <w:vAlign w:val="bottom"/>
          </w:tcPr>
          <w:p>
            <w:pPr>
              <w:spacing w:after="0" w:line="273" w:lineRule="exact"/>
              <w:rPr>
                <w:sz w:val="20"/>
                <w:szCs w:val="20"/>
                <w:color w:val="auto"/>
              </w:rPr>
            </w:pPr>
            <w:r>
              <w:rPr>
                <w:rFonts w:ascii="Arial" w:cs="Arial" w:eastAsia="Arial" w:hAnsi="Arial"/>
                <w:sz w:val="18"/>
                <w:szCs w:val="18"/>
                <w:color w:val="auto"/>
              </w:rPr>
              <w:t>Avenue)</w:t>
            </w:r>
            <w:r>
              <w:rPr>
                <w:rFonts w:ascii="Arial" w:cs="Arial" w:eastAsia="Arial" w:hAnsi="Arial"/>
                <w:sz w:val="29"/>
                <w:szCs w:val="29"/>
                <w:color w:val="auto"/>
                <w:vertAlign w:val="superscript"/>
              </w:rPr>
              <w:t>(3)</w:t>
            </w:r>
          </w:p>
        </w:tc>
        <w:tc>
          <w:tcPr>
            <w:tcW w:w="2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Various</w:t>
            </w:r>
          </w:p>
        </w:tc>
        <w:tc>
          <w:tcPr>
            <w:tcW w:w="220" w:type="dxa"/>
            <w:vAlign w:val="bottom"/>
          </w:tcPr>
          <w:p>
            <w:pPr>
              <w:spacing w:after="0"/>
              <w:rPr>
                <w:sz w:val="23"/>
                <w:szCs w:val="23"/>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True Global Ventures 4 Plus Pte Ltd</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5/31/2022</w:t>
            </w:r>
          </w:p>
        </w:tc>
        <w:tc>
          <w:tcPr>
            <w:tcW w:w="2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874,470</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160,965</w:t>
            </w:r>
          </w:p>
        </w:tc>
        <w:tc>
          <w:tcPr>
            <w:tcW w:w="10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5,051,279</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1,039,448</w:t>
            </w:r>
          </w:p>
        </w:tc>
        <w:tc>
          <w:tcPr>
            <w:tcW w:w="10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if applicable.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Realized gain/(loss) does not include adjustments to amounts held in escrow receivable.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six months ended June 30, 2022, approximately $0.6 million has been received from Residential Homes for Rent, LLC (d/b/a Second Avenue) related to the 15% term loan due December 23, 2023. Of the proceeds received, approximately $0.5 million repaid a portion of the outstanding principal and the remaining was attributed to interest.</w:t>
      </w:r>
    </w:p>
    <w:p>
      <w:pPr>
        <w:spacing w:after="0" w:line="1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six months ended June 30, 2022, we did not write-off any investments and our OneValley, Inc. (f/k/a NestGSV, Inc.) Series B preferred warrants with a strike price of $2.31 expired on May 29, 2022.</w:t>
      </w:r>
    </w:p>
    <w:p>
      <w:pPr>
        <w:sectPr>
          <w:pgSz w:w="11900" w:h="16838" w:orient="portrait"/>
          <w:cols w:equalWidth="0" w:num="1">
            <w:col w:w="11240"/>
          </w:cols>
          <w:pgMar w:left="320" w:top="233" w:right="339" w:bottom="682"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682"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and six months ended June 30, 2023 and 2022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37"/>
        </w:trPr>
        <w:tc>
          <w:tcPr>
            <w:tcW w:w="47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890,631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2,671,300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1,473,731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1,309,073</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699,282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2,545,010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1,151,737</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63,145</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191,349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321,994</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5,177,558</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4,701,519</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10,698,405</w:t>
            </w:r>
          </w:p>
        </w:tc>
        <w:tc>
          <w:tcPr>
            <w:tcW w:w="200" w:type="dxa"/>
            <w:vAlign w:val="bottom"/>
          </w:tcPr>
          <w:p>
            <w:pPr>
              <w:spacing w:after="0"/>
              <w:rPr>
                <w:sz w:val="18"/>
                <w:szCs w:val="18"/>
                <w:color w:val="auto"/>
              </w:rPr>
            </w:pPr>
          </w:p>
        </w:tc>
        <w:tc>
          <w:tcPr>
            <w:tcW w:w="4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9,509,324</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2,117,872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1,759,261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4,254,626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3,619,963</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Directors’ fees</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161,661</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191,829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322,226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352,394</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916,579</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1,078,459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2,351,172</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1,214,267</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1,226,767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2,427,553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2,427,553</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90,826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676,353</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439,512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1,165,981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750,501</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(3,805,340)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(3,810,888)</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(8,027,105)</w:t>
            </w:r>
          </w:p>
        </w:tc>
        <w:tc>
          <w:tcPr>
            <w:tcW w:w="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(8,035,593)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realized gain/(loss) on investments</w:t>
            </w:r>
          </w:p>
        </w:tc>
        <w:tc>
          <w:tcPr>
            <w:tcW w:w="2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(13,270,199)</w:t>
            </w: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(1,966,225)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(13,080,856)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1,130,050</w:t>
            </w:r>
          </w:p>
        </w:tc>
        <w:tc>
          <w:tcPr>
            <w:tcW w:w="1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appreciation/(depreciation) of</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1,455,515</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(88,562,575)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10,104,446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(66,977,690)</w:t>
            </w:r>
          </w:p>
        </w:tc>
      </w:t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Net Change in Net Assets Resulting from Operations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(15,620,024)</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(94,339,688)</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(11,003,515)</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(73,883,233)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Investment income increased to $1,372,218 for the three months ended June 30, 2023 from $890,631 for the three months ended June 30, 2022. The net increase between periods was due to the addition of interest income from U.S. Treasury bills and Xgroup Holdings Limited (d/b/a Xpoint). The increase was offset by a decrease in interest income from Architect Capital PayJoy SPV, LLC, Residential Homes for Rent, LLC (d/b/a Second Avenue) and Neutron Holdings, Inc. (d/b/a/ Lime), plus a decrease in dividend income from NewLake Capital Partners, Inc. (f/k/a GreenAcreage Real Estate Corp.) and a cessation in dividend income from Treehouse Real Estate Investment Trust, Inc. during the three months ended June 30, 2023, relative to the three months ended June 30, 2022.</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Investment income increased to $2,671,300 for the six months ended June 30, 2023 from $1,473,731 for the six months ended June 30, 2022. The net increase between periods was due to the addition of interest income from U.S. Treasury Bills and Xgroup Holdings Limited (d/b/a Xpoint). The increase was offset by a decrease in interest income from Architect Capital PayJoy SPV, LLC, Residential Homes for Rent, LLC (d/b/a Second Avenue) and Neutron Holdings, Inc. (d/b/a/ Lime), plus a decrease in dividend income from NewLake Capital Partners, Inc. (f/k/a GreenAcreage Real Estate Corp.) and a cessation in dividend income from Treehouse Real Estate Investment Trust, Inc. during the six months ended June 30, 2023, relative to the six months ended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operating expenses increased to $5,177,558 for the three months ended June 30, 2023 from $4,701,519 for the three months ended June 30, 2022. The increase in operating expense was primarily due to an increase in compensation expense associated with an increased headcount and stock-based compensation, income tax expense due to estimates on blocker corporations, offset by a decrease in professional fees during the three months ended June 30, 2023, relative to the six months ended June 30, 2022.</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operating expenses increased to $10,698,405 for the six months ended June 30, 2023 from $9,509,324 for the six months ended June 30, 2022. The increase in operating expense was primarily due to an increase in compensation expense associated with an increased headcount and stock-based compensation, income tax expense due to estimates on blocker corporations, offset by a decrease in professional fees during the six months ended June 30, 2023, relative to the six months ended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June 30, 2023, we recognized a net investment loss of $(3,805,340), compared to a net investment loss of $(3,810,888) for the three months ended June 30, 2022. The change between periods resulted from an increase in operating expenses, offset by an increase in total investment income between periods during the three months ended June 30, 2023, relative to the three months ended June 30, 2022.</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six months ended June 30, 2023, we recognized a net investment loss of $(8,027,105), compared to a net investment loss of $(8,035,593) for the six months ended June 30, 2022. The change between periods resulted from an increase in operating expenses, offset by an increase in total investment income between periods during the six months ended June 30, 2023, relative to the six months ended June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2023, we recognized a net realized loss on our investments of $(13,270,199), compared to a net realized loss of $(1,966,225) for the three months ended June 30, 2022.</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six months ended June 30, 2023, we recognized a net realized loss on our investments of $(13,080,856), compared to a net realized gain of $1,130,050 for the six months ended June 30, 2022. The components of our net realized gains on portfolio investments for the six months ended June 30, 2023 and 2022, excluding U.S. Treasury investments and fluctuations in escrow receivables estimates, are reflected in the tables above, under “—Portfolio and Investment Activity.”</w:t>
      </w:r>
    </w:p>
    <w:p>
      <w:pPr>
        <w:sectPr>
          <w:pgSz w:w="11900" w:h="16838" w:orient="portrait"/>
          <w:cols w:equalWidth="0" w:num="1">
            <w:col w:w="11240"/>
          </w:cols>
          <w:pgMar w:left="320" w:top="233" w:right="33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June 30, 2023 and 2022, we had a net change in unrealized appreciation/(depreciation) of $1,455,515 and $(88,562,575), respectively. The following tables summarize, by portfolio company, the significant changes in unrealized appreciation/(depreciation) of our investment portfolio for the three months ended June 30, 2023 and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Net Change in Unrealized</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Net Change in Unrealized</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Appreciation/(Depreciation)</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3"/>
          </w:tcPr>
          <w:p>
            <w:pPr>
              <w:jc w:val="center"/>
              <w:ind w:right="81"/>
              <w:spacing w:after="0"/>
              <w:rPr>
                <w:sz w:val="20"/>
                <w:szCs w:val="20"/>
                <w:color w:val="auto"/>
              </w:rPr>
            </w:pPr>
            <w:r>
              <w:rPr>
                <w:rFonts w:ascii="Arial" w:cs="Arial" w:eastAsia="Arial" w:hAnsi="Arial"/>
                <w:sz w:val="18"/>
                <w:szCs w:val="18"/>
                <w:b w:val="1"/>
                <w:bCs w:val="1"/>
                <w:color w:val="auto"/>
                <w:w w:val="91"/>
              </w:rPr>
              <w:t>Appreciation/(Depreciation)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Three Months</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1"/>
              </w:rPr>
              <w:t>For the Three Months</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2023</w:t>
            </w:r>
          </w:p>
        </w:tc>
        <w:tc>
          <w:tcPr>
            <w:tcW w:w="3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Company</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88"/>
              </w:rPr>
              <w:t>June 30, 2022</w:t>
            </w:r>
          </w:p>
        </w:tc>
        <w:tc>
          <w:tcPr>
            <w:tcW w:w="0" w:type="dxa"/>
            <w:vAlign w:val="bottom"/>
          </w:tcPr>
          <w:p>
            <w:pPr>
              <w:spacing w:after="0"/>
              <w:rPr>
                <w:sz w:val="1"/>
                <w:szCs w:val="1"/>
                <w:color w:val="auto"/>
              </w:rPr>
            </w:pPr>
          </w:p>
        </w:tc>
      </w:tr>
      <w:tr>
        <w:trPr>
          <w:trHeight w:val="199"/>
        </w:trPr>
        <w:tc>
          <w:tcPr>
            <w:tcW w:w="2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Ozy Media, Inc.</w:t>
            </w:r>
            <w:r>
              <w:rPr>
                <w:rFonts w:ascii="Arial" w:cs="Arial" w:eastAsia="Arial" w:hAnsi="Arial"/>
                <w:sz w:val="29"/>
                <w:szCs w:val="29"/>
                <w:color w:val="auto"/>
                <w:vertAlign w:val="superscript"/>
              </w:rPr>
              <w:t>(1)</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NewLake Capital Partners, Inc. (f/k/a</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680" w:type="dxa"/>
            <w:vAlign w:val="bottom"/>
            <w:vMerge w:val="continue"/>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10,945,024</w:t>
            </w:r>
          </w:p>
        </w:tc>
        <w:tc>
          <w:tcPr>
            <w:tcW w:w="180" w:type="dxa"/>
            <w:vAlign w:val="bottom"/>
            <w:shd w:val="clear" w:color="auto" w:fill="CCEEFF"/>
          </w:tcPr>
          <w:p>
            <w:pPr>
              <w:spacing w:after="0"/>
              <w:rPr>
                <w:sz w:val="23"/>
                <w:szCs w:val="23"/>
                <w:color w:val="auto"/>
              </w:rPr>
            </w:pPr>
          </w:p>
        </w:tc>
        <w:tc>
          <w:tcPr>
            <w:tcW w:w="3460" w:type="dxa"/>
            <w:vAlign w:val="bottom"/>
            <w:gridSpan w:val="2"/>
            <w:shd w:val="clear" w:color="auto" w:fill="CCEEFF"/>
          </w:tcPr>
          <w:p>
            <w:pPr>
              <w:ind w:left="140"/>
              <w:spacing w:after="0" w:line="273" w:lineRule="exact"/>
              <w:rPr>
                <w:sz w:val="20"/>
                <w:szCs w:val="20"/>
                <w:color w:val="auto"/>
              </w:rPr>
            </w:pPr>
            <w:r>
              <w:rPr>
                <w:rFonts w:ascii="Arial" w:cs="Arial" w:eastAsia="Arial" w:hAnsi="Arial"/>
                <w:sz w:val="18"/>
                <w:szCs w:val="18"/>
                <w:color w:val="auto"/>
              </w:rPr>
              <w:t>GreenAcreage Real Estate Corp.)</w:t>
            </w:r>
            <w:r>
              <w:rPr>
                <w:rFonts w:ascii="Arial" w:cs="Arial" w:eastAsia="Arial" w:hAnsi="Arial"/>
                <w:sz w:val="29"/>
                <w:szCs w:val="29"/>
                <w:color w:val="auto"/>
                <w:vertAlign w:val="superscript"/>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(1,625,807)</w:t>
            </w:r>
          </w:p>
        </w:tc>
        <w:tc>
          <w:tcPr>
            <w:tcW w:w="0" w:type="dxa"/>
            <w:vAlign w:val="bottom"/>
          </w:tcPr>
          <w:p>
            <w:pPr>
              <w:spacing w:after="0"/>
              <w:rPr>
                <w:sz w:val="1"/>
                <w:szCs w:val="1"/>
                <w:color w:val="auto"/>
              </w:rPr>
            </w:pPr>
          </w:p>
        </w:tc>
      </w:tr>
      <w:tr>
        <w:trPr>
          <w:trHeight w:val="257"/>
        </w:trPr>
        <w:tc>
          <w:tcPr>
            <w:tcW w:w="2680" w:type="dxa"/>
            <w:vAlign w:val="bottom"/>
          </w:tcPr>
          <w:p>
            <w:pPr>
              <w:spacing w:after="0" w:line="256"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4,227,458</w:t>
            </w:r>
          </w:p>
        </w:tc>
        <w:tc>
          <w:tcPr>
            <w:tcW w:w="180" w:type="dxa"/>
            <w:vAlign w:val="bottom"/>
          </w:tcPr>
          <w:p>
            <w:pPr>
              <w:spacing w:after="0"/>
              <w:rPr>
                <w:sz w:val="22"/>
                <w:szCs w:val="22"/>
                <w:color w:val="auto"/>
              </w:rPr>
            </w:pPr>
          </w:p>
        </w:tc>
        <w:tc>
          <w:tcPr>
            <w:tcW w:w="346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Rover Group, Inc.</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(1,931,885)</w:t>
            </w:r>
          </w:p>
        </w:tc>
        <w:tc>
          <w:tcPr>
            <w:tcW w:w="0" w:type="dxa"/>
            <w:vAlign w:val="bottom"/>
          </w:tcPr>
          <w:p>
            <w:pPr>
              <w:spacing w:after="0"/>
              <w:rPr>
                <w:sz w:val="1"/>
                <w:szCs w:val="1"/>
                <w:color w:val="auto"/>
              </w:rPr>
            </w:pP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Shogun Enterprises, Inc. (d/b/a</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Hearth)</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4,051,105</w:t>
            </w:r>
          </w:p>
        </w:tc>
        <w:tc>
          <w:tcPr>
            <w:tcW w:w="18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Blink Health, Inc.</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(2,104,711)</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Colombier Sponsor LLC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2,387,898</w:t>
            </w:r>
          </w:p>
        </w:tc>
        <w:tc>
          <w:tcPr>
            <w:tcW w:w="180" w:type="dxa"/>
            <w:vAlign w:val="bottom"/>
          </w:tcPr>
          <w:p>
            <w:pPr>
              <w:spacing w:after="0"/>
              <w:rPr>
                <w:sz w:val="18"/>
                <w:szCs w:val="18"/>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Skillsoft Corp.</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(2,474,244)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Forge Global, Inc.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1,705,490</w:t>
            </w:r>
          </w:p>
        </w:tc>
        <w:tc>
          <w:tcPr>
            <w:tcW w:w="1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Varo Money, Inc.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(2,700,966)</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Orchard Technologies,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1,210,675</w:t>
            </w:r>
          </w:p>
        </w:tc>
        <w:tc>
          <w:tcPr>
            <w:tcW w:w="180" w:type="dxa"/>
            <w:vAlign w:val="bottom"/>
          </w:tcPr>
          <w:p>
            <w:pPr>
              <w:spacing w:after="0"/>
              <w:rPr>
                <w:sz w:val="18"/>
                <w:szCs w:val="18"/>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Enjoy Technology, Inc.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(3,741,844)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Stormwind, LLC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1,206,200</w:t>
            </w:r>
          </w:p>
        </w:tc>
        <w:tc>
          <w:tcPr>
            <w:tcW w:w="1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Neutron Holdings, Inc. (d/b/a/ Lime)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(3,991,353)</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Whoop,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(1,775,407)</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Nextdoor Holdings, Inc.</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(4,020,739)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Trax, Ltd.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(2,346,683)</w:t>
            </w: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Trax Ltd.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(5,588,395)</w:t>
            </w:r>
          </w:p>
        </w:tc>
        <w:tc>
          <w:tcPr>
            <w:tcW w:w="0" w:type="dxa"/>
            <w:vAlign w:val="bottom"/>
          </w:tcPr>
          <w:p>
            <w:pPr>
              <w:spacing w:after="0"/>
              <w:rPr>
                <w:sz w:val="1"/>
                <w:szCs w:val="1"/>
                <w:color w:val="auto"/>
              </w:rPr>
            </w:pP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Learneo, Inc. (f/k/a Course Hero,</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Inc.)</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(18,251,804)</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Course Hero, Inc.</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(17,273,549)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Forge Global Holdings, Inc.</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(41,488,638)</w:t>
            </w:r>
          </w:p>
        </w:tc>
        <w:tc>
          <w:tcPr>
            <w:tcW w:w="0" w:type="dxa"/>
            <w:vAlign w:val="bottom"/>
          </w:tcPr>
          <w:p>
            <w:pPr>
              <w:spacing w:after="0"/>
              <w:rPr>
                <w:sz w:val="1"/>
                <w:szCs w:val="1"/>
                <w:color w:val="auto"/>
              </w:rPr>
            </w:pPr>
          </w:p>
        </w:tc>
      </w:tr>
      <w:tr>
        <w:trPr>
          <w:trHeight w:val="290"/>
        </w:trPr>
        <w:tc>
          <w:tcPr>
            <w:tcW w:w="2680" w:type="dxa"/>
            <w:vAlign w:val="bottom"/>
          </w:tcPr>
          <w:p>
            <w:pPr>
              <w:spacing w:after="0" w:line="28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(1,904,441)</w:t>
            </w:r>
          </w:p>
        </w:tc>
        <w:tc>
          <w:tcPr>
            <w:tcW w:w="3460" w:type="dxa"/>
            <w:vAlign w:val="bottom"/>
            <w:gridSpan w:val="2"/>
          </w:tcPr>
          <w:p>
            <w:pPr>
              <w:ind w:left="140"/>
              <w:spacing w:after="0" w:line="284"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right"/>
              <w:ind w:right="21"/>
              <w:spacing w:after="0"/>
              <w:rPr>
                <w:sz w:val="20"/>
                <w:szCs w:val="20"/>
                <w:color w:val="auto"/>
              </w:rPr>
            </w:pPr>
            <w:r>
              <w:rPr>
                <w:rFonts w:ascii="Arial" w:cs="Arial" w:eastAsia="Arial" w:hAnsi="Arial"/>
                <w:sz w:val="18"/>
                <w:szCs w:val="18"/>
                <w:color w:val="auto"/>
              </w:rPr>
              <w:t>(1,620,444)</w:t>
            </w:r>
          </w:p>
        </w:tc>
        <w:tc>
          <w:tcPr>
            <w:tcW w:w="0" w:type="dxa"/>
            <w:vAlign w:val="bottom"/>
          </w:tcPr>
          <w:p>
            <w:pPr>
              <w:spacing w:after="0"/>
              <w:rPr>
                <w:sz w:val="1"/>
                <w:szCs w:val="1"/>
                <w:color w:val="auto"/>
              </w:rPr>
            </w:pPr>
          </w:p>
        </w:tc>
      </w:tr>
      <w:tr>
        <w:trPr>
          <w:trHeight w:val="230"/>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1,455,515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(88,562,575</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58"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represents investments for which individual changes in unrealized appreciation/(depreciation) was less than $1.0 million for the three months ended June 30, 2023 and 2022.</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2023 and 2022, we had a net change in unrealized appreciation/(depreciation) of $10,104,446 and $(66,977,690), respectively. The following tables summarize, by portfolio company, the significant changes in unrealized appreciation/(depreciation) of our investment portfolio for the six months ended June 30,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Change in Unrealized</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1"/>
              </w:rPr>
              <w:t>Net Change in Unrealized</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Appreciation/(Depreciation)</w:t>
            </w:r>
          </w:p>
        </w:tc>
        <w:tc>
          <w:tcPr>
            <w:tcW w:w="3140" w:type="dxa"/>
            <w:vAlign w:val="bottom"/>
          </w:tcPr>
          <w:p>
            <w:pPr>
              <w:spacing w:after="0"/>
              <w:rPr>
                <w:sz w:val="18"/>
                <w:szCs w:val="18"/>
                <w:color w:val="auto"/>
              </w:rPr>
            </w:pPr>
          </w:p>
        </w:tc>
        <w:tc>
          <w:tcPr>
            <w:tcW w:w="24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1"/>
              </w:rPr>
              <w:t>Appreciation/(Depreciation)</w:t>
            </w:r>
          </w:p>
        </w:tc>
      </w:tr>
      <w:tr>
        <w:trPr>
          <w:trHeight w:val="216"/>
        </w:trPr>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For the Six Months Ended</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68"/>
        </w:trPr>
        <w:tc>
          <w:tcPr>
            <w:tcW w:w="29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June 30, 2023</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8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June 30, 2022</w:t>
            </w:r>
          </w:p>
        </w:tc>
      </w:tr>
      <w:tr>
        <w:trPr>
          <w:trHeight w:val="213"/>
        </w:trPr>
        <w:tc>
          <w:tcPr>
            <w:tcW w:w="2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True Global Ventures 4 Plus Fund Pte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7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Colombier Sponsor LLC</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14,470,770</w:t>
            </w:r>
          </w:p>
        </w:tc>
        <w:tc>
          <w:tcPr>
            <w:tcW w:w="30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rPr>
              <w:t>Ltd</w:t>
            </w:r>
            <w:r>
              <w:rPr>
                <w:rFonts w:ascii="Arial" w:cs="Arial" w:eastAsia="Arial" w:hAnsi="Arial"/>
                <w:sz w:val="29"/>
                <w:szCs w:val="29"/>
                <w:color w:val="auto"/>
                <w:vertAlign w:val="superscript"/>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3,106,863</w:t>
            </w:r>
          </w:p>
        </w:tc>
      </w:tr>
      <w:tr>
        <w:trPr>
          <w:trHeight w:val="257"/>
        </w:trPr>
        <w:tc>
          <w:tcPr>
            <w:tcW w:w="2940" w:type="dxa"/>
            <w:vAlign w:val="bottom"/>
          </w:tcPr>
          <w:p>
            <w:pPr>
              <w:spacing w:after="0" w:line="256" w:lineRule="exact"/>
              <w:rPr>
                <w:sz w:val="20"/>
                <w:szCs w:val="20"/>
                <w:color w:val="auto"/>
              </w:rPr>
            </w:pPr>
            <w:r>
              <w:rPr>
                <w:rFonts w:ascii="Arial" w:cs="Arial" w:eastAsia="Arial" w:hAnsi="Arial"/>
                <w:sz w:val="18"/>
                <w:szCs w:val="18"/>
                <w:color w:val="auto"/>
              </w:rPr>
              <w:t>Ozy Media, Inc.</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10,945,024</w:t>
            </w:r>
          </w:p>
        </w:tc>
        <w:tc>
          <w:tcPr>
            <w:tcW w:w="300" w:type="dxa"/>
            <w:vAlign w:val="bottom"/>
          </w:tcPr>
          <w:p>
            <w:pPr>
              <w:spacing w:after="0"/>
              <w:rPr>
                <w:sz w:val="22"/>
                <w:szCs w:val="22"/>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Blink Health, Inc.</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(2,622,697)</w:t>
            </w:r>
          </w:p>
        </w:tc>
      </w:tr>
      <w:tr>
        <w:trPr>
          <w:trHeight w:val="213"/>
        </w:trPr>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NewLake Capital Partners, Inc. (f/k/a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3"/>
        </w:trPr>
        <w:tc>
          <w:tcPr>
            <w:tcW w:w="294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rPr>
              <w:t>Nextdoor Holdings, Inc.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4,389,675</w:t>
            </w:r>
          </w:p>
        </w:tc>
        <w:tc>
          <w:tcPr>
            <w:tcW w:w="30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line="273" w:lineRule="exact"/>
              <w:rPr>
                <w:sz w:val="20"/>
                <w:szCs w:val="20"/>
                <w:color w:val="auto"/>
              </w:rPr>
            </w:pPr>
            <w:r>
              <w:rPr>
                <w:rFonts w:ascii="Arial" w:cs="Arial" w:eastAsia="Arial" w:hAnsi="Arial"/>
                <w:sz w:val="18"/>
                <w:szCs w:val="18"/>
                <w:color w:val="auto"/>
              </w:rPr>
              <w:t>GreenAcreage Real Estate Corp.)</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(2,788,019)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3"/>
              </w:rPr>
              <w:t>Shogun Enterprises, Inc. (d/b/a Hearth)</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4,349,318</w:t>
            </w:r>
          </w:p>
        </w:tc>
        <w:tc>
          <w:tcPr>
            <w:tcW w:w="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Varo Money,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(2,994,723)</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Varo Money, Inc.</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2,489,436</w:t>
            </w:r>
          </w:p>
        </w:tc>
        <w:tc>
          <w:tcPr>
            <w:tcW w:w="3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Neutron Holdings, Inc. (d/b/a/ Lime)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(3,991,353)</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Forge Global, Inc.</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1,755,652</w:t>
            </w:r>
          </w:p>
        </w:tc>
        <w:tc>
          <w:tcPr>
            <w:tcW w:w="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Enjoy Technology,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(4,371,009)</w:t>
            </w:r>
          </w:p>
        </w:tc>
      </w:tr>
      <w:tr>
        <w:trPr>
          <w:trHeight w:val="25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OneValley, Inc. (f/k/a NestGSV, Inc.)</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(1,679,936)</w:t>
            </w:r>
          </w:p>
        </w:tc>
        <w:tc>
          <w:tcPr>
            <w:tcW w:w="3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Rover Group, Inc.</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(4,978,791)</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Trax, Ltd.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(2,241,286)</w:t>
            </w:r>
          </w:p>
        </w:tc>
        <w:tc>
          <w:tcPr>
            <w:tcW w:w="3140" w:type="dxa"/>
            <w:vAlign w:val="bottom"/>
          </w:tcPr>
          <w:p>
            <w:pPr>
              <w:spacing w:after="0"/>
              <w:rPr>
                <w:sz w:val="20"/>
                <w:szCs w:val="20"/>
                <w:color w:val="auto"/>
              </w:rPr>
            </w:pPr>
            <w:r>
              <w:rPr>
                <w:rFonts w:ascii="Arial" w:cs="Arial" w:eastAsia="Arial" w:hAnsi="Arial"/>
                <w:sz w:val="18"/>
                <w:szCs w:val="18"/>
                <w:color w:val="auto"/>
              </w:rPr>
              <w:t>Skillsoft Corp.</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(5,527,776)</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Whoop, Inc.</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(2,775,301)</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Nextdoor Holdings, Inc.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(6,473,525)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Aspiration Partners, Inc.</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(2,851,678)</w:t>
            </w:r>
          </w:p>
        </w:tc>
        <w:tc>
          <w:tcPr>
            <w:tcW w:w="3140" w:type="dxa"/>
            <w:vAlign w:val="bottom"/>
          </w:tcPr>
          <w:p>
            <w:pPr>
              <w:spacing w:after="0"/>
              <w:rPr>
                <w:sz w:val="20"/>
                <w:szCs w:val="20"/>
                <w:color w:val="auto"/>
              </w:rPr>
            </w:pPr>
            <w:r>
              <w:rPr>
                <w:rFonts w:ascii="Arial" w:cs="Arial" w:eastAsia="Arial" w:hAnsi="Arial"/>
                <w:sz w:val="18"/>
                <w:szCs w:val="18"/>
                <w:color w:val="auto"/>
              </w:rPr>
              <w:t>Trax Ltd.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(7,188,572)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Orchard Technologies, Inc.</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(3,489,052)</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Course Hero, Inc.</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(28,304,092)</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6"/>
              </w:rPr>
              <w:t>Learneo, Inc. (f/k/a Course Hero, Inc.)</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(17,995,785)</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0"/>
        </w:trPr>
        <w:tc>
          <w:tcPr>
            <w:tcW w:w="29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2,737,609</w:t>
            </w:r>
          </w:p>
        </w:tc>
        <w:tc>
          <w:tcPr>
            <w:tcW w:w="300" w:type="dxa"/>
            <w:vAlign w:val="bottom"/>
            <w:shd w:val="clear" w:color="auto" w:fill="CCEEFF"/>
          </w:tcPr>
          <w:p>
            <w:pPr>
              <w:spacing w:after="0"/>
              <w:rPr>
                <w:sz w:val="24"/>
                <w:szCs w:val="24"/>
                <w:color w:val="auto"/>
              </w:rPr>
            </w:pPr>
          </w:p>
        </w:tc>
        <w:tc>
          <w:tcPr>
            <w:tcW w:w="31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(843,996)</w:t>
            </w:r>
          </w:p>
        </w:tc>
      </w:tr>
      <w:tr>
        <w:trPr>
          <w:trHeight w:val="216"/>
        </w:trPr>
        <w:tc>
          <w:tcPr>
            <w:tcW w:w="2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10,104,446</w:t>
            </w:r>
          </w:p>
        </w:tc>
        <w:tc>
          <w:tcPr>
            <w:tcW w:w="30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(66,977,690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500" w:hanging="492"/>
        <w:spacing w:after="0" w:line="258"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change in unrealized appreciation/(depreciation) reflected for these investments resulted in full or in part from the full or partial exit of the investment, which resulted in the reversal of previously accrued unrealized appreciation/(depreciation), as applicable.</w:t>
      </w:r>
    </w:p>
    <w:p>
      <w:pPr>
        <w:spacing w:after="0" w:line="1"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represents investments for which individual changes in unrealized appreciation/(depreciation) was less than $1.0 million for the six months ended June 30,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Please refer to “Note 12—Subsequent Events” to our condensed consolidated financial statements as of June 30, 2023 for details regarding activity in our investment portfolio from July 1, 2023 through August 8, 2023.</w:t>
      </w:r>
    </w:p>
    <w:p>
      <w:pPr>
        <w:sectPr>
          <w:pgSz w:w="11900" w:h="16838" w:orient="portrait"/>
          <w:cols w:equalWidth="0" w:num="1">
            <w:col w:w="11240"/>
          </w:cols>
          <w:pgMar w:left="320" w:top="233" w:right="339" w:bottom="0" w:gutter="0" w:footer="0" w:header="0"/>
        </w:sectPr>
      </w:pPr>
    </w:p>
    <w:bookmarkStart w:id="54" w:name="page55"/>
    <w:bookmarkEnd w:id="54"/>
    <w:p>
      <w:pPr>
        <w:jc w:val="both"/>
        <w:ind w:firstLine="324"/>
        <w:spacing w:after="0" w:line="275"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7, 2023, our Board of Directors authorized an extension of, and a $5.0 million increase in the amount of shares that may be repurchased under, our discretionary Share Repurchase Program until the earlier of (i) October 31, 2024 or (ii) the repurchase of $60.0 million in aggregate amount of our common stock.</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timing and number of shares to be repurchased pursuant to our discretionary Share Repurchase Program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Under the Share Repurchase Program, we may repurchase our outstanding common stock in the open market, provided that we comply with the prohibitions under our insider trading policies and procedures and the applicable provisions of the 1940 Act and the Exchange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August 8, 2023, the dollar value of shares that remained available to be purchased by us under the Share Repurchase Program was approximately $21.4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In addition, on December 17, 2021, we issued $75.0 million aggregate principal amount of 6.00% Notes due 2026, all of which remain outstanding. For additional information, see below and “Note 10—Debt Capital Activities” to our condensed consolidated financial statements as of June 30, 2023.</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six months ended June 30, 2023 and 2022, our operating expenses were $10,698,405 and $9,509,324,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r>
              <w:rPr>
                <w:rFonts w:ascii="Arial" w:cs="Arial" w:eastAsia="Arial" w:hAnsi="Arial"/>
                <w:sz w:val="18"/>
                <w:szCs w:val="18"/>
                <w:b w:val="1"/>
                <w:bCs w:val="1"/>
                <w:color w:val="auto"/>
              </w:rPr>
              <w:t>Cash Reserves and Liquid Securities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 2023</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24,542,729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40,117,598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Treasury bills</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75,895,534</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85,056,817</w:t>
            </w:r>
          </w:p>
        </w:tc>
        <w:tc>
          <w:tcPr>
            <w:tcW w:w="100" w:type="dxa"/>
            <w:vAlign w:val="bottom"/>
            <w:shd w:val="clear" w:color="auto" w:fill="CCEEFF"/>
          </w:tcPr>
          <w:p>
            <w:pPr>
              <w:spacing w:after="0"/>
              <w:rPr>
                <w:sz w:val="22"/>
                <w:szCs w:val="22"/>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Securities of publicly traded portfolio companies: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11,551,297</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13,298,992</w:t>
            </w:r>
          </w:p>
        </w:tc>
        <w:tc>
          <w:tcPr>
            <w:tcW w:w="100" w:type="dxa"/>
            <w:vAlign w:val="bottom"/>
            <w:shd w:val="clear" w:color="auto" w:fill="CCEEFF"/>
          </w:tcPr>
          <w:p>
            <w:pPr>
              <w:spacing w:after="0"/>
              <w:rPr>
                <w:sz w:val="23"/>
                <w:szCs w:val="23"/>
                <w:color w:val="auto"/>
              </w:rPr>
            </w:pPr>
          </w:p>
        </w:tc>
      </w:tr>
      <w:tr>
        <w:trPr>
          <w:trHeight w:val="250"/>
        </w:trPr>
        <w:tc>
          <w:tcPr>
            <w:tcW w:w="6740" w:type="dxa"/>
            <w:vAlign w:val="bottom"/>
          </w:tcPr>
          <w:p>
            <w:pPr>
              <w:ind w:left="180"/>
              <w:spacing w:after="0" w:line="243" w:lineRule="exact"/>
              <w:rPr>
                <w:sz w:val="20"/>
                <w:szCs w:val="20"/>
                <w:color w:val="auto"/>
              </w:rPr>
            </w:pPr>
            <w:r>
              <w:rPr>
                <w:rFonts w:ascii="Arial" w:cs="Arial" w:eastAsia="Arial" w:hAnsi="Arial"/>
                <w:sz w:val="17"/>
                <w:szCs w:val="17"/>
                <w:color w:val="auto"/>
              </w:rPr>
              <w:t>Subject to other sales restrictions</w:t>
            </w:r>
            <w:r>
              <w:rPr>
                <w:rFonts w:ascii="Arial" w:cs="Arial" w:eastAsia="Arial" w:hAnsi="Arial"/>
                <w:sz w:val="28"/>
                <w:szCs w:val="28"/>
                <w:color w:val="auto"/>
                <w:vertAlign w:val="superscript"/>
              </w:rPr>
              <w:t>(3)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24,493</w:t>
            </w:r>
          </w:p>
        </w:tc>
        <w:tc>
          <w:tcPr>
            <w:tcW w:w="100" w:type="dxa"/>
            <w:vAlign w:val="bottom"/>
          </w:tcPr>
          <w:p>
            <w:pPr>
              <w:spacing w:after="0"/>
              <w:rPr>
                <w:sz w:val="21"/>
                <w:szCs w:val="21"/>
                <w:color w:val="auto"/>
              </w:rPr>
            </w:pPr>
          </w:p>
        </w:tc>
      </w:tr>
      <w:tr>
        <w:trPr>
          <w:trHeight w:val="236"/>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of publicly traded portfolio companies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11,551,297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13,323,485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Total Cash Reserves and Liquid Securities</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111,989,560</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138,497,900</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(1)Consists of short-term U.S. Treasury bills.</w:t>
      </w:r>
    </w:p>
    <w:p>
      <w:pPr>
        <w:spacing w:after="0" w:line="23" w:lineRule="exact"/>
        <w:rPr>
          <w:sz w:val="20"/>
          <w:szCs w:val="20"/>
          <w:color w:val="auto"/>
        </w:rPr>
      </w:pPr>
    </w:p>
    <w:p>
      <w:pPr>
        <w:jc w:val="both"/>
        <w:ind w:left="220" w:hanging="209"/>
        <w:spacing w:after="0" w:line="250" w:lineRule="auto"/>
        <w:rPr>
          <w:sz w:val="20"/>
          <w:szCs w:val="20"/>
          <w:color w:val="auto"/>
        </w:rPr>
      </w:pPr>
      <w:r>
        <w:rPr>
          <w:rFonts w:ascii="Arial" w:cs="Arial" w:eastAsia="Arial" w:hAnsi="Arial"/>
          <w:sz w:val="18"/>
          <w:szCs w:val="18"/>
          <w:color w:val="auto"/>
        </w:rPr>
        <w:t>(2)“Unrestricted securities” represents common stock of our publicly traded portfolio companies that are not subject to any restrictions upon sale. We may incur losses.</w:t>
      </w:r>
    </w:p>
    <w:p>
      <w:pPr>
        <w:spacing w:after="0" w:line="1" w:lineRule="exact"/>
        <w:rPr>
          <w:sz w:val="20"/>
          <w:szCs w:val="20"/>
          <w:color w:val="auto"/>
        </w:rPr>
      </w:pPr>
    </w:p>
    <w:p>
      <w:pPr>
        <w:jc w:val="both"/>
        <w:ind w:left="220" w:hanging="209"/>
        <w:spacing w:after="0" w:line="260" w:lineRule="auto"/>
        <w:rPr>
          <w:sz w:val="20"/>
          <w:szCs w:val="20"/>
          <w:color w:val="auto"/>
        </w:rPr>
      </w:pPr>
      <w:r>
        <w:rPr>
          <w:rFonts w:ascii="Arial" w:cs="Arial" w:eastAsia="Arial" w:hAnsi="Arial"/>
          <w:sz w:val="18"/>
          <w:szCs w:val="18"/>
          <w:color w:val="auto"/>
        </w:rPr>
        <w:t>(3)Securities of publicly traded portfolio companies “subject to other sales restrictions” represents common stock of our publicly traded companies that are subject to certain lock-up restrictions.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six months ended June 30, 2023, cash decreased to $24,542,729 from $40,117,598 at the beginning of the year. The decrease in cash was primarily due to the repurchase of our common stock pursuant to a modified “Dutch Auction” tender offer (the “Modified Dutch Auction Tender Offer”), purchase of new and follow-on investments, interest on the 6.00% Notes due 2026, and to pay our operating expenses offset by the sale or exit of investments, including U.S. Treasury bills and other investment income received. For additional information relating to the Modified Dutch Auction Tender Offer, see “Modified Dutch Auction Tender Offer” below and “Note 5 - Common Stock” to our condensed consolidated financial statements as of June 30, 2023.</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Currently, we believe we have ample liquidity to support our near-term capital requirements. Consistent with past and current practices, we will continue to evaluate our overall liquidity position and take proactive steps to maintain the appropriate liquidity position based upon the current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significant contractual payment obligations as of June 30,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90"/>
              </w:rPr>
              <w:t xml:space="preserve">Payments Due By Period </w:t>
            </w:r>
            <w:r>
              <w:rPr>
                <w:rFonts w:ascii="Arial" w:cs="Arial" w:eastAsia="Arial" w:hAnsi="Arial"/>
                <w:sz w:val="18"/>
                <w:szCs w:val="18"/>
                <w:b w:val="1"/>
                <w:bCs w:val="1"/>
                <w:i w:val="1"/>
                <w:iCs w:val="1"/>
                <w:color w:val="auto"/>
                <w:w w:val="90"/>
              </w:rPr>
              <w:t>(in millions)</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41"/>
        </w:trPr>
        <w:tc>
          <w:tcPr>
            <w:tcW w:w="35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1 year</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1–3 years</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3–5 years</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Borders>
              <w:bottom w:val="single" w:sz="8" w:color="CCEEFF"/>
            </w:tcBorders>
          </w:tcPr>
          <w:p>
            <w:pPr>
              <w:spacing w:after="0"/>
              <w:rPr>
                <w:sz w:val="20"/>
                <w:szCs w:val="20"/>
                <w:color w:val="auto"/>
              </w:rPr>
            </w:pPr>
          </w:p>
        </w:tc>
      </w:tr>
      <w:tr>
        <w:trPr>
          <w:trHeight w:val="256"/>
        </w:trPr>
        <w:tc>
          <w:tcPr>
            <w:tcW w:w="3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6.00% Notes due December 30, 2026</w:t>
            </w:r>
            <w:r>
              <w:rPr>
                <w:rFonts w:ascii="Arial" w:cs="Arial" w:eastAsia="Arial" w:hAnsi="Arial"/>
                <w:sz w:val="29"/>
                <w:szCs w:val="29"/>
                <w:color w:val="auto"/>
                <w:vertAlign w:val="superscript"/>
              </w:rPr>
              <w:t>(1)</w:t>
            </w:r>
          </w:p>
        </w:tc>
        <w:tc>
          <w:tcPr>
            <w:tcW w:w="142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5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75.2</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principal balance payable to investors for the 6.00% Notes due 2026 as of June 30, 2023. Refer to “Note 10—Debt Capital Activities” in our condensed consolidated financial statements as of June 30, 2023 for more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the three and six months ended June 30, 2023, we did not repurchase any shares of our common stock under the Share Repurchase Program. During the three and six months ended June 30, 2022, we repurchased 855,159 and 1,008,676 shares of our common stock under the Share Repurchase Program, respectively. As of June 30, 2023, the dollar value of shares that remained available to be purchased under the Share Repurchase Program was approximately $16.4 million. On October 19, 2022, our Board of Directors approved an extension of the Share Repurchase Program until the earlier of (i) October 31, 2023 or (ii) the repurchase of $55.0 million in aggregate amount of our common stock.</w:t>
      </w:r>
    </w:p>
    <w:p>
      <w:pPr>
        <w:sectPr>
          <w:pgSz w:w="11900" w:h="16838" w:orient="portrait"/>
          <w:cols w:equalWidth="0" w:num="1">
            <w:col w:w="11240"/>
          </w:cols>
          <w:pgMar w:left="320" w:top="23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Share Repurchase Program, we may repurchase our outstanding common stock in the open market provided that we comply with the prohibitions under our insider trading policies and procedures and the applicable provisions of the 1940 Act and the Exchange Act. For more information on the Share Repurchase Program, see “Note 5—Common Stock” to our condensed consolidated financial statements as of June 30,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17, 2023, we commenced the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2023 and December 31, 2022, we had no off-balance sheet arrangements, including any risk management of commodity pricing or other hedging practices. However, we may employ hedging and other risk management techniques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29, 2020, we entered into an At-the-Market Sales Agreement, dated July 29, 2020 (the “Initial Sales Agreement”), with BTIG, LLC, JMP Securities LLC, and Ladenburg Thalmann &amp; Co., Inc. (collectively, the “Agents”). Under the Initial Sales Agreement, we may, but have no obligation to, issue and sell up to $50.0 million in aggregate amount of shares of our common stock (the “Shares”) from time to time through the Agents or to them as principal for their own account (the “ATM Program”). On September 23, 2020, we increased the maximum amount of Shares to be sold through the ATM Program to $150.0 million from $50.0 million. In connection with the upsize of the ATM Program to $150.0 million, we entered into the Amendment No. 1 to the At-the-Market Sales Agreement, dated September 23, 2020, with the Agents. We intend to use the net proceeds from the ATM Program to make investments in portfolio companies in accordance with our investment objective and strategy and for general corporate purposes.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and six months ended June 30, 2023, we did not issue or sell shares under the ATM program. During the three and six months ended June 30, 2022, we issued and sold 0 and 17,807 shares, respectively, under the ATM Program at weighted-average price of $13.01 per share, for gross proceeds of $231,677 and net proceeds of $229,896, after deducting commissions to the Agents on Shares sold. As of June 30, 2023, up to approximately $98.8 million in aggregate amount of the Shares remain available for sale under the ATM Program.</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5—Common Stock” to our condensed consolidated financial statements as of June 30, 2023 for more information regarding the ATM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Notes due 2026</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10—Debt Capital Activities” to our condensed consolidated financial statements as of June 30, 2023 for more information regarding the 6.00% Notes due 2026.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June 30, 2023. The table is divided by fiscal year according to record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r>
              <w:rPr>
                <w:rFonts w:ascii="Arial" w:cs="Arial" w:eastAsia="Arial" w:hAnsi="Arial"/>
                <w:sz w:val="18"/>
                <w:szCs w:val="18"/>
                <w:b w:val="1"/>
                <w:bCs w:val="1"/>
                <w:color w:val="auto"/>
              </w:rPr>
              <w:t>Date Declared</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Amount per Share</w:t>
            </w: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5400" w:type="dxa"/>
            <w:vAlign w:val="bottom"/>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December 31, 2015</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2"/>
                <w:szCs w:val="2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2016:</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0"/>
        </w:trPr>
        <w:tc>
          <w:tcPr>
            <w:tcW w:w="5400" w:type="dxa"/>
            <w:vAlign w:val="bottom"/>
          </w:tcPr>
          <w:p>
            <w:pPr>
              <w:ind w:left="180"/>
              <w:spacing w:after="0" w:line="270"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August 16, 2016</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2019:</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400" w:type="dxa"/>
            <w:vAlign w:val="bottom"/>
          </w:tcPr>
          <w:p>
            <w:pPr>
              <w:ind w:left="180"/>
              <w:spacing w:after="0" w:line="256" w:lineRule="exact"/>
              <w:rPr>
                <w:sz w:val="20"/>
                <w:szCs w:val="20"/>
                <w:color w:val="auto"/>
              </w:rPr>
            </w:pPr>
            <w:r>
              <w:rPr>
                <w:rFonts w:ascii="Arial" w:cs="Arial" w:eastAsia="Arial" w:hAnsi="Arial"/>
                <w:sz w:val="18"/>
                <w:szCs w:val="18"/>
                <w:color w:val="auto"/>
              </w:rPr>
              <w:t>November 5, 2019</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December 2, 2019</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December 12, 2019</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r>
      <w:tr>
        <w:trPr>
          <w:trHeight w:val="270"/>
        </w:trPr>
        <w:tc>
          <w:tcPr>
            <w:tcW w:w="54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December 20, 2019</w:t>
            </w:r>
            <w:r>
              <w:rPr>
                <w:rFonts w:ascii="Arial" w:cs="Arial" w:eastAsia="Arial" w:hAnsi="Arial"/>
                <w:sz w:val="29"/>
                <w:szCs w:val="29"/>
                <w:color w:val="auto"/>
                <w:vertAlign w:val="superscript"/>
              </w:rPr>
              <w:t>(4)</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2019</w:t>
            </w:r>
          </w:p>
        </w:tc>
        <w:tc>
          <w:tcPr>
            <w:tcW w:w="2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15, 2020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Fiscal 2020:</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July 29, 2020</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11, 2020</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25, 2020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180"/>
              <w:spacing w:after="0" w:line="270" w:lineRule="exact"/>
              <w:rPr>
                <w:sz w:val="20"/>
                <w:szCs w:val="20"/>
                <w:color w:val="auto"/>
              </w:rPr>
            </w:pPr>
            <w:r>
              <w:rPr>
                <w:rFonts w:ascii="Arial" w:cs="Arial" w:eastAsia="Arial" w:hAnsi="Arial"/>
                <w:sz w:val="18"/>
                <w:szCs w:val="18"/>
                <w:color w:val="auto"/>
              </w:rPr>
              <w:t>September 28, 2020</w:t>
            </w:r>
            <w:r>
              <w:rPr>
                <w:rFonts w:ascii="Arial" w:cs="Arial" w:eastAsia="Arial" w:hAnsi="Arial"/>
                <w:sz w:val="29"/>
                <w:szCs w:val="29"/>
                <w:color w:val="auto"/>
                <w:vertAlign w:val="superscript"/>
              </w:rPr>
              <w:t>(6)</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5, 2020</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October 20, 2020</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October 28, 2020</w:t>
            </w:r>
            <w:r>
              <w:rPr>
                <w:rFonts w:ascii="Arial" w:cs="Arial" w:eastAsia="Arial" w:hAnsi="Arial"/>
                <w:sz w:val="29"/>
                <w:szCs w:val="29"/>
                <w:color w:val="auto"/>
                <w:vertAlign w:val="superscript"/>
              </w:rPr>
              <w:t>(7)</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10, 2020</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30, 2020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180"/>
              <w:spacing w:after="0" w:line="270" w:lineRule="exact"/>
              <w:rPr>
                <w:sz w:val="20"/>
                <w:szCs w:val="20"/>
                <w:color w:val="auto"/>
              </w:rPr>
            </w:pPr>
            <w:r>
              <w:rPr>
                <w:rFonts w:ascii="Arial" w:cs="Arial" w:eastAsia="Arial" w:hAnsi="Arial"/>
                <w:sz w:val="18"/>
                <w:szCs w:val="18"/>
                <w:color w:val="auto"/>
              </w:rPr>
              <w:t>December 16, 2020</w:t>
            </w:r>
            <w:r>
              <w:rPr>
                <w:rFonts w:ascii="Arial" w:cs="Arial" w:eastAsia="Arial" w:hAnsi="Arial"/>
                <w:sz w:val="29"/>
                <w:szCs w:val="29"/>
                <w:color w:val="auto"/>
                <w:vertAlign w:val="superscript"/>
              </w:rPr>
              <w:t>(8)</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December 30, 2020</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January 15, 2021</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2021:</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5400" w:type="dxa"/>
            <w:vAlign w:val="bottom"/>
          </w:tcPr>
          <w:p>
            <w:pPr>
              <w:ind w:left="180"/>
              <w:spacing w:after="0" w:line="256" w:lineRule="exact"/>
              <w:rPr>
                <w:sz w:val="20"/>
                <w:szCs w:val="20"/>
                <w:color w:val="auto"/>
              </w:rPr>
            </w:pPr>
            <w:r>
              <w:rPr>
                <w:rFonts w:ascii="Arial" w:cs="Arial" w:eastAsia="Arial" w:hAnsi="Arial"/>
                <w:sz w:val="18"/>
                <w:szCs w:val="18"/>
                <w:color w:val="auto"/>
              </w:rPr>
              <w:t>January 26, 2021</w:t>
            </w:r>
            <w:r>
              <w:rPr>
                <w:rFonts w:ascii="Arial" w:cs="Arial" w:eastAsia="Arial" w:hAnsi="Arial"/>
                <w:sz w:val="29"/>
                <w:szCs w:val="29"/>
                <w:color w:val="auto"/>
                <w:vertAlign w:val="superscript"/>
              </w:rPr>
              <w:t>(9)</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February 5, 2021</w:t>
            </w:r>
          </w:p>
        </w:tc>
        <w:tc>
          <w:tcPr>
            <w:tcW w:w="2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February 19, 2021</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2"/>
                <w:szCs w:val="22"/>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March 8, 2021</w:t>
            </w:r>
            <w:r>
              <w:rPr>
                <w:rFonts w:ascii="Arial" w:cs="Arial" w:eastAsia="Arial" w:hAnsi="Arial"/>
                <w:sz w:val="29"/>
                <w:szCs w:val="29"/>
                <w:color w:val="auto"/>
                <w:vertAlign w:val="superscript"/>
              </w:rPr>
              <w:t>(10)</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2021</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2021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180"/>
              <w:spacing w:after="0" w:line="270" w:lineRule="exact"/>
              <w:rPr>
                <w:sz w:val="20"/>
                <w:szCs w:val="20"/>
                <w:color w:val="auto"/>
              </w:rPr>
            </w:pPr>
            <w:r>
              <w:rPr>
                <w:rFonts w:ascii="Arial" w:cs="Arial" w:eastAsia="Arial" w:hAnsi="Arial"/>
                <w:sz w:val="18"/>
                <w:szCs w:val="18"/>
                <w:color w:val="auto"/>
              </w:rPr>
              <w:t>May 4, 2021</w:t>
            </w:r>
            <w:r>
              <w:rPr>
                <w:rFonts w:ascii="Arial" w:cs="Arial" w:eastAsia="Arial" w:hAnsi="Arial"/>
                <w:sz w:val="29"/>
                <w:szCs w:val="29"/>
                <w:color w:val="auto"/>
                <w:vertAlign w:val="superscript"/>
              </w:rPr>
              <w:t>(11)</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May 18, 2021</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June 30, 2021</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August 3, 2021</w:t>
            </w:r>
            <w:r>
              <w:rPr>
                <w:rFonts w:ascii="Arial" w:cs="Arial" w:eastAsia="Arial" w:hAnsi="Arial"/>
                <w:sz w:val="29"/>
                <w:szCs w:val="29"/>
                <w:color w:val="auto"/>
                <w:vertAlign w:val="superscript"/>
              </w:rPr>
              <w:t>(12)</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18, 2021</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2021</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r>
      <w:tr>
        <w:trPr>
          <w:trHeight w:val="270"/>
        </w:trPr>
        <w:tc>
          <w:tcPr>
            <w:tcW w:w="5400" w:type="dxa"/>
            <w:vAlign w:val="bottom"/>
          </w:tcPr>
          <w:p>
            <w:pPr>
              <w:ind w:left="180"/>
              <w:spacing w:after="0" w:line="270" w:lineRule="exact"/>
              <w:rPr>
                <w:sz w:val="20"/>
                <w:szCs w:val="20"/>
                <w:color w:val="auto"/>
              </w:rPr>
            </w:pPr>
            <w:r>
              <w:rPr>
                <w:rFonts w:ascii="Arial" w:cs="Arial" w:eastAsia="Arial" w:hAnsi="Arial"/>
                <w:sz w:val="18"/>
                <w:szCs w:val="18"/>
                <w:color w:val="auto"/>
              </w:rPr>
              <w:t>November 2, 2021</w:t>
            </w:r>
            <w:r>
              <w:rPr>
                <w:rFonts w:ascii="Arial" w:cs="Arial" w:eastAsia="Arial" w:hAnsi="Arial"/>
                <w:sz w:val="29"/>
                <w:szCs w:val="29"/>
                <w:color w:val="auto"/>
                <w:vertAlign w:val="superscript"/>
              </w:rPr>
              <w:t>(13)</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November 17, 2021</w:t>
            </w:r>
          </w:p>
        </w:tc>
        <w:tc>
          <w:tcPr>
            <w:tcW w:w="2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December 30, 2021</w:t>
            </w: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December 20, 2021</w:t>
            </w:r>
            <w:r>
              <w:rPr>
                <w:rFonts w:ascii="Arial" w:cs="Arial" w:eastAsia="Arial" w:hAnsi="Arial"/>
                <w:sz w:val="29"/>
                <w:szCs w:val="29"/>
                <w:color w:val="auto"/>
                <w:vertAlign w:val="superscript"/>
              </w:rPr>
              <w:t>(14)</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2021</w:t>
            </w:r>
          </w:p>
        </w:tc>
        <w:tc>
          <w:tcPr>
            <w:tcW w:w="22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14, 2022</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22"/>
                <w:szCs w:val="22"/>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Fiscal 2022:</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03"/>
        </w:trPr>
        <w:tc>
          <w:tcPr>
            <w:tcW w:w="5400" w:type="dxa"/>
            <w:vAlign w:val="bottom"/>
            <w:tcBorders>
              <w:bottom w:val="single" w:sz="8" w:color="CCEEFF"/>
            </w:tcBorders>
            <w:shd w:val="clear" w:color="auto" w:fill="CCEEFF"/>
          </w:tcPr>
          <w:p>
            <w:pPr>
              <w:ind w:left="180"/>
              <w:spacing w:after="0" w:line="284" w:lineRule="exact"/>
              <w:rPr>
                <w:sz w:val="20"/>
                <w:szCs w:val="20"/>
                <w:color w:val="auto"/>
              </w:rPr>
            </w:pPr>
            <w:r>
              <w:rPr>
                <w:rFonts w:ascii="Arial" w:cs="Arial" w:eastAsia="Arial" w:hAnsi="Arial"/>
                <w:sz w:val="18"/>
                <w:szCs w:val="18"/>
                <w:color w:val="auto"/>
              </w:rPr>
              <w:t>March 8, 2022</w:t>
            </w:r>
            <w:r>
              <w:rPr>
                <w:rFonts w:ascii="Arial" w:cs="Arial" w:eastAsia="Arial" w:hAnsi="Arial"/>
                <w:sz w:val="29"/>
                <w:szCs w:val="29"/>
                <w:color w:val="auto"/>
                <w:vertAlign w:val="superscript"/>
              </w:rPr>
              <w:t>(15)</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25, 2022</w:t>
            </w:r>
          </w:p>
        </w:tc>
        <w:tc>
          <w:tcPr>
            <w:tcW w:w="2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2022</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3"/>
        </w:trPr>
        <w:tc>
          <w:tcPr>
            <w:tcW w:w="5400" w:type="dxa"/>
            <w:vAlign w:val="bottom"/>
          </w:tcPr>
          <w:p>
            <w:pPr>
              <w:spacing w:after="0" w:line="203" w:lineRule="exact"/>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12.10</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660" w:hanging="652"/>
        <w:spacing w:after="0" w:line="26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$3,512,849 distribution paid on December 12, 2019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$2,107,709 distribution paid on January 15, 2020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$2,516,452 distribution paid on August 25, 2020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$5,071,326 distribution paid on October 20, 2020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$4,978,504 distribution paid on November 30, 2020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$4,381,084 distribution paid on January 15, 2021 represented a distribution from realized gains. None of the distribution represented a return of capital.</w:t>
      </w:r>
    </w:p>
    <w:p>
      <w:pPr>
        <w:ind w:left="6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$4,981,131 distribution paid on February 19, 2021 represented a distribution from realized gains. None of the distribution represented a return of capital.</w:t>
      </w:r>
    </w:p>
    <w:p>
      <w:pPr>
        <w:ind w:left="660" w:hanging="652"/>
        <w:spacing w:after="0" w:line="26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the $6,051,304 distribution paid on April 15, 2021 represented a distribution from realized gains. None of the distribution represented a return of capital.</w:t>
      </w:r>
    </w:p>
    <w:p>
      <w:pPr>
        <w:sectPr>
          <w:pgSz w:w="11900" w:h="16838" w:orient="portrait"/>
          <w:cols w:equalWidth="0" w:num="1">
            <w:col w:w="11240"/>
          </w:cols>
          <w:pgMar w:left="320" w:top="233"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660" w:hanging="652"/>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jc w:val="both"/>
        <w:ind w:left="660" w:hanging="652"/>
        <w:spacing w:after="0" w:line="26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ind w:left="660" w:hanging="652"/>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the $23,338,915 distribution paid on January 14, 2022 represented a distribution from realized gains. None of the distribution represented a return of capital.</w:t>
      </w:r>
    </w:p>
    <w:p>
      <w:pPr>
        <w:ind w:left="660" w:hanging="652"/>
        <w:spacing w:after="0" w:line="26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the $3,441,824 distribution paid on April 15, 2022 represented a distribution from realized gains. None of the distribution represented a return of capital.</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8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9—Income Taxes” to our condensed consolidated financial statements as of June 30, 2023 for more information. The Taxable Subsidiaries included in our condensed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June 30, 2023 for further detail regarding our critical accounting policies and recently issued or adopted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3—Related-Party Arrangements” to our condensed consolidated financial statements as of June 30, 2023 for more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investments may not have a readily available market quotation, as such term is defined in Rule 2a-5, and we value these investments at fair value as determined in good faith by our Board of Directors in accordance with our valuation policy,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all of our debt investments and outstanding borrowings bore fixed rates of interest.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June 30, 2023,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June 30, 2023 that have materially affected, or are reasonably likely to materially affect, our internal control over financial reporting.</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Investing in our securities involves a number of significant risks. In addition to the other information contained in this report, you should carefully consider the factors discussed in our annual report on Form 10-K for the fiscal year ended December 31, 2022, filed with the SEC on March 16, 2023, and the factors discussed in our quarterly report on Form 10-Q for the quarter ended March 31, 2023, filed with the SEC on May 10, 2023, which could materially affect our business, financial condition and/or operating results. Although the risks described in our annual report on Form 10-K for the fiscal year ended December 31, 2022 and our quarterly report on Form 10-Q for the quarter ended March 31, 2023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There have been no material changes to the risk factors discussed in “Item 1A. Risk Factors” of Part I of our annual report on Form 10-K for the fiscal year ended December 31, 2022, or the risk factors discussed in “Item 1A. Risk Factors” or Part II of our quarterly report on Form 10-Q for the quarter ended March 31,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did not sell any equity securities during the period covered in this report that were not registered under the Securities Act of 1933, as amended.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9"/>
          <w:szCs w:val="29"/>
          <w:b w:val="1"/>
          <w:bCs w:val="1"/>
          <w:color w:val="auto"/>
          <w:vertAlign w:val="superscript"/>
        </w:rPr>
        <w:t>(1)</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relating to our purchases of our common stock during the six months ended June 30, 2023 is as follows:</w:t>
      </w:r>
    </w:p>
    <w:p>
      <w:pPr>
        <w:sectPr>
          <w:pgSz w:w="11900" w:h="16838" w:orient="portrait"/>
          <w:cols w:equalWidth="0" w:num="1">
            <w:col w:w="11240"/>
          </w:cols>
          <w:pgMar w:left="320" w:top="23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January 1 through January 31,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1 through February 28, 2023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 through March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through April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through May 31,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through June 30, 2023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178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Shares that May</w:t>
            </w:r>
          </w:p>
        </w:tc>
        <w:tc>
          <w:tcPr>
            <w:tcW w:w="0" w:type="dxa"/>
            <w:vAlign w:val="bottom"/>
          </w:tcPr>
          <w:p>
            <w:pPr>
              <w:spacing w:after="0"/>
              <w:rPr>
                <w:sz w:val="1"/>
                <w:szCs w:val="1"/>
                <w:color w:val="auto"/>
              </w:rPr>
            </w:pPr>
          </w:p>
        </w:tc>
      </w:tr>
      <w:tr>
        <w:trPr>
          <w:trHeight w:val="180"/>
        </w:trPr>
        <w:tc>
          <w:tcPr>
            <w:tcW w:w="17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5"/>
              </w:rPr>
              <w:t>Purchased as</w:t>
            </w:r>
          </w:p>
        </w:tc>
        <w:tc>
          <w:tcPr>
            <w:tcW w:w="320" w:type="dxa"/>
            <w:vAlign w:val="bottom"/>
          </w:tcPr>
          <w:p>
            <w:pPr>
              <w:spacing w:after="0"/>
              <w:rPr>
                <w:sz w:val="15"/>
                <w:szCs w:val="15"/>
                <w:color w:val="auto"/>
              </w:rPr>
            </w:pPr>
          </w:p>
        </w:tc>
        <w:tc>
          <w:tcPr>
            <w:tcW w:w="148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17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5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Under the Share</w:t>
            </w:r>
          </w:p>
        </w:tc>
        <w:tc>
          <w:tcPr>
            <w:tcW w:w="0" w:type="dxa"/>
            <w:vAlign w:val="bottom"/>
          </w:tcPr>
          <w:p>
            <w:pPr>
              <w:spacing w:after="0"/>
              <w:rPr>
                <w:sz w:val="1"/>
                <w:szCs w:val="1"/>
                <w:color w:val="auto"/>
              </w:rPr>
            </w:pPr>
          </w:p>
        </w:tc>
      </w:tr>
      <w:tr>
        <w:trPr>
          <w:trHeight w:val="216"/>
        </w:trPr>
        <w:tc>
          <w:tcPr>
            <w:tcW w:w="17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Price Paid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Repurchase</w:t>
            </w:r>
          </w:p>
        </w:tc>
        <w:tc>
          <w:tcPr>
            <w:tcW w:w="0" w:type="dxa"/>
            <w:vAlign w:val="bottom"/>
          </w:tcPr>
          <w:p>
            <w:pPr>
              <w:spacing w:after="0"/>
              <w:rPr>
                <w:sz w:val="1"/>
                <w:szCs w:val="1"/>
                <w:color w:val="auto"/>
              </w:rPr>
            </w:pPr>
          </w:p>
        </w:tc>
      </w:tr>
      <w:tr>
        <w:trPr>
          <w:trHeight w:val="304"/>
        </w:trPr>
        <w:tc>
          <w:tcPr>
            <w:tcW w:w="1780" w:type="dxa"/>
            <w:vAlign w:val="bottom"/>
            <w:gridSpan w:val="3"/>
          </w:tcPr>
          <w:p>
            <w:pPr>
              <w:jc w:val="center"/>
              <w:ind w:right="320"/>
              <w:spacing w:after="0" w:line="296"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9"/>
                <w:szCs w:val="29"/>
                <w:b w:val="1"/>
                <w:bCs w:val="1"/>
                <w:color w:val="auto"/>
                <w:w w:val="84"/>
                <w:vertAlign w:val="superscript"/>
              </w:rPr>
              <w:t>(2)</w:t>
            </w:r>
          </w:p>
        </w:tc>
        <w:tc>
          <w:tcPr>
            <w:tcW w:w="220" w:type="dxa"/>
            <w:vAlign w:val="bottom"/>
          </w:tcPr>
          <w:p>
            <w:pPr>
              <w:spacing w:after="0"/>
              <w:rPr>
                <w:sz w:val="24"/>
                <w:szCs w:val="2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Per Share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02"/>
        </w:trPr>
        <w:tc>
          <w:tcPr>
            <w:tcW w:w="1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ind w:left="1080"/>
              <w:spacing w:after="0" w:line="201" w:lineRule="exact"/>
              <w:rPr>
                <w:sz w:val="20"/>
                <w:szCs w:val="20"/>
                <w:color w:val="auto"/>
              </w:rPr>
            </w:pPr>
            <w:r>
              <w:rPr>
                <w:rFonts w:ascii="Arial" w:cs="Arial" w:eastAsia="Arial" w:hAnsi="Arial"/>
                <w:sz w:val="18"/>
                <w:szCs w:val="18"/>
                <w:color w:val="auto"/>
                <w:w w:val="77"/>
              </w:rPr>
              <w:t>—</w:t>
            </w:r>
          </w:p>
        </w:tc>
        <w:tc>
          <w:tcPr>
            <w:tcW w:w="340" w:type="dxa"/>
            <w:vAlign w:val="bottom"/>
          </w:tcPr>
          <w:p>
            <w:pPr>
              <w:spacing w:after="0"/>
              <w:rPr>
                <w:sz w:val="17"/>
                <w:szCs w:val="17"/>
                <w:color w:val="auto"/>
              </w:rPr>
            </w:pPr>
          </w:p>
        </w:tc>
        <w:tc>
          <w:tcPr>
            <w:tcW w:w="1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6"/>
        </w:trPr>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6"/>
        </w:trPr>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4.50</w:t>
            </w:r>
          </w:p>
        </w:tc>
        <w:tc>
          <w:tcPr>
            <w:tcW w:w="1480" w:type="dxa"/>
            <w:vAlign w:val="bottom"/>
          </w:tcPr>
          <w:p>
            <w:pPr>
              <w:jc w:val="right"/>
              <w:spacing w:after="0"/>
              <w:rPr>
                <w:sz w:val="20"/>
                <w:szCs w:val="20"/>
                <w:color w:val="auto"/>
              </w:rPr>
            </w:pPr>
            <w:r>
              <w:rPr>
                <w:rFonts w:ascii="Arial" w:cs="Arial" w:eastAsia="Arial" w:hAnsi="Arial"/>
                <w:sz w:val="18"/>
                <w:szCs w:val="18"/>
                <w:color w:val="auto"/>
              </w:rPr>
              <w:t>3,000,000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16"/>
        </w:trPr>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51"/>
        </w:trPr>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16,364,771</w:t>
            </w:r>
          </w:p>
        </w:tc>
        <w:tc>
          <w:tcPr>
            <w:tcW w:w="0" w:type="dxa"/>
            <w:vAlign w:val="bottom"/>
          </w:tcPr>
          <w:p>
            <w:pPr>
              <w:spacing w:after="0"/>
              <w:rPr>
                <w:sz w:val="1"/>
                <w:szCs w:val="1"/>
                <w:color w:val="auto"/>
              </w:rPr>
            </w:pPr>
          </w:p>
        </w:tc>
      </w:tr>
      <w:tr>
        <w:trPr>
          <w:trHeight w:val="23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-744855</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-471170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-179070</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-1036320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233" w:right="339" w:bottom="0" w:gutter="0" w:footer="0" w:header="0"/>
          <w:type w:val="continuous"/>
        </w:sectPr>
      </w:pPr>
    </w:p>
    <w:p>
      <w:pPr>
        <w:spacing w:after="0" w:line="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17, 2023, we commenced the Modified Dutch Auction Tender Offer to purchase up to 3,000,000 shares of our common stock from our stockholders, which expired on April 17, 2023. In accordance with the terms of the Modified Dutch Auction Tender Offer, we selected the lowest price per share of not less than $3.00 per share and not greater than $4.50 per share.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Modified Dutch Auction Tender Offer, we repurchased 3,000,000 shares, representing 10.6% of our outstanding shares, on or about April 21, 2023 at a price of $4.50 per share. We used available cash to fund the purchase of our shares of common stock in the Modified Dutch Auction Tender Offer and to pay for all related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0"/>
          <w:szCs w:val="20"/>
          <w:color w:val="auto"/>
        </w:rPr>
      </w:pPr>
    </w:p>
    <w:p>
      <w:pPr>
        <w:jc w:val="both"/>
        <w:ind w:left="660" w:hanging="652"/>
        <w:spacing w:after="0" w:line="28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our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On March 13, 2022, our Board of Directors authorized a $15.0 million increase in the amount of shares of our common stock that may be repurchased under the discretionary Share Repurchase Program until the earlier of (i) October 31, 2022 or (ii) the repurchase of $55.0 million in aggregate amount of our common stock. On October 19, 2022, our Board of Directors approved an extension of the Share Repurchase Program until the earlier of (i) October 31, 2023 or (ii) the repurchase of $55.0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six months ended June 30, 2023, we did not repurchase shares of common stock under the Share Repurchase Program. As of June 30, 2023, the dollar value of shares that remained available to be purchased under the Share Repurchase Program was approximately $16.4 million.</w:t>
      </w:r>
    </w:p>
    <w:p>
      <w:pPr>
        <w:spacing w:after="0" w:line="9"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purchases of our common stock made on the open market by or on behalf of any “affiliated purchaser,” as defined in Exchange Act Rule 10b-18(a)(3),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ectPr>
          <w:pgSz w:w="11900" w:h="16838" w:orient="portrait"/>
          <w:cols w:equalWidth="0" w:num="1">
            <w:col w:w="11240"/>
          </w:cols>
          <w:pgMar w:left="320" w:top="233" w:right="339"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22" w:lineRule="exact"/>
        <w:rPr>
          <w:sz w:val="20"/>
          <w:szCs w:val="20"/>
          <w:color w:val="auto"/>
        </w:rPr>
      </w:pPr>
    </w:p>
    <w:tbl>
      <w:tblPr>
        <w:tblLayout w:type="fixed"/>
        <w:tblInd w:w="180" w:type="dxa"/>
        <w:tblCellMar>
          <w:top w:w="0" w:type="dxa"/>
          <w:left w:w="0" w:type="dxa"/>
          <w:bottom w:w="0" w:type="dxa"/>
          <w:right w:w="0" w:type="dxa"/>
        </w:tblCellMar>
      </w:tblPr>
      <w:tr>
        <w:trPr>
          <w:trHeight w:val="333"/>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3.1</w:t>
            </w:r>
          </w:p>
        </w:tc>
        <w:tc>
          <w:tcPr>
            <w:tcW w:w="3100" w:type="dxa"/>
            <w:vAlign w:val="bottom"/>
            <w:tcBorders>
              <w:bottom w:val="single" w:sz="8" w:color="0000EE"/>
            </w:tcBorders>
            <w:gridSpan w:val="5"/>
          </w:tcPr>
          <w:p>
            <w:pPr>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Articles of Amendment and Restatement</w:t>
              </w:r>
              <w:r>
                <w:rPr>
                  <w:rFonts w:ascii="Arial" w:cs="Arial" w:eastAsia="Arial" w:hAnsi="Arial"/>
                  <w:sz w:val="29"/>
                  <w:szCs w:val="29"/>
                  <w:color w:val="0000EE"/>
                  <w:w w:val="88"/>
                  <w:vertAlign w:val="superscript"/>
                </w:rPr>
                <w:t>(1)</w:t>
              </w:r>
            </w:hyperlink>
          </w:p>
        </w:tc>
        <w:tc>
          <w:tcPr>
            <w:tcW w:w="7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3.2</w:t>
            </w:r>
          </w:p>
        </w:tc>
        <w:tc>
          <w:tcPr>
            <w:tcW w:w="1860" w:type="dxa"/>
            <w:vAlign w:val="bottom"/>
            <w:tcBorders>
              <w:bottom w:val="single" w:sz="8" w:color="0000EE"/>
            </w:tcBorders>
          </w:tcPr>
          <w:p>
            <w:pPr>
              <w:spacing w:after="0" w:line="250" w:lineRule="exact"/>
              <w:rPr>
                <w:rFonts w:ascii="Arial" w:cs="Arial" w:eastAsia="Arial" w:hAnsi="Arial"/>
                <w:sz w:val="17"/>
                <w:szCs w:val="17"/>
                <w:color w:val="0000EE"/>
                <w:w w:val="94"/>
              </w:rPr>
            </w:pPr>
            <w:hyperlink r:id="rId109">
              <w:r>
                <w:rPr>
                  <w:rFonts w:ascii="Arial" w:cs="Arial" w:eastAsia="Arial" w:hAnsi="Arial"/>
                  <w:sz w:val="17"/>
                  <w:szCs w:val="17"/>
                  <w:color w:val="0000EE"/>
                  <w:w w:val="94"/>
                </w:rPr>
                <w:t>Articles of Amendment</w:t>
              </w:r>
              <w:r>
                <w:rPr>
                  <w:rFonts w:ascii="Arial" w:cs="Arial" w:eastAsia="Arial" w:hAnsi="Arial"/>
                  <w:sz w:val="28"/>
                  <w:szCs w:val="28"/>
                  <w:color w:val="0000EE"/>
                  <w:w w:val="94"/>
                  <w:vertAlign w:val="superscript"/>
                </w:rPr>
                <w:t>(2)</w:t>
              </w:r>
            </w:hyperlink>
          </w:p>
        </w:tc>
        <w:tc>
          <w:tcPr>
            <w:tcW w:w="87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3.3</w:t>
            </w:r>
          </w:p>
        </w:tc>
        <w:tc>
          <w:tcPr>
            <w:tcW w:w="1860" w:type="dxa"/>
            <w:vAlign w:val="bottom"/>
            <w:tcBorders>
              <w:bottom w:val="single" w:sz="8" w:color="0000EE"/>
            </w:tcBorders>
          </w:tcPr>
          <w:p>
            <w:pPr>
              <w:spacing w:after="0" w:line="236" w:lineRule="exact"/>
              <w:rPr>
                <w:rFonts w:ascii="Arial" w:cs="Arial" w:eastAsia="Arial" w:hAnsi="Arial"/>
                <w:sz w:val="17"/>
                <w:szCs w:val="17"/>
                <w:color w:val="0000EE"/>
                <w:w w:val="95"/>
              </w:rPr>
            </w:pPr>
            <w:hyperlink r:id="rId110">
              <w:r>
                <w:rPr>
                  <w:rFonts w:ascii="Arial" w:cs="Arial" w:eastAsia="Arial" w:hAnsi="Arial"/>
                  <w:sz w:val="17"/>
                  <w:szCs w:val="17"/>
                  <w:color w:val="0000EE"/>
                  <w:w w:val="95"/>
                </w:rPr>
                <w:t>Articles of Amendment</w:t>
              </w:r>
              <w:r>
                <w:rPr>
                  <w:rFonts w:ascii="Arial" w:cs="Arial" w:eastAsia="Arial" w:hAnsi="Arial"/>
                  <w:sz w:val="27"/>
                  <w:szCs w:val="27"/>
                  <w:color w:val="0000EE"/>
                  <w:w w:val="95"/>
                  <w:vertAlign w:val="superscript"/>
                </w:rPr>
                <w:t>(3)</w:t>
              </w:r>
            </w:hyperlink>
          </w:p>
        </w:tc>
        <w:tc>
          <w:tcPr>
            <w:tcW w:w="87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3.4</w:t>
            </w:r>
          </w:p>
        </w:tc>
        <w:tc>
          <w:tcPr>
            <w:tcW w:w="1860" w:type="dxa"/>
            <w:vAlign w:val="bottom"/>
            <w:tcBorders>
              <w:bottom w:val="single" w:sz="8" w:color="0000EE"/>
            </w:tcBorders>
          </w:tcPr>
          <w:p>
            <w:pPr>
              <w:spacing w:after="0" w:line="250" w:lineRule="exact"/>
              <w:rPr>
                <w:rFonts w:ascii="Arial" w:cs="Arial" w:eastAsia="Arial" w:hAnsi="Arial"/>
                <w:sz w:val="17"/>
                <w:szCs w:val="17"/>
                <w:color w:val="0000EE"/>
                <w:w w:val="94"/>
              </w:rPr>
            </w:pPr>
            <w:hyperlink r:id="rId111">
              <w:r>
                <w:rPr>
                  <w:rFonts w:ascii="Arial" w:cs="Arial" w:eastAsia="Arial" w:hAnsi="Arial"/>
                  <w:sz w:val="17"/>
                  <w:szCs w:val="17"/>
                  <w:color w:val="0000EE"/>
                  <w:w w:val="94"/>
                </w:rPr>
                <w:t>Articles of Amendment</w:t>
              </w:r>
              <w:r>
                <w:rPr>
                  <w:rFonts w:ascii="Arial" w:cs="Arial" w:eastAsia="Arial" w:hAnsi="Arial"/>
                  <w:sz w:val="28"/>
                  <w:szCs w:val="28"/>
                  <w:color w:val="0000EE"/>
                  <w:w w:val="94"/>
                  <w:vertAlign w:val="superscript"/>
                </w:rPr>
                <w:t>(4)</w:t>
              </w:r>
            </w:hyperlink>
          </w:p>
        </w:tc>
        <w:tc>
          <w:tcPr>
            <w:tcW w:w="87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3.5</w:t>
            </w:r>
          </w:p>
        </w:tc>
        <w:tc>
          <w:tcPr>
            <w:tcW w:w="10580" w:type="dxa"/>
            <w:vAlign w:val="bottom"/>
            <w:gridSpan w:val="12"/>
          </w:tcPr>
          <w:p>
            <w:pPr>
              <w:spacing w:after="0" w:line="236" w:lineRule="exact"/>
              <w:rPr>
                <w:rFonts w:ascii="Arial" w:cs="Arial" w:eastAsia="Arial" w:hAnsi="Arial"/>
                <w:sz w:val="17"/>
                <w:szCs w:val="17"/>
                <w:color w:val="0000EE"/>
              </w:rPr>
            </w:pPr>
            <w:hyperlink r:id="rId112">
              <w:r>
                <w:rPr>
                  <w:rFonts w:ascii="Arial" w:cs="Arial" w:eastAsia="Arial" w:hAnsi="Arial"/>
                  <w:sz w:val="17"/>
                  <w:szCs w:val="17"/>
                  <w:color w:val="0000EE"/>
                </w:rPr>
                <w:t>Second Amended and Restated Bylaws</w:t>
              </w:r>
              <w:r>
                <w:rPr>
                  <w:rFonts w:ascii="Arial" w:cs="Arial" w:eastAsia="Arial" w:hAnsi="Arial"/>
                  <w:sz w:val="27"/>
                  <w:szCs w:val="27"/>
                  <w:color w:val="0000EE"/>
                  <w:vertAlign w:val="superscript"/>
                </w:rPr>
                <w:t>(4)</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jc w:val="center"/>
              <w:ind w:right="90"/>
              <w:spacing w:after="0"/>
              <w:rPr>
                <w:sz w:val="20"/>
                <w:szCs w:val="20"/>
                <w:color w:val="auto"/>
              </w:rPr>
            </w:pPr>
            <w:r>
              <w:rPr>
                <w:rFonts w:ascii="Arial" w:cs="Arial" w:eastAsia="Arial" w:hAnsi="Arial"/>
                <w:sz w:val="18"/>
                <w:szCs w:val="18"/>
                <w:color w:val="auto"/>
                <w:w w:val="87"/>
              </w:rPr>
              <w:t>4.1</w:t>
            </w:r>
          </w:p>
        </w:tc>
        <w:tc>
          <w:tcPr>
            <w:tcW w:w="1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vMerge w:val="continue"/>
          </w:tcPr>
          <w:p>
            <w:pPr>
              <w:spacing w:after="0"/>
              <w:rPr>
                <w:sz w:val="21"/>
                <w:szCs w:val="21"/>
                <w:color w:val="auto"/>
              </w:rPr>
            </w:pPr>
          </w:p>
        </w:tc>
        <w:tc>
          <w:tcPr>
            <w:tcW w:w="10580" w:type="dxa"/>
            <w:vAlign w:val="bottom"/>
            <w:gridSpan w:val="12"/>
          </w:tcPr>
          <w:p>
            <w:pPr>
              <w:spacing w:after="0" w:line="250" w:lineRule="exact"/>
              <w:rPr>
                <w:rFonts w:ascii="Arial" w:cs="Arial" w:eastAsia="Arial" w:hAnsi="Arial"/>
                <w:sz w:val="17"/>
                <w:szCs w:val="17"/>
                <w:color w:val="0000EE"/>
              </w:rPr>
            </w:pPr>
            <w:hyperlink r:id="rId113">
              <w:r>
                <w:rPr>
                  <w:rFonts w:ascii="Arial" w:cs="Arial" w:eastAsia="Arial" w:hAnsi="Arial"/>
                  <w:sz w:val="17"/>
                  <w:szCs w:val="17"/>
                  <w:color w:val="0000EE"/>
                </w:rPr>
                <w:t>Base Indenture, dated March 28, 2018, by and between the Registrant and U.S. Bank National Association, as trustee</w:t>
              </w:r>
              <w:r>
                <w:rPr>
                  <w:rFonts w:ascii="Arial" w:cs="Arial" w:eastAsia="Arial" w:hAnsi="Arial"/>
                  <w:sz w:val="28"/>
                  <w:szCs w:val="28"/>
                  <w:color w:val="0000EE"/>
                  <w:vertAlign w:val="superscript"/>
                </w:rPr>
                <w:t>(5)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7"/>
              </w:rPr>
              <w:t>4.2</w:t>
            </w:r>
          </w:p>
        </w:tc>
        <w:tc>
          <w:tcPr>
            <w:tcW w:w="10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Second Supplemental Indenture, dated December 17, 2021, relating to the 6.00% Notes due 2026, by and between the Company and U.S. Bank</w:t>
              </w:r>
            </w:hyperlink>
          </w:p>
        </w:tc>
        <w:tc>
          <w:tcPr>
            <w:tcW w:w="0" w:type="dxa"/>
            <w:vAlign w:val="bottom"/>
          </w:tcPr>
          <w:p>
            <w:pPr>
              <w:spacing w:after="0"/>
              <w:rPr>
                <w:sz w:val="1"/>
                <w:szCs w:val="1"/>
                <w:color w:val="auto"/>
              </w:rPr>
            </w:pPr>
          </w:p>
        </w:tc>
      </w:tr>
      <w:tr>
        <w:trPr>
          <w:trHeight w:val="237"/>
        </w:trPr>
        <w:tc>
          <w:tcPr>
            <w:tcW w:w="480" w:type="dxa"/>
            <w:vAlign w:val="bottom"/>
            <w:vMerge w:val="restart"/>
          </w:tcPr>
          <w:p>
            <w:pPr>
              <w:jc w:val="center"/>
              <w:ind w:right="90"/>
              <w:spacing w:after="0"/>
              <w:rPr>
                <w:sz w:val="20"/>
                <w:szCs w:val="20"/>
                <w:color w:val="auto"/>
              </w:rPr>
            </w:pPr>
            <w:r>
              <w:rPr>
                <w:rFonts w:ascii="Arial" w:cs="Arial" w:eastAsia="Arial" w:hAnsi="Arial"/>
                <w:sz w:val="18"/>
                <w:szCs w:val="18"/>
                <w:color w:val="auto"/>
                <w:w w:val="87"/>
              </w:rPr>
              <w:t>4.3</w:t>
            </w:r>
          </w:p>
        </w:tc>
        <w:tc>
          <w:tcPr>
            <w:tcW w:w="2440" w:type="dxa"/>
            <w:vAlign w:val="bottom"/>
            <w:tcBorders>
              <w:bottom w:val="single" w:sz="8" w:color="0000EE"/>
            </w:tcBorders>
            <w:gridSpan w:val="3"/>
          </w:tcPr>
          <w:p>
            <w:pPr>
              <w:spacing w:after="0" w:line="236" w:lineRule="exact"/>
              <w:rPr>
                <w:rFonts w:ascii="Arial" w:cs="Arial" w:eastAsia="Arial" w:hAnsi="Arial"/>
                <w:sz w:val="17"/>
                <w:szCs w:val="17"/>
                <w:color w:val="0000EE"/>
                <w:w w:val="93"/>
              </w:rPr>
            </w:pPr>
            <w:hyperlink r:id="rId114">
              <w:r>
                <w:rPr>
                  <w:rFonts w:ascii="Arial" w:cs="Arial" w:eastAsia="Arial" w:hAnsi="Arial"/>
                  <w:sz w:val="17"/>
                  <w:szCs w:val="17"/>
                  <w:color w:val="0000EE"/>
                  <w:w w:val="93"/>
                </w:rPr>
                <w:t>National Association, as trustee</w:t>
              </w:r>
              <w:r>
                <w:rPr>
                  <w:rFonts w:ascii="Arial" w:cs="Arial" w:eastAsia="Arial" w:hAnsi="Arial"/>
                  <w:sz w:val="27"/>
                  <w:szCs w:val="27"/>
                  <w:color w:val="0000EE"/>
                  <w:w w:val="93"/>
                  <w:vertAlign w:val="superscript"/>
                </w:rPr>
                <w:t>(6)</w:t>
              </w:r>
            </w:hyperlink>
          </w:p>
        </w:tc>
        <w:tc>
          <w:tcPr>
            <w:tcW w:w="814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 w:type="dxa"/>
            <w:vAlign w:val="bottom"/>
            <w:vMerge w:val="continue"/>
          </w:tcPr>
          <w:p>
            <w:pPr>
              <w:spacing w:after="0"/>
              <w:rPr>
                <w:sz w:val="21"/>
                <w:szCs w:val="21"/>
                <w:color w:val="auto"/>
              </w:rPr>
            </w:pPr>
          </w:p>
        </w:tc>
        <w:tc>
          <w:tcPr>
            <w:tcW w:w="10580" w:type="dxa"/>
            <w:vAlign w:val="bottom"/>
            <w:gridSpan w:val="12"/>
          </w:tcPr>
          <w:p>
            <w:pPr>
              <w:spacing w:after="0" w:line="250" w:lineRule="exact"/>
              <w:rPr>
                <w:rFonts w:ascii="Arial" w:cs="Arial" w:eastAsia="Arial" w:hAnsi="Arial"/>
                <w:sz w:val="17"/>
                <w:szCs w:val="17"/>
                <w:color w:val="0000EE"/>
              </w:rPr>
            </w:pPr>
            <w:hyperlink r:id="rId115">
              <w:r>
                <w:rPr>
                  <w:rFonts w:ascii="Arial" w:cs="Arial" w:eastAsia="Arial" w:hAnsi="Arial"/>
                  <w:sz w:val="17"/>
                  <w:szCs w:val="17"/>
                  <w:color w:val="0000EE"/>
                </w:rPr>
                <w:t>Form of 6.00% Notes due 2026 (incorporated by reference to Exhibit 4.2)</w:t>
              </w:r>
              <w:r>
                <w:rPr>
                  <w:rFonts w:ascii="Arial" w:cs="Arial" w:eastAsia="Arial" w:hAnsi="Arial"/>
                  <w:sz w:val="28"/>
                  <w:szCs w:val="28"/>
                  <w:color w:val="0000EE"/>
                  <w:vertAlign w:val="superscript"/>
                </w:rPr>
                <w:t>(6)</w:t>
              </w:r>
            </w:hyperlink>
          </w:p>
        </w:tc>
        <w:tc>
          <w:tcPr>
            <w:tcW w:w="0" w:type="dxa"/>
            <w:vAlign w:val="bottom"/>
          </w:tcPr>
          <w:p>
            <w:pPr>
              <w:spacing w:after="0"/>
              <w:rPr>
                <w:sz w:val="1"/>
                <w:szCs w:val="1"/>
                <w:color w:val="auto"/>
              </w:rPr>
            </w:pPr>
          </w:p>
        </w:tc>
      </w:tr>
      <w:tr>
        <w:trPr>
          <w:trHeight w:val="236"/>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7"/>
              </w:rPr>
              <w:t>4.4</w:t>
            </w:r>
          </w:p>
        </w:tc>
        <w:tc>
          <w:tcPr>
            <w:tcW w:w="1960" w:type="dxa"/>
            <w:vAlign w:val="bottom"/>
            <w:tcBorders>
              <w:top w:val="single" w:sz="8" w:color="0000EE"/>
              <w:bottom w:val="single" w:sz="8" w:color="0000EE"/>
            </w:tcBorders>
            <w:gridSpan w:val="2"/>
          </w:tcPr>
          <w:p>
            <w:pPr>
              <w:spacing w:after="0" w:line="236" w:lineRule="exact"/>
              <w:rPr>
                <w:rFonts w:ascii="Arial" w:cs="Arial" w:eastAsia="Arial" w:hAnsi="Arial"/>
                <w:sz w:val="17"/>
                <w:szCs w:val="17"/>
                <w:color w:val="0000EE"/>
                <w:w w:val="94"/>
              </w:rPr>
            </w:pPr>
            <w:hyperlink r:id="rId116">
              <w:r>
                <w:rPr>
                  <w:rFonts w:ascii="Arial" w:cs="Arial" w:eastAsia="Arial" w:hAnsi="Arial"/>
                  <w:sz w:val="17"/>
                  <w:szCs w:val="17"/>
                  <w:color w:val="0000EE"/>
                  <w:w w:val="94"/>
                </w:rPr>
                <w:t>Description of Securities</w:t>
              </w:r>
              <w:r>
                <w:rPr>
                  <w:rFonts w:ascii="Arial" w:cs="Arial" w:eastAsia="Arial" w:hAnsi="Arial"/>
                  <w:sz w:val="27"/>
                  <w:szCs w:val="27"/>
                  <w:color w:val="0000EE"/>
                  <w:w w:val="94"/>
                  <w:vertAlign w:val="superscript"/>
                </w:rPr>
                <w:t>(7)</w:t>
              </w:r>
            </w:hyperlink>
          </w:p>
        </w:tc>
        <w:tc>
          <w:tcPr>
            <w:tcW w:w="3520" w:type="dxa"/>
            <w:vAlign w:val="bottom"/>
            <w:tcBorders>
              <w:top w:val="single" w:sz="8" w:color="0000EE"/>
            </w:tcBorders>
            <w:gridSpan w:val="4"/>
          </w:tcPr>
          <w:p>
            <w:pPr>
              <w:spacing w:after="0"/>
              <w:rPr>
                <w:sz w:val="20"/>
                <w:szCs w:val="20"/>
                <w:color w:val="auto"/>
              </w:rPr>
            </w:pPr>
          </w:p>
        </w:tc>
        <w:tc>
          <w:tcPr>
            <w:tcW w:w="51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 w:type="dxa"/>
            <w:vAlign w:val="bottom"/>
          </w:tcPr>
          <w:p>
            <w:pPr>
              <w:jc w:val="center"/>
              <w:ind w:right="90"/>
              <w:spacing w:after="0"/>
              <w:rPr>
                <w:sz w:val="20"/>
                <w:szCs w:val="20"/>
                <w:color w:val="auto"/>
              </w:rPr>
            </w:pPr>
            <w:r>
              <w:rPr>
                <w:rFonts w:ascii="Arial" w:cs="Arial" w:eastAsia="Arial" w:hAnsi="Arial"/>
                <w:sz w:val="18"/>
                <w:szCs w:val="18"/>
                <w:color w:val="auto"/>
                <w:w w:val="85"/>
              </w:rPr>
              <w:t>10.1</w:t>
            </w:r>
          </w:p>
        </w:tc>
        <w:tc>
          <w:tcPr>
            <w:tcW w:w="10580" w:type="dxa"/>
            <w:vAlign w:val="bottom"/>
            <w:gridSpan w:val="12"/>
          </w:tcPr>
          <w:p>
            <w:pPr>
              <w:spacing w:after="0" w:line="236" w:lineRule="exact"/>
              <w:rPr>
                <w:rFonts w:ascii="Arial" w:cs="Arial" w:eastAsia="Arial" w:hAnsi="Arial"/>
                <w:sz w:val="17"/>
                <w:szCs w:val="17"/>
                <w:color w:val="0000EE"/>
              </w:rPr>
            </w:pPr>
            <w:hyperlink r:id="rId117">
              <w:r>
                <w:rPr>
                  <w:rFonts w:ascii="Arial" w:cs="Arial" w:eastAsia="Arial" w:hAnsi="Arial"/>
                  <w:sz w:val="17"/>
                  <w:szCs w:val="17"/>
                  <w:color w:val="0000EE"/>
                </w:rPr>
                <w:t>Custody Agreement, dated as of April 19, 2023, by and among the Company and Western Alliance Trust Company, N.A., as Custodian.</w:t>
              </w:r>
              <w:r>
                <w:rPr>
                  <w:rFonts w:ascii="Arial" w:cs="Arial" w:eastAsia="Arial" w:hAnsi="Arial"/>
                  <w:sz w:val="27"/>
                  <w:szCs w:val="27"/>
                  <w:color w:val="0000EE"/>
                  <w:vertAlign w:val="superscript"/>
                </w:rPr>
                <w:t>(8)</w:t>
              </w:r>
            </w:hyperlink>
          </w:p>
        </w:tc>
        <w:tc>
          <w:tcPr>
            <w:tcW w:w="0" w:type="dxa"/>
            <w:vAlign w:val="bottom"/>
          </w:tcPr>
          <w:p>
            <w:pPr>
              <w:spacing w:after="0"/>
              <w:rPr>
                <w:sz w:val="1"/>
                <w:szCs w:val="1"/>
                <w:color w:val="auto"/>
              </w:rPr>
            </w:pPr>
          </w:p>
        </w:tc>
      </w:tr>
      <w:tr>
        <w:trPr>
          <w:trHeight w:val="196"/>
        </w:trPr>
        <w:tc>
          <w:tcPr>
            <w:tcW w:w="48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31.1</w:t>
            </w:r>
          </w:p>
        </w:tc>
        <w:tc>
          <w:tcPr>
            <w:tcW w:w="86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Rule 13a-14 of the Securities Exchange Act of 1934, as amended*</w:t>
            </w:r>
          </w:p>
        </w:tc>
        <w:tc>
          <w:tcPr>
            <w:tcW w:w="130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31.2</w:t>
            </w:r>
          </w:p>
        </w:tc>
        <w:tc>
          <w:tcPr>
            <w:tcW w:w="10580" w:type="dxa"/>
            <w:vAlign w:val="bottom"/>
            <w:gridSpan w:val="12"/>
          </w:tcPr>
          <w:p>
            <w:pPr>
              <w:spacing w:after="0" w:line="196" w:lineRule="exact"/>
              <w:rPr>
                <w:sz w:val="20"/>
                <w:szCs w:val="20"/>
                <w:color w:val="auto"/>
              </w:rPr>
            </w:pPr>
            <w:r>
              <w:rPr>
                <w:rFonts w:ascii="Arial" w:cs="Arial" w:eastAsia="Arial" w:hAnsi="Arial"/>
                <w:sz w:val="18"/>
                <w:szCs w:val="18"/>
                <w:color w:val="0000EE"/>
              </w:rPr>
              <w:t>Certification of Chief Financial Officer pursuant to Rule 13a-14 of the Securities Exchange Act of 1934, as amended*</w:t>
            </w:r>
          </w:p>
        </w:tc>
        <w:tc>
          <w:tcPr>
            <w:tcW w:w="0" w:type="dxa"/>
            <w:vAlign w:val="bottom"/>
          </w:tcPr>
          <w:p>
            <w:pPr>
              <w:spacing w:after="0"/>
              <w:rPr>
                <w:sz w:val="1"/>
                <w:szCs w:val="1"/>
                <w:color w:val="auto"/>
              </w:rPr>
            </w:pPr>
          </w:p>
        </w:tc>
      </w:tr>
      <w:tr>
        <w:trPr>
          <w:trHeight w:val="196"/>
        </w:trPr>
        <w:tc>
          <w:tcPr>
            <w:tcW w:w="48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32.1</w:t>
            </w:r>
          </w:p>
        </w:tc>
        <w:tc>
          <w:tcPr>
            <w:tcW w:w="726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Certification of Chief Executive Officer pursuant to Section 906 of the Sarbanes-Oxley Act of 2002*</w:t>
            </w:r>
          </w:p>
        </w:tc>
        <w:tc>
          <w:tcPr>
            <w:tcW w:w="1220" w:type="dxa"/>
            <w:vAlign w:val="bottom"/>
            <w:tcBorders>
              <w:top w:val="single" w:sz="8" w:color="0000EE"/>
            </w:tcBorders>
          </w:tcPr>
          <w:p>
            <w:pPr>
              <w:spacing w:after="0"/>
              <w:rPr>
                <w:sz w:val="17"/>
                <w:szCs w:val="17"/>
                <w:color w:val="auto"/>
              </w:rPr>
            </w:pPr>
          </w:p>
        </w:tc>
        <w:tc>
          <w:tcPr>
            <w:tcW w:w="2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5"/>
              </w:rPr>
              <w:t>32.2</w:t>
            </w:r>
          </w:p>
        </w:tc>
        <w:tc>
          <w:tcPr>
            <w:tcW w:w="10580" w:type="dxa"/>
            <w:vAlign w:val="bottom"/>
            <w:gridSpan w:val="12"/>
          </w:tcPr>
          <w:p>
            <w:pPr>
              <w:spacing w:after="0" w:line="196" w:lineRule="exact"/>
              <w:rPr>
                <w:sz w:val="20"/>
                <w:szCs w:val="20"/>
                <w:color w:val="auto"/>
              </w:rPr>
            </w:pPr>
            <w:r>
              <w:rPr>
                <w:rFonts w:ascii="Arial" w:cs="Arial" w:eastAsia="Arial" w:hAnsi="Arial"/>
                <w:sz w:val="18"/>
                <w:szCs w:val="18"/>
                <w:color w:val="0000EE"/>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16, 2020,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Registration Statement on Form N-2 (File No. 333-239681), filed on July 2, 2020,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December 17, 2021,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Annual Report on Form 10-K (File No. 814-00852) filed on March 11, 2022, and incorporated by reference herein.</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April 19, 2023, and incorporated by reference herein.</w:t>
      </w:r>
    </w:p>
    <w:p>
      <w:pPr>
        <w:spacing w:after="0" w:line="1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SURO CAPITAL CORP.</w:t>
      </w:r>
    </w:p>
    <w:p>
      <w:pPr>
        <w:spacing w:after="0" w:line="229" w:lineRule="exact"/>
        <w:rPr>
          <w:sz w:val="20"/>
          <w:szCs w:val="20"/>
          <w:color w:val="auto"/>
        </w:rPr>
      </w:pPr>
    </w:p>
    <w:p>
      <w:pPr>
        <w:spacing w:after="0"/>
        <w:tabs>
          <w:tab w:leader="none" w:pos="540" w:val="left"/>
          <w:tab w:leader="none" w:pos="5720" w:val="left"/>
          <w:tab w:leader="none" w:pos="628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Mark D. Klein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40" w:val="left"/>
          <w:tab w:leader="none" w:pos="5720" w:val="left"/>
          <w:tab w:leader="none" w:pos="628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24"/>
          <w:szCs w:val="24"/>
          <w:i w:val="1"/>
          <w:iCs w:val="1"/>
          <w:color w:val="auto"/>
          <w:vertAlign w:val="superscript"/>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-11430</wp:posOffset>
            </wp:positionV>
            <wp:extent cx="31375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b w:val="1"/>
          <w:bCs w:val="1"/>
          <w:color w:val="auto"/>
        </w:rPr>
        <w:t>Allison Green</w:t>
      </w:r>
    </w:p>
    <w:p>
      <w:pPr>
        <w:spacing w:after="0" w:line="7"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Chief Financial Officer, Chief Compliance Officer, Treasurer, and</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65" w:name="page66"/>
    <w:bookmarkEnd w:id="6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SuRo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August,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SuRo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SuRo Capital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9th day of August,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33515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Allison Green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three and six months ended June 30, 2023 (the “Report”) of SuRo Capital Corp. (the “Registrant”), as filed with the Securities and Exchange Commission on the date hereof, I, Mark D. Klein, the Chief Executive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Mark D. Klein</w:t>
      </w:r>
    </w:p>
    <w:p>
      <w:pPr>
        <w:spacing w:after="0" w:line="2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three and six months ended June 30, 2023 (the “Report”) of SuRo Capital Corp. (the “Registrant”), as filed with the Securities and Exchange Commission on the date hereof, I, Allison Green, the Chief Financial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Name: Allison Green</w:t>
      </w:r>
    </w:p>
    <w:p>
      <w:pPr>
        <w:spacing w:after="0" w:line="27"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5"/>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08" Type="http://schemas.openxmlformats.org/officeDocument/2006/relationships/hyperlink" Target="https://www.sec.gov/Archives/edgar/data/1509470/000113379611000069/k216228_ex99-2a.htm" TargetMode="External"/><Relationship Id="rId109" Type="http://schemas.openxmlformats.org/officeDocument/2006/relationships/hyperlink" Target="https://www.sec.gov/Archives/edgar/data/1509470/000114420411033389/v224342_ex3-1.htm" TargetMode="External"/><Relationship Id="rId110" Type="http://schemas.openxmlformats.org/officeDocument/2006/relationships/hyperlink" Target="https://www.sec.gov/Archives/edgar/data/1509470/000114420419037014/tv526412_ex3-1.htm" TargetMode="External"/><Relationship Id="rId111" Type="http://schemas.openxmlformats.org/officeDocument/2006/relationships/hyperlink" Target="https://www.sec.gov/Archives/edgar/data/1509470/000110465920073783/tm2022743d1_ex3-1.htm" TargetMode="External"/><Relationship Id="rId112" Type="http://schemas.openxmlformats.org/officeDocument/2006/relationships/hyperlink" Target="https://www.sec.gov/Archives/edgar/data/1509470/000110465920073783/tm2022743d1_ex3-2.htm" TargetMode="External"/><Relationship Id="rId113" Type="http://schemas.openxmlformats.org/officeDocument/2006/relationships/hyperlink" Target="https://www.sec.gov/Archives/edgar/data/1509470/000110465920080689/tm2023838d1_ex-d3.htm" TargetMode="External"/><Relationship Id="rId114" Type="http://schemas.openxmlformats.org/officeDocument/2006/relationships/hyperlink" Target="https://www.sec.gov/Archives/edgar/data/1509470/000110465921150924/tm2135610d1_ex4-2.htm" TargetMode="External"/><Relationship Id="rId115" Type="http://schemas.openxmlformats.org/officeDocument/2006/relationships/hyperlink" Target="https://www.sec.gov/Archives/edgar/data/1509470/000110465921150924/tm2135610d1_ex4-2.htm#S1" TargetMode="External"/><Relationship Id="rId116" Type="http://schemas.openxmlformats.org/officeDocument/2006/relationships/hyperlink" Target="https://www.sec.gov/Archives/edgar/data/1509470/000162828022005867/surocapital-form10xkex45.htm" TargetMode="External"/><Relationship Id="rId117" Type="http://schemas.openxmlformats.org/officeDocument/2006/relationships/hyperlink" Target="https://www.sec.gov/Archives/edgar/data/1509470/000110465923047475/tm231329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2023-08-09T15:54:55Z</dcterms:created>
  <dcterms:modified xsi:type="dcterms:W3CDTF">2023-08-09T15:54:55Z</dcterms:modified>
</cp:coreProperties>
</file>