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165100</wp:posOffset>
            </wp:positionV>
            <wp:extent cx="21431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300" w:right="1880" w:hanging="3292"/>
        <w:spacing w:after="0" w:line="486" w:lineRule="auto"/>
        <w:tabs>
          <w:tab w:leader="none" w:pos="20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2023</w:t>
      </w:r>
    </w:p>
    <w:p>
      <w:pPr>
        <w:spacing w:after="0" w:line="26" w:lineRule="exact"/>
        <w:rPr>
          <w:sz w:val="24"/>
          <w:szCs w:val="24"/>
          <w:color w:val="auto"/>
        </w:rPr>
      </w:pPr>
    </w:p>
    <w:p>
      <w:pPr>
        <w:ind w:left="3920" w:right="1860" w:hanging="3912"/>
        <w:spacing w:after="0" w:line="537" w:lineRule="auto"/>
        <w:tabs>
          <w:tab w:leader="none" w:pos="21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-24765</wp:posOffset>
            </wp:positionV>
            <wp:extent cx="25031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SuRo Capital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141605</wp:posOffset>
            </wp:positionV>
            <wp:extent cx="21431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476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9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27-4443543</w:t>
            </w:r>
          </w:p>
        </w:tc>
      </w:tr>
      <w:tr>
        <w:trPr>
          <w:trHeight w:val="234"/>
        </w:trPr>
        <w:tc>
          <w:tcPr>
            <w:tcW w:w="476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398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476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640 Fifth Avenue, 12th Floor, New York, NY</w:t>
            </w:r>
          </w:p>
        </w:tc>
        <w:tc>
          <w:tcPr>
            <w:tcW w:w="39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10019</w:t>
            </w:r>
          </w:p>
        </w:tc>
      </w:tr>
      <w:tr>
        <w:trPr>
          <w:trHeight w:val="234"/>
        </w:trPr>
        <w:tc>
          <w:tcPr>
            <w:tcW w:w="476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98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931-6331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SSSS</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34"/>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6.00% Notes due 2026</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SSSSL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47" w:lineRule="exact"/>
        <w:rPr>
          <w:sz w:val="24"/>
          <w:szCs w:val="24"/>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46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1" w:lineRule="exact"/>
        <w:rPr>
          <w:sz w:val="24"/>
          <w:szCs w:val="24"/>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27"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5" w:lineRule="exact"/>
        <w:rPr>
          <w:sz w:val="24"/>
          <w:szCs w:val="24"/>
          <w:color w:val="auto"/>
        </w:rPr>
      </w:pPr>
    </w:p>
    <w:p>
      <w:pPr>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issuer had 25,338,580 shares of common stock, $0.01 par value per share, outstanding as of May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80" w:type="dxa"/>
            <w:vAlign w:val="bottom"/>
            <w:gridSpan w:val="11"/>
          </w:tcPr>
          <w:p>
            <w:pPr>
              <w:ind w:left="340"/>
              <w:spacing w:after="0"/>
              <w:rPr>
                <w:sz w:val="20"/>
                <w:szCs w:val="20"/>
                <w:color w:val="auto"/>
              </w:rPr>
            </w:pPr>
            <w:r>
              <w:rPr>
                <w:rFonts w:ascii="Times New Roman" w:cs="Times New Roman" w:eastAsia="Times New Roman" w:hAnsi="Times New Roman"/>
                <w:sz w:val="18"/>
                <w:szCs w:val="18"/>
                <w:b w:val="1"/>
                <w:bCs w:val="1"/>
                <w:color w:val="auto"/>
              </w:rPr>
              <w:t>SURO CAPITAL CORP.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80" w:type="dxa"/>
            <w:vAlign w:val="bottom"/>
            <w:gridSpan w:val="11"/>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3080" w:type="dxa"/>
            <w:vAlign w:val="bottom"/>
            <w:tcBorders>
              <w:top w:val="single" w:sz="8" w:color="CCEEFF"/>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7520" w:type="dxa"/>
            <w:vAlign w:val="bottom"/>
            <w:tcBorders>
              <w:top w:val="single" w:sz="8" w:color="CCEEFF"/>
              <w:bottom w:val="single" w:sz="8" w:color="CCEEFF"/>
            </w:tcBorders>
            <w:gridSpan w:val="13"/>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Financial Statements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8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Assets and Liabilities as of March 31, 2023 (Unaudited) and December 31, 2022</w:t>
            </w:r>
          </w:p>
        </w:tc>
        <w:tc>
          <w:tcPr>
            <w:tcW w:w="94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2023 and 2022 (Unaudited)</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Net Assets for the Three Months Ended March 31, 2023 and 2022 (Unaudited)</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38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2023 and 2022 (Unaudited)</w:t>
            </w:r>
          </w:p>
        </w:tc>
        <w:tc>
          <w:tcPr>
            <w:tcW w:w="2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Schedule of Investments as of March 31, 2023 (Unaudited)</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10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Schedule of Investments as of December 31, 2022</w:t>
            </w:r>
          </w:p>
        </w:tc>
        <w:tc>
          <w:tcPr>
            <w:tcW w:w="352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as of March 31, 2023 (Unaudited)</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48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14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26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782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300" w:type="dxa"/>
            <w:vAlign w:val="bottom"/>
            <w:tcBorders>
              <w:top w:val="single" w:sz="8" w:color="CCEEFF"/>
            </w:tcBorders>
            <w:gridSpan w:val="12"/>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30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ASSETS AND LIABILITIES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Non-controlled/non-affiliate investments (cost of $154,328,296 and $155,103,810,</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5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128,088,500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130,901,546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Non-controlled/affiliate investments (cost of $41,140,804 and $41,140,804, respectively)</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11,270,798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12,591,162</w:t>
            </w:r>
          </w:p>
        </w:tc>
        <w:tc>
          <w:tcPr>
            <w:tcW w:w="0" w:type="dxa"/>
            <w:vAlign w:val="bottom"/>
          </w:tcPr>
          <w:p>
            <w:pPr>
              <w:spacing w:after="0"/>
              <w:rPr>
                <w:sz w:val="1"/>
                <w:szCs w:val="1"/>
                <w:color w:val="auto"/>
              </w:rPr>
            </w:pPr>
          </w:p>
        </w:tc>
      </w:tr>
      <w:tr>
        <w:trPr>
          <w:trHeight w:val="25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Controlled investments (cost of $19,883,894 and $19,883,894, respectively)</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25,728,742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13,695,870</w:t>
            </w:r>
          </w:p>
        </w:tc>
        <w:tc>
          <w:tcPr>
            <w:tcW w:w="0" w:type="dxa"/>
            <w:vAlign w:val="bottom"/>
          </w:tcPr>
          <w:p>
            <w:pPr>
              <w:spacing w:after="0"/>
              <w:rPr>
                <w:sz w:val="1"/>
                <w:szCs w:val="1"/>
                <w:color w:val="auto"/>
              </w:rPr>
            </w:pPr>
          </w:p>
        </w:tc>
      </w:tr>
      <w:tr>
        <w:trPr>
          <w:trHeight w:val="226"/>
        </w:trPr>
        <w:tc>
          <w:tcPr>
            <w:tcW w:w="67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Portfolio Investments</w:t>
            </w:r>
          </w:p>
        </w:tc>
        <w:tc>
          <w:tcPr>
            <w:tcW w:w="28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165,088,040</w:t>
            </w: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157,188,578</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U.S. Treasury bills (cost of $75,497,157 and $84,999,598, respectively)</w:t>
            </w:r>
          </w:p>
        </w:tc>
        <w:tc>
          <w:tcPr>
            <w:tcW w:w="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75,986,912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85,056,817</w:t>
            </w:r>
          </w:p>
        </w:tc>
        <w:tc>
          <w:tcPr>
            <w:tcW w:w="0" w:type="dxa"/>
            <w:vAlign w:val="bottom"/>
          </w:tcPr>
          <w:p>
            <w:pPr>
              <w:spacing w:after="0"/>
              <w:rPr>
                <w:sz w:val="1"/>
                <w:szCs w:val="1"/>
                <w:color w:val="auto"/>
              </w:rPr>
            </w:pPr>
          </w:p>
        </w:tc>
      </w:tr>
      <w:tr>
        <w:trPr>
          <w:trHeight w:val="203"/>
        </w:trPr>
        <w:tc>
          <w:tcPr>
            <w:tcW w:w="67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Investments (cost of $290,850,151 and $301,128,106, respectively)</w:t>
            </w: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241,074,952</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242,245,395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48,113,676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40,117,598</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Escrow proceeds receivable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609,685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628,332</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dividends receivable</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105,008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138,766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539,120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555,761</w:t>
            </w:r>
          </w:p>
        </w:tc>
        <w:tc>
          <w:tcPr>
            <w:tcW w:w="0" w:type="dxa"/>
            <w:vAlign w:val="bottom"/>
          </w:tcPr>
          <w:p>
            <w:pPr>
              <w:spacing w:after="0"/>
              <w:rPr>
                <w:sz w:val="1"/>
                <w:szCs w:val="1"/>
                <w:color w:val="auto"/>
              </w:rPr>
            </w:pPr>
          </w:p>
        </w:tc>
      </w:tr>
      <w:tr>
        <w:trPr>
          <w:trHeight w:val="290"/>
        </w:trPr>
        <w:tc>
          <w:tcPr>
            <w:tcW w:w="670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Prepaid expenses and other assets</w:t>
            </w:r>
            <w:r>
              <w:rPr>
                <w:rFonts w:ascii="Times New Roman" w:cs="Times New Roman" w:eastAsia="Times New Roman" w:hAnsi="Times New Roman"/>
                <w:sz w:val="29"/>
                <w:szCs w:val="29"/>
                <w:color w:val="auto"/>
                <w:vertAlign w:val="superscript"/>
              </w:rPr>
              <w:t>(1)</w:t>
            </w: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654,202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727,006</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291,096,643</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284,412,858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7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Accounts payable and accrued expenses</w:t>
            </w:r>
            <w:r>
              <w:rPr>
                <w:rFonts w:ascii="Times New Roman" w:cs="Times New Roman" w:eastAsia="Times New Roman" w:hAnsi="Times New Roman"/>
                <w:sz w:val="29"/>
                <w:szCs w:val="29"/>
                <w:color w:val="auto"/>
                <w:vertAlign w:val="superscript"/>
              </w:rPr>
              <w:t>(1)</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2,389,773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708,827</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188,357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296,170</w:t>
            </w:r>
          </w:p>
        </w:tc>
        <w:tc>
          <w:tcPr>
            <w:tcW w:w="0" w:type="dxa"/>
            <w:vAlign w:val="bottom"/>
          </w:tcPr>
          <w:p>
            <w:pPr>
              <w:spacing w:after="0"/>
              <w:rPr>
                <w:sz w:val="1"/>
                <w:szCs w:val="1"/>
                <w:color w:val="auto"/>
              </w:rPr>
            </w:pPr>
          </w:p>
        </w:tc>
      </w:tr>
      <w:tr>
        <w:trPr>
          <w:trHeight w:val="277"/>
        </w:trPr>
        <w:tc>
          <w:tcPr>
            <w:tcW w:w="67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6.00% Notes due December 30, 2026</w:t>
            </w:r>
            <w:r>
              <w:rPr>
                <w:rFonts w:ascii="Times New Roman" w:cs="Times New Roman" w:eastAsia="Times New Roman" w:hAnsi="Times New Roman"/>
                <w:sz w:val="29"/>
                <w:szCs w:val="29"/>
                <w:color w:val="auto"/>
                <w:vertAlign w:val="superscript"/>
              </w:rPr>
              <w:t>(2)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73,475,444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73,387,159</w:t>
            </w:r>
          </w:p>
        </w:tc>
        <w:tc>
          <w:tcPr>
            <w:tcW w:w="0" w:type="dxa"/>
            <w:vAlign w:val="bottom"/>
          </w:tcPr>
          <w:p>
            <w:pPr>
              <w:spacing w:after="0"/>
              <w:rPr>
                <w:sz w:val="1"/>
                <w:szCs w:val="1"/>
                <w:color w:val="auto"/>
              </w:rPr>
            </w:pPr>
          </w:p>
        </w:tc>
      </w:tr>
      <w:tr>
        <w:trPr>
          <w:trHeight w:val="243"/>
        </w:trPr>
        <w:tc>
          <w:tcPr>
            <w:tcW w:w="6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76,053,574</w:t>
            </w:r>
          </w:p>
        </w:tc>
        <w:tc>
          <w:tcPr>
            <w:tcW w:w="2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74,392,156</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(Notes 7 and 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5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215,043,069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210,020,702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(100,000,000 authorized; 28,338,580 and</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28,429,499 issued and outstanding, respectively)</w:t>
            </w:r>
          </w:p>
        </w:tc>
        <w:tc>
          <w:tcPr>
            <w:tcW w:w="5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283,386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284,295</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Paid-in capital in excess of par</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331,306,021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330,899,254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investment loss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(69,054,370)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(64,832,605)</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net realized gain on investments, net of distributions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2,741,808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2,552,465</w:t>
            </w:r>
          </w:p>
        </w:tc>
        <w:tc>
          <w:tcPr>
            <w:tcW w:w="0" w:type="dxa"/>
            <w:vAlign w:val="bottom"/>
          </w:tcPr>
          <w:p>
            <w:pPr>
              <w:spacing w:after="0"/>
              <w:rPr>
                <w:sz w:val="1"/>
                <w:szCs w:val="1"/>
                <w:color w:val="auto"/>
              </w:rPr>
            </w:pPr>
          </w:p>
        </w:tc>
      </w:tr>
      <w:tr>
        <w:trPr>
          <w:trHeight w:val="25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unrealized appreciation/(depreciation) of investments</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(50,233,776)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(58,882,707)</w:t>
            </w:r>
          </w:p>
        </w:tc>
        <w:tc>
          <w:tcPr>
            <w:tcW w:w="0" w:type="dxa"/>
            <w:vAlign w:val="bottom"/>
          </w:tcPr>
          <w:p>
            <w:pPr>
              <w:spacing w:after="0"/>
              <w:rPr>
                <w:sz w:val="1"/>
                <w:szCs w:val="1"/>
                <w:color w:val="auto"/>
              </w:rPr>
            </w:pPr>
          </w:p>
        </w:tc>
      </w:tr>
      <w:tr>
        <w:trPr>
          <w:trHeight w:val="257"/>
        </w:trPr>
        <w:tc>
          <w:tcPr>
            <w:tcW w:w="6700" w:type="dxa"/>
            <w:vAlign w:val="bottom"/>
            <w:tcBorders>
              <w:top w:val="single" w:sz="8" w:color="CCEEFF"/>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8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215,043,069</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210,020,702</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7.59</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21431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4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balance includes a right of use asset and corresponding operating lease liability, respectively. Refer to “Note 7—Commitments and Contingencies</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Operating Leases and Related Deposits</w:t>
      </w:r>
      <w:r>
        <w:rPr>
          <w:rFonts w:ascii="Times New Roman" w:cs="Times New Roman" w:eastAsia="Times New Roman" w:hAnsi="Times New Roman"/>
          <w:sz w:val="18"/>
          <w:szCs w:val="18"/>
          <w:color w:val="auto"/>
        </w:rPr>
        <w:t>” for more detail.</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2023, the 6.00% Notes due December 30, 2026 (effective interest rate of 6.53%) had a face value $75,000,000. As of December 31, 2022, the 6.00% Notes due December 30, 2026 (effective interest rate of 6.53%) had a face value $75,000,000. Refer to “Note 10—Debt Capital Activities” for a reconciliation of the carrying value to the face value.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36"/>
        </w:trPr>
        <w:tc>
          <w:tcPr>
            <w:tcW w:w="64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Non-controlled/non-affiliate investments:</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49,475</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162,455</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63,145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130,645</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Controlled investments:</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290,000</w:t>
            </w:r>
          </w:p>
        </w:tc>
        <w:tc>
          <w:tcPr>
            <w:tcW w:w="0" w:type="dxa"/>
            <w:vAlign w:val="bottom"/>
          </w:tcPr>
          <w:p>
            <w:pPr>
              <w:spacing w:after="0"/>
              <w:rPr>
                <w:sz w:val="1"/>
                <w:szCs w:val="1"/>
                <w:color w:val="auto"/>
              </w:rPr>
            </w:pPr>
          </w:p>
        </w:tc>
      </w:tr>
      <w:tr>
        <w:trPr>
          <w:trHeight w:val="24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U.S. Treasury bills</w:t>
            </w:r>
          </w:p>
        </w:tc>
        <w:tc>
          <w:tcPr>
            <w:tcW w:w="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950,462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Investment Income</w:t>
            </w:r>
          </w:p>
        </w:tc>
        <w:tc>
          <w:tcPr>
            <w:tcW w:w="56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1,299,082</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583,100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2,136,754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1,860,702</w:t>
            </w:r>
          </w:p>
        </w:tc>
        <w:tc>
          <w:tcPr>
            <w:tcW w:w="0" w:type="dxa"/>
            <w:vAlign w:val="bottom"/>
          </w:tcPr>
          <w:p>
            <w:pPr>
              <w:spacing w:after="0"/>
              <w:rPr>
                <w:sz w:val="1"/>
                <w:szCs w:val="1"/>
                <w:color w:val="auto"/>
              </w:rPr>
            </w:pPr>
          </w:p>
        </w:tc>
      </w:tr>
      <w:tr>
        <w:trPr>
          <w:trHeight w:val="257"/>
        </w:trPr>
        <w:tc>
          <w:tcPr>
            <w:tcW w:w="6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Directors’ fees </w:t>
            </w:r>
            <w:r>
              <w:rPr>
                <w:rFonts w:ascii="Times New Roman" w:cs="Times New Roman" w:eastAsia="Times New Roman" w:hAnsi="Times New Roman"/>
                <w:sz w:val="29"/>
                <w:szCs w:val="29"/>
                <w:color w:val="auto"/>
                <w:vertAlign w:val="superscript"/>
              </w:rPr>
              <w:t>(1)</w:t>
            </w:r>
          </w:p>
        </w:tc>
        <w:tc>
          <w:tcPr>
            <w:tcW w:w="5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160,565</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160,565</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990,834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1,272,713</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1,213,286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1,200,786</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529,780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2,050</w:t>
            </w:r>
          </w:p>
        </w:tc>
        <w:tc>
          <w:tcPr>
            <w:tcW w:w="0" w:type="dxa"/>
            <w:vAlign w:val="bottom"/>
          </w:tcPr>
          <w:p>
            <w:pPr>
              <w:spacing w:after="0"/>
              <w:rPr>
                <w:sz w:val="1"/>
                <w:szCs w:val="1"/>
                <w:color w:val="auto"/>
              </w:rPr>
            </w:pPr>
          </w:p>
        </w:tc>
      </w:tr>
      <w:tr>
        <w:trPr>
          <w:trHeight w:val="24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489,628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310,989</w:t>
            </w: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5,520,847</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4,807,805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Investment Loss</w:t>
            </w:r>
          </w:p>
        </w:tc>
        <w:tc>
          <w:tcPr>
            <w:tcW w:w="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(4,221,765)</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(4,224,705)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Realized Gain on Investments:</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Non-controlled/non-affiliated investments</w:t>
            </w:r>
          </w:p>
        </w:tc>
        <w:tc>
          <w:tcPr>
            <w:tcW w:w="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189,343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3,096,275</w:t>
            </w:r>
          </w:p>
        </w:tc>
        <w:tc>
          <w:tcPr>
            <w:tcW w:w="0" w:type="dxa"/>
            <w:vAlign w:val="bottom"/>
          </w:tcPr>
          <w:p>
            <w:pPr>
              <w:spacing w:after="0"/>
              <w:rPr>
                <w:sz w:val="1"/>
                <w:szCs w:val="1"/>
                <w:color w:val="auto"/>
              </w:rPr>
            </w:pPr>
          </w:p>
        </w:tc>
      </w:tr>
      <w:tr>
        <w:trPr>
          <w:trHeight w:val="203"/>
        </w:trPr>
        <w:tc>
          <w:tcPr>
            <w:tcW w:w="642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Net Realized Gain on Investments</w:t>
            </w:r>
          </w:p>
        </w:tc>
        <w:tc>
          <w:tcPr>
            <w:tcW w:w="56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189,343</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3,096,275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Unrealized Appreciation/(Depreciation) of Investments:</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Non-controlled/non-affiliated investments</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(2,063,577)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21,743,987</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Non-controlled/affiliate investments</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(1,320,364)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(289,102)</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Controlled investments</w:t>
            </w: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12,032,872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130,000</w:t>
            </w:r>
          </w:p>
        </w:tc>
        <w:tc>
          <w:tcPr>
            <w:tcW w:w="0" w:type="dxa"/>
            <w:vAlign w:val="bottom"/>
          </w:tcPr>
          <w:p>
            <w:pPr>
              <w:spacing w:after="0"/>
              <w:rPr>
                <w:sz w:val="1"/>
                <w:szCs w:val="1"/>
                <w:color w:val="auto"/>
              </w:rPr>
            </w:pPr>
          </w:p>
        </w:tc>
      </w:tr>
      <w:tr>
        <w:trPr>
          <w:trHeight w:val="236"/>
        </w:trPr>
        <w:tc>
          <w:tcPr>
            <w:tcW w:w="6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Appreciation/(Depreciation) of Investments</w:t>
            </w:r>
          </w:p>
        </w:tc>
        <w:tc>
          <w:tcPr>
            <w:tcW w:w="56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8,648,931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21,584,885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Change in Net Assets Resulting from Operations</w:t>
            </w:r>
          </w:p>
        </w:tc>
        <w:tc>
          <w:tcPr>
            <w:tcW w:w="5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4,616,509</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20,456,455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Net Change in Net Assets Resulting from Operations per Common Share:</w:t>
            </w: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0.16</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vMerge w:val="restart"/>
            <w:shd w:val="clear" w:color="auto" w:fill="CCEEFF"/>
          </w:tcPr>
          <w:p>
            <w:pPr>
              <w:ind w:left="360"/>
              <w:spacing w:after="0" w:line="256"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9"/>
                <w:szCs w:val="29"/>
                <w:color w:val="auto"/>
                <w:vertAlign w:val="superscript"/>
              </w:rPr>
              <w:t>(2)</w:t>
            </w: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20" w:type="dxa"/>
            <w:vAlign w:val="bottom"/>
            <w:vMerge w:val="continue"/>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0.16</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28,378,529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31,228,046</w:t>
            </w:r>
          </w:p>
        </w:tc>
        <w:tc>
          <w:tcPr>
            <w:tcW w:w="0" w:type="dxa"/>
            <w:vAlign w:val="bottom"/>
          </w:tcPr>
          <w:p>
            <w:pPr>
              <w:spacing w:after="0"/>
              <w:rPr>
                <w:sz w:val="1"/>
                <w:szCs w:val="1"/>
                <w:color w:val="auto"/>
              </w:rPr>
            </w:pPr>
          </w:p>
        </w:tc>
      </w:tr>
      <w:tr>
        <w:trPr>
          <w:trHeight w:val="394"/>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9"/>
                <w:szCs w:val="29"/>
                <w:color w:val="auto"/>
                <w:vertAlign w:val="superscript"/>
              </w:rPr>
              <w:t>(2)</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28,378,529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31,228,046</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21431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4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11 — Stock-Based Compensation” for more detail.</w:t>
      </w:r>
    </w:p>
    <w:p>
      <w:pPr>
        <w:spacing w:after="0" w:line="27"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2023 and March 31, 2022, there were no potentially dilutive securities outstanding. Refer to “Note 6 — Net Change in Net Assets Resulting from Operations per Common Share — Basic and Diluted”.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NET ASSETS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20" w:type="dxa"/>
            <w:vAlign w:val="bottom"/>
            <w:gridSpan w:val="7"/>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6"/>
        </w:trPr>
        <w:tc>
          <w:tcPr>
            <w:tcW w:w="60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at Beginning of Year</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210,020,702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364,846,624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Net Assets Resulting from Operations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loss</w:t>
            </w:r>
          </w:p>
        </w:tc>
        <w:tc>
          <w:tcPr>
            <w:tcW w:w="13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(4,221,765)</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(4,224,705)</w:t>
            </w:r>
          </w:p>
        </w:tc>
      </w:tr>
      <w:tr>
        <w:trPr>
          <w:trHeight w:val="21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realized gain on investments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189,343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3,096,275</w:t>
            </w:r>
          </w:p>
        </w:tc>
        <w:tc>
          <w:tcPr>
            <w:tcW w:w="80" w:type="dxa"/>
            <w:vAlign w:val="bottom"/>
            <w:shd w:val="clear" w:color="auto" w:fill="CCEEFF"/>
          </w:tcPr>
          <w:p>
            <w:pPr>
              <w:spacing w:after="0"/>
              <w:rPr>
                <w:sz w:val="18"/>
                <w:szCs w:val="18"/>
                <w:color w:val="auto"/>
              </w:rPr>
            </w:pP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unrealized appreciation/(depreciation) of investments</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8,648,931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21,584,885</w:t>
            </w:r>
          </w:p>
        </w:tc>
        <w:tc>
          <w:tcPr>
            <w:tcW w:w="80" w:type="dxa"/>
            <w:vAlign w:val="bottom"/>
          </w:tcPr>
          <w:p>
            <w:pPr>
              <w:spacing w:after="0"/>
              <w:rPr>
                <w:sz w:val="20"/>
                <w:szCs w:val="20"/>
                <w:color w:val="auto"/>
              </w:rPr>
            </w:pPr>
          </w:p>
        </w:tc>
      </w:tr>
      <w:tr>
        <w:trPr>
          <w:trHeight w:val="216"/>
        </w:trPr>
        <w:tc>
          <w:tcPr>
            <w:tcW w:w="60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Change in Net Assets Resulting from Operations</w:t>
            </w:r>
          </w:p>
        </w:tc>
        <w:tc>
          <w:tcPr>
            <w:tcW w:w="9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4,616,509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20,456,455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w:t>
            </w: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(3,441,825)</w:t>
            </w:r>
          </w:p>
        </w:tc>
      </w:tr>
      <w:tr>
        <w:trPr>
          <w:trHeight w:val="203"/>
        </w:trPr>
        <w:tc>
          <w:tcPr>
            <w:tcW w:w="606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Total Distributions</w:t>
            </w:r>
          </w:p>
        </w:tc>
        <w:tc>
          <w:tcPr>
            <w:tcW w:w="9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(3,441,825)</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Net Assets Resulting from Capital Transactions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public offering</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229,896</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405,858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(30,016)</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(1,359,607)</w:t>
            </w:r>
          </w:p>
        </w:tc>
      </w:tr>
      <w:tr>
        <w:trPr>
          <w:trHeight w:val="236"/>
        </w:trPr>
        <w:tc>
          <w:tcPr>
            <w:tcW w:w="60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Change in Net Assets Resulting from Capital Transactions</w:t>
            </w: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405,858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(1,159,727</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60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Change in Net Assets</w:t>
            </w: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5,022,367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15,854,903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at March 31</w:t>
            </w:r>
          </w:p>
        </w:tc>
        <w:tc>
          <w:tcPr>
            <w:tcW w:w="13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215,043,069</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380,701,527</w:t>
            </w:r>
          </w:p>
        </w:tc>
        <w:tc>
          <w:tcPr>
            <w:tcW w:w="80" w:type="dxa"/>
            <w:vAlign w:val="bottom"/>
            <w:shd w:val="clear" w:color="auto" w:fill="CCEEFF"/>
          </w:tcPr>
          <w:p>
            <w:pPr>
              <w:spacing w:after="0"/>
              <w:rPr>
                <w:sz w:val="21"/>
                <w:szCs w:val="2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Share Activity</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outstanding at beginning of year</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28,429,499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31,118,556</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public offering</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17,807</w:t>
            </w:r>
          </w:p>
        </w:tc>
        <w:tc>
          <w:tcPr>
            <w:tcW w:w="80" w:type="dxa"/>
            <w:vAlign w:val="bottom"/>
            <w:shd w:val="clear" w:color="auto" w:fill="CCEEFF"/>
          </w:tcPr>
          <w:p>
            <w:pPr>
              <w:spacing w:after="0"/>
              <w:rPr>
                <w:sz w:val="18"/>
                <w:szCs w:val="18"/>
                <w:color w:val="auto"/>
              </w:rPr>
            </w:pPr>
          </w:p>
        </w:tc>
      </w:tr>
      <w:tr>
        <w:trPr>
          <w:trHeight w:val="257"/>
        </w:trPr>
        <w:tc>
          <w:tcPr>
            <w:tcW w:w="60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Issuance of common stock under restricted stock plan, net</w:t>
            </w:r>
            <w:r>
              <w:rPr>
                <w:rFonts w:ascii="Times New Roman" w:cs="Times New Roman" w:eastAsia="Times New Roman" w:hAnsi="Times New Roman"/>
                <w:sz w:val="29"/>
                <w:szCs w:val="29"/>
                <w:color w:val="auto"/>
                <w:vertAlign w:val="superscript"/>
              </w:rPr>
              <w:t>(1)</w:t>
            </w: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(90,919)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181,597</w:t>
            </w:r>
          </w:p>
        </w:tc>
        <w:tc>
          <w:tcPr>
            <w:tcW w:w="80" w:type="dxa"/>
            <w:vAlign w:val="bottom"/>
          </w:tcPr>
          <w:p>
            <w:pPr>
              <w:spacing w:after="0"/>
              <w:rPr>
                <w:sz w:val="22"/>
                <w:szCs w:val="22"/>
                <w:color w:val="auto"/>
              </w:rPr>
            </w:pPr>
          </w:p>
        </w:tc>
      </w:tr>
      <w:tr>
        <w:trPr>
          <w:trHeight w:val="250"/>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repurchased</w:t>
            </w: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(153,517)</w:t>
            </w:r>
          </w:p>
        </w:tc>
      </w:tr>
      <w:tr>
        <w:trPr>
          <w:trHeight w:val="217"/>
        </w:trPr>
        <w:tc>
          <w:tcPr>
            <w:tcW w:w="6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Shares Outstanding at End of Period</w:t>
            </w: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28,338,580</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31,164,443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Refer to “Note 11 — Stock-Based Compensation” for more detail.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6"/>
        </w:trPr>
        <w:tc>
          <w:tcPr>
            <w:tcW w:w="67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net assets resulting from operations</w:t>
            </w:r>
          </w:p>
        </w:tc>
        <w:tc>
          <w:tcPr>
            <w:tcW w:w="7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4,616,509</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20,456,455</w:t>
            </w:r>
          </w:p>
        </w:tc>
      </w:tr>
      <w:tr>
        <w:trPr>
          <w:trHeight w:val="198"/>
        </w:trPr>
        <w:tc>
          <w:tcPr>
            <w:tcW w:w="6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change in net assets resulting from operations to net cash</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provided by/(used in) operating activities:</w:t>
            </w: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realized gain on investments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(189,343)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(3,096,275)</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unrealized (appreciation) of investments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(8,648,931)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(21,584,885)</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discount on 6.00% Notes due 2026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104,936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104,940</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405,858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(30,016)</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escrow proceeds receivable</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108,394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2,751,610</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on U.S. Treasury bills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(458,580)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investments in:</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Portfolio investments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(2,003,698)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Treasury bills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(35,497,676)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or maturity of investments in:</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Portfolio investments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2,860,159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1,287,722</w:t>
            </w: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bills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45,000,118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72,804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147,773</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dividends receivable</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33,758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(4,160)</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receivable</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52,493</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Escrow proceeds receivable</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18,647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(2,530,873)</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 for securities purchased</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460,048</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1,680,946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774,341</w:t>
            </w:r>
          </w:p>
        </w:tc>
      </w:tr>
      <w:tr>
        <w:trPr>
          <w:trHeight w:val="25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r>
      <w:tr>
        <w:trPr>
          <w:trHeight w:val="210"/>
        </w:trPr>
        <w:tc>
          <w:tcPr>
            <w:tcW w:w="67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by/(Used in) Operating Activities</w:t>
            </w:r>
          </w:p>
        </w:tc>
        <w:tc>
          <w:tcPr>
            <w:tcW w:w="28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8,103,901</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(1,385,827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common stock, net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229,896</w:t>
            </w:r>
          </w:p>
        </w:tc>
      </w:tr>
      <w:tr>
        <w:trPr>
          <w:trHeight w:val="24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(1,359,607)</w:t>
            </w:r>
          </w:p>
        </w:tc>
      </w:tr>
      <w:tr>
        <w:trPr>
          <w:trHeight w:val="210"/>
        </w:trPr>
        <w:tc>
          <w:tcPr>
            <w:tcW w:w="67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dividends paid</w:t>
            </w:r>
          </w:p>
        </w:tc>
        <w:tc>
          <w:tcPr>
            <w:tcW w:w="28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(107,823</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(23,080,859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7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(107,823</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(24,212,110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Increase/(Decrease) in Cash Balance</w:t>
            </w:r>
          </w:p>
        </w:tc>
        <w:tc>
          <w:tcPr>
            <w:tcW w:w="2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7,996,078</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(25,597,937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7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Balance at Beginning of Year</w:t>
            </w: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40,117,598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198,437,078</w:t>
            </w:r>
          </w:p>
        </w:tc>
        <w:tc>
          <w:tcPr>
            <w:tcW w:w="100" w:type="dxa"/>
            <w:vAlign w:val="bottom"/>
            <w:tcBorders>
              <w:bottom w:val="single" w:sz="8" w:color="CCEEFF"/>
            </w:tcBorders>
          </w:tcPr>
          <w:p>
            <w:pPr>
              <w:spacing w:after="0"/>
              <w:rPr>
                <w:sz w:val="18"/>
                <w:szCs w:val="18"/>
                <w:color w:val="auto"/>
              </w:rPr>
            </w:pPr>
          </w:p>
        </w:tc>
      </w:tr>
      <w:tr>
        <w:trPr>
          <w:trHeight w:val="236"/>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Balance at End of Period</w:t>
            </w:r>
          </w:p>
        </w:tc>
        <w:tc>
          <w:tcPr>
            <w:tcW w:w="2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48,113,676</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172,839,141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67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ind w:left="400"/>
              <w:spacing w:after="0" w:line="203" w:lineRule="exact"/>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30"/>
              <w:spacing w:after="0" w:line="203"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1,287,500</w:t>
            </w:r>
          </w:p>
        </w:tc>
        <w:tc>
          <w:tcPr>
            <w:tcW w:w="100" w:type="dxa"/>
            <w:vAlign w:val="bottom"/>
            <w:shd w:val="clear" w:color="auto" w:fill="CCEEFF"/>
          </w:tcPr>
          <w:p>
            <w:pPr>
              <w:spacing w:after="0"/>
              <w:rPr>
                <w:sz w:val="18"/>
                <w:szCs w:val="18"/>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Taxes paid</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4,314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2,050</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2660"/>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CONDENSED CONSOLIDATED SCHEDULE OF INVESTMENTS (UNAUDITED) March 31, 2023</w:t>
      </w:r>
    </w:p>
    <w:p>
      <w:pPr>
        <w:sectPr>
          <w:pgSz w:w="11900" w:h="16838" w:orient="portrait"/>
          <w:cols w:equalWidth="0" w:num="1">
            <w:col w:w="11220"/>
          </w:cols>
          <w:pgMar w:left="320" w:top="229" w:right="359" w:bottom="1440" w:gutter="0" w:footer="0" w:header="0"/>
        </w:sect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Date of</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0" w:type="dxa"/>
            <w:vAlign w:val="bottom"/>
          </w:tcPr>
          <w:p>
            <w:pPr>
              <w:spacing w:after="0"/>
              <w:rPr>
                <w:sz w:val="1"/>
                <w:szCs w:val="1"/>
                <w:color w:val="auto"/>
              </w:rPr>
            </w:pPr>
          </w:p>
        </w:tc>
      </w:tr>
      <w:tr>
        <w:trPr>
          <w:trHeight w:val="245"/>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194"/>
        </w:trPr>
        <w:tc>
          <w:tcPr>
            <w:tcW w:w="3200" w:type="dxa"/>
            <w:vAlign w:val="bottom"/>
            <w:tcBorders>
              <w:top w:val="single" w:sz="8" w:color="auto"/>
            </w:tcBorders>
            <w:gridSpan w:val="16"/>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NON-CONTROLLED/NON-</w:t>
            </w:r>
          </w:p>
        </w:tc>
        <w:tc>
          <w:tcPr>
            <w:tcW w:w="20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60" w:type="dxa"/>
            <w:vAlign w:val="bottom"/>
            <w:tcBorders>
              <w:bottom w:val="single" w:sz="8" w:color="auto"/>
            </w:tcBorders>
            <w:gridSpan w:val="12"/>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Learneo, Inc. (f/k/a Course Hero, Inc.)</w:t>
            </w:r>
          </w:p>
        </w:tc>
        <w:tc>
          <w:tcPr>
            <w:tcW w:w="440" w:type="dxa"/>
            <w:vAlign w:val="bottom"/>
            <w:gridSpan w:val="5"/>
          </w:tcPr>
          <w:p>
            <w:pPr>
              <w:spacing w:after="0"/>
              <w:rPr>
                <w:sz w:val="17"/>
                <w:szCs w:val="17"/>
                <w:color w:val="auto"/>
              </w:rPr>
            </w:pPr>
          </w:p>
        </w:tc>
        <w:tc>
          <w:tcPr>
            <w:tcW w:w="214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Redwood City, CA</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Preferred shares, Series A 8%</w:t>
            </w:r>
          </w:p>
        </w:tc>
        <w:tc>
          <w:tcPr>
            <w:tcW w:w="2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Online Education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9/18/2014</w:t>
            </w:r>
          </w:p>
        </w:tc>
        <w:tc>
          <w:tcPr>
            <w:tcW w:w="0" w:type="dxa"/>
            <w:vAlign w:val="bottom"/>
          </w:tcPr>
          <w:p>
            <w:pPr>
              <w:spacing w:after="0"/>
              <w:rPr>
                <w:sz w:val="1"/>
                <w:szCs w:val="1"/>
                <w:color w:val="auto"/>
              </w:rPr>
            </w:pPr>
          </w:p>
        </w:tc>
      </w:tr>
      <w:tr>
        <w:trPr>
          <w:trHeight w:val="234"/>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Preferred shares, Series C 8%</w:t>
            </w: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11/5/2021</w:t>
            </w:r>
          </w:p>
        </w:tc>
        <w:tc>
          <w:tcPr>
            <w:tcW w:w="0" w:type="dxa"/>
            <w:vAlign w:val="bottom"/>
          </w:tcPr>
          <w:p>
            <w:pPr>
              <w:spacing w:after="0"/>
              <w:rPr>
                <w:sz w:val="1"/>
                <w:szCs w:val="1"/>
                <w:color w:val="auto"/>
              </w:rPr>
            </w:pPr>
          </w:p>
        </w:tc>
      </w:tr>
      <w:tr>
        <w:trPr>
          <w:trHeight w:val="243"/>
        </w:trPr>
        <w:tc>
          <w:tcPr>
            <w:tcW w:w="340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Blink Health, Inc.</w:t>
            </w: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New York, NY</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Pharmaceutical</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Preferred shares, Series A</w:t>
            </w: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Technology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10/27/2020</w:t>
            </w:r>
          </w:p>
        </w:tc>
        <w:tc>
          <w:tcPr>
            <w:tcW w:w="0" w:type="dxa"/>
            <w:vAlign w:val="bottom"/>
          </w:tcPr>
          <w:p>
            <w:pPr>
              <w:spacing w:after="0"/>
              <w:rPr>
                <w:sz w:val="1"/>
                <w:szCs w:val="1"/>
                <w:color w:val="auto"/>
              </w:rPr>
            </w:pPr>
          </w:p>
        </w:tc>
      </w:tr>
      <w:tr>
        <w:trPr>
          <w:trHeight w:val="243"/>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Preferred shares, Series C</w:t>
            </w: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10/27/2020</w:t>
            </w:r>
          </w:p>
        </w:tc>
        <w:tc>
          <w:tcPr>
            <w:tcW w:w="0" w:type="dxa"/>
            <w:vAlign w:val="bottom"/>
          </w:tcPr>
          <w:p>
            <w:pPr>
              <w:spacing w:after="0"/>
              <w:rPr>
                <w:sz w:val="1"/>
                <w:szCs w:val="1"/>
                <w:color w:val="auto"/>
              </w:rPr>
            </w:pPr>
          </w:p>
        </w:tc>
      </w:tr>
      <w:tr>
        <w:trPr>
          <w:trHeight w:val="243"/>
        </w:trPr>
        <w:tc>
          <w:tcPr>
            <w:tcW w:w="340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w w:val="99"/>
              </w:rPr>
              <w:t>Locus Robotics Corp.</w:t>
            </w:r>
          </w:p>
        </w:tc>
        <w:tc>
          <w:tcPr>
            <w:tcW w:w="1720" w:type="dxa"/>
            <w:vAlign w:val="bottom"/>
            <w:gridSpan w:val="8"/>
          </w:tcPr>
          <w:p>
            <w:pPr>
              <w:spacing w:after="0"/>
              <w:rPr>
                <w:sz w:val="18"/>
                <w:szCs w:val="18"/>
                <w:color w:val="auto"/>
              </w:rPr>
            </w:pP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Wilmington, MA</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Preferred shares, Series F 6%</w:t>
            </w:r>
          </w:p>
        </w:tc>
        <w:tc>
          <w:tcPr>
            <w:tcW w:w="2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Warehouse Automation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11/30/2022</w:t>
            </w:r>
          </w:p>
        </w:tc>
        <w:tc>
          <w:tcPr>
            <w:tcW w:w="0" w:type="dxa"/>
            <w:vAlign w:val="bottom"/>
          </w:tcPr>
          <w:p>
            <w:pPr>
              <w:spacing w:after="0"/>
              <w:rPr>
                <w:sz w:val="1"/>
                <w:szCs w:val="1"/>
                <w:color w:val="auto"/>
              </w:rPr>
            </w:pPr>
          </w:p>
        </w:tc>
      </w:tr>
      <w:tr>
        <w:trPr>
          <w:trHeight w:val="235"/>
        </w:trPr>
        <w:tc>
          <w:tcPr>
            <w:tcW w:w="3400" w:type="dxa"/>
            <w:vAlign w:val="bottom"/>
            <w:gridSpan w:val="17"/>
          </w:tcPr>
          <w:p>
            <w:pPr>
              <w:spacing w:after="0" w:line="235" w:lineRule="exact"/>
              <w:rPr>
                <w:sz w:val="20"/>
                <w:szCs w:val="20"/>
                <w:color w:val="auto"/>
              </w:rPr>
            </w:pPr>
            <w:r>
              <w:rPr>
                <w:rFonts w:ascii="Times New Roman" w:cs="Times New Roman" w:eastAsia="Times New Roman" w:hAnsi="Times New Roman"/>
                <w:sz w:val="17"/>
                <w:szCs w:val="17"/>
                <w:b w:val="1"/>
                <w:bCs w:val="1"/>
                <w:color w:val="auto"/>
              </w:rPr>
              <w:t>Orchard Technologies, Inc.</w:t>
            </w:r>
            <w:r>
              <w:rPr>
                <w:rFonts w:ascii="Times New Roman" w:cs="Times New Roman" w:eastAsia="Times New Roman" w:hAnsi="Times New Roman"/>
                <w:sz w:val="27"/>
                <w:szCs w:val="27"/>
                <w:b w:val="1"/>
                <w:bCs w:val="1"/>
                <w:color w:val="auto"/>
                <w:vertAlign w:val="superscript"/>
              </w:rPr>
              <w:t>(14)</w:t>
            </w: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New York, NY</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Preferred shares, Series D 8%</w:t>
            </w: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Real Estate Platform</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8/9/2021</w:t>
            </w:r>
          </w:p>
        </w:tc>
        <w:tc>
          <w:tcPr>
            <w:tcW w:w="0" w:type="dxa"/>
            <w:vAlign w:val="bottom"/>
          </w:tcPr>
          <w:p>
            <w:pPr>
              <w:spacing w:after="0"/>
              <w:rPr>
                <w:sz w:val="1"/>
                <w:szCs w:val="1"/>
                <w:color w:val="auto"/>
              </w:rPr>
            </w:pPr>
          </w:p>
        </w:tc>
      </w:tr>
      <w:tr>
        <w:trPr>
          <w:trHeight w:val="216"/>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Senior Preferred shares, Series 2</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8/9/2021</w:t>
            </w:r>
          </w:p>
        </w:tc>
        <w:tc>
          <w:tcPr>
            <w:tcW w:w="0" w:type="dxa"/>
            <w:vAlign w:val="bottom"/>
          </w:tcPr>
          <w:p>
            <w:pPr>
              <w:spacing w:after="0"/>
              <w:rPr>
                <w:sz w:val="1"/>
                <w:szCs w:val="1"/>
                <w:color w:val="auto"/>
              </w:rPr>
            </w:pPr>
          </w:p>
        </w:tc>
      </w:tr>
      <w:tr>
        <w:trPr>
          <w:trHeight w:val="216"/>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Senior Preferred shares, Series 1 7%</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1/13/2023</w:t>
            </w:r>
          </w:p>
        </w:tc>
        <w:tc>
          <w:tcPr>
            <w:tcW w:w="0" w:type="dxa"/>
            <w:vAlign w:val="bottom"/>
          </w:tcPr>
          <w:p>
            <w:pPr>
              <w:spacing w:after="0"/>
              <w:rPr>
                <w:sz w:val="1"/>
                <w:szCs w:val="1"/>
                <w:color w:val="auto"/>
              </w:rPr>
            </w:pPr>
          </w:p>
        </w:tc>
      </w:tr>
      <w:tr>
        <w:trPr>
          <w:trHeight w:val="234"/>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8/9/2021</w:t>
            </w:r>
          </w:p>
        </w:tc>
        <w:tc>
          <w:tcPr>
            <w:tcW w:w="0" w:type="dxa"/>
            <w:vAlign w:val="bottom"/>
          </w:tcPr>
          <w:p>
            <w:pPr>
              <w:spacing w:after="0"/>
              <w:rPr>
                <w:sz w:val="1"/>
                <w:szCs w:val="1"/>
                <w:color w:val="auto"/>
              </w:rPr>
            </w:pPr>
          </w:p>
        </w:tc>
      </w:tr>
      <w:tr>
        <w:trPr>
          <w:trHeight w:val="234"/>
        </w:trPr>
        <w:tc>
          <w:tcPr>
            <w:tcW w:w="340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60" w:type="dxa"/>
            <w:vAlign w:val="bottom"/>
            <w:tcBorders>
              <w:bottom w:val="single" w:sz="8" w:color="auto"/>
            </w:tcBorders>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Whoop, Inc.</w:t>
            </w:r>
          </w:p>
        </w:tc>
        <w:tc>
          <w:tcPr>
            <w:tcW w:w="2440" w:type="dxa"/>
            <w:vAlign w:val="bottom"/>
            <w:gridSpan w:val="14"/>
          </w:tcPr>
          <w:p>
            <w:pPr>
              <w:spacing w:after="0"/>
              <w:rPr>
                <w:sz w:val="17"/>
                <w:szCs w:val="17"/>
                <w:color w:val="auto"/>
              </w:rPr>
            </w:pPr>
          </w:p>
        </w:tc>
        <w:tc>
          <w:tcPr>
            <w:tcW w:w="214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8"/>
              </w:rPr>
              <w:t>Boston, MA</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Preferred shares, Series C</w:t>
            </w: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Fitness Technology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6/30/2022</w:t>
            </w:r>
          </w:p>
        </w:tc>
        <w:tc>
          <w:tcPr>
            <w:tcW w:w="0" w:type="dxa"/>
            <w:vAlign w:val="bottom"/>
          </w:tcPr>
          <w:p>
            <w:pPr>
              <w:spacing w:after="0"/>
              <w:rPr>
                <w:sz w:val="1"/>
                <w:szCs w:val="1"/>
                <w:color w:val="auto"/>
              </w:rPr>
            </w:pPr>
          </w:p>
        </w:tc>
      </w:tr>
      <w:tr>
        <w:trPr>
          <w:trHeight w:val="198"/>
        </w:trPr>
        <w:tc>
          <w:tcPr>
            <w:tcW w:w="3400" w:type="dxa"/>
            <w:vAlign w:val="bottom"/>
            <w:gridSpan w:val="17"/>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Varo Money, Inc.**</w:t>
            </w:r>
          </w:p>
        </w:tc>
        <w:tc>
          <w:tcPr>
            <w:tcW w:w="214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rPr>
              <w:t>San Francisco, CA</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50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900" w:type="dxa"/>
            <w:vAlign w:val="bottom"/>
            <w:gridSpan w:val="10"/>
          </w:tcPr>
          <w:p>
            <w:pPr>
              <w:spacing w:after="0"/>
              <w:rPr>
                <w:sz w:val="18"/>
                <w:szCs w:val="18"/>
                <w:color w:val="auto"/>
              </w:rPr>
            </w:pP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Financial Services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8/11/2021</w:t>
            </w:r>
          </w:p>
        </w:tc>
        <w:tc>
          <w:tcPr>
            <w:tcW w:w="0" w:type="dxa"/>
            <w:vAlign w:val="bottom"/>
          </w:tcPr>
          <w:p>
            <w:pPr>
              <w:spacing w:after="0"/>
              <w:rPr>
                <w:sz w:val="1"/>
                <w:szCs w:val="1"/>
                <w:color w:val="auto"/>
              </w:rPr>
            </w:pPr>
          </w:p>
        </w:tc>
      </w:tr>
      <w:tr>
        <w:trPr>
          <w:trHeight w:val="167"/>
        </w:trPr>
        <w:tc>
          <w:tcPr>
            <w:tcW w:w="14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Forge Global, Inc.</w:t>
            </w:r>
          </w:p>
        </w:tc>
        <w:tc>
          <w:tcPr>
            <w:tcW w:w="160" w:type="dxa"/>
            <w:vAlign w:val="bottom"/>
            <w:tcBorders>
              <w:bottom w:val="single" w:sz="8" w:color="auto"/>
            </w:tcBorders>
            <w:gridSpan w:val="2"/>
          </w:tcPr>
          <w:p>
            <w:pPr>
              <w:jc w:val="right"/>
              <w:spacing w:after="0" w:line="147" w:lineRule="exact"/>
              <w:rPr>
                <w:sz w:val="20"/>
                <w:szCs w:val="20"/>
                <w:color w:val="auto"/>
              </w:rPr>
            </w:pPr>
            <w:r>
              <w:rPr>
                <w:rFonts w:ascii="Times New Roman" w:cs="Times New Roman" w:eastAsia="Times New Roman" w:hAnsi="Times New Roman"/>
                <w:sz w:val="15"/>
                <w:szCs w:val="15"/>
                <w:b w:val="1"/>
                <w:bCs w:val="1"/>
                <w:color w:val="auto"/>
                <w:w w:val="93"/>
              </w:rPr>
              <w:t>**</w:t>
            </w:r>
          </w:p>
        </w:tc>
        <w:tc>
          <w:tcPr>
            <w:tcW w:w="36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900" w:type="dxa"/>
            <w:vAlign w:val="bottom"/>
            <w:gridSpan w:val="2"/>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320" w:type="dxa"/>
            <w:vAlign w:val="bottom"/>
            <w:gridSpan w:val="2"/>
            <w:vMerge w:val="restart"/>
          </w:tcPr>
          <w:p>
            <w:pPr>
              <w:spacing w:after="0"/>
              <w:rPr>
                <w:sz w:val="14"/>
                <w:szCs w:val="14"/>
                <w:color w:val="auto"/>
              </w:rPr>
            </w:pPr>
          </w:p>
        </w:tc>
        <w:tc>
          <w:tcPr>
            <w:tcW w:w="2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rPr>
              <w:t>San Francisco, CA</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400" w:type="dxa"/>
            <w:vAlign w:val="bottom"/>
            <w:tcBorders>
              <w:bottom w:val="single" w:sz="8" w:color="auto"/>
            </w:tcBorders>
            <w:gridSpan w:val="6"/>
            <w:vMerge w:val="continue"/>
          </w:tcPr>
          <w:p>
            <w:pPr>
              <w:spacing w:after="0"/>
              <w:rPr>
                <w:sz w:val="4"/>
                <w:szCs w:val="4"/>
                <w:color w:val="auto"/>
              </w:rPr>
            </w:pPr>
          </w:p>
        </w:tc>
        <w:tc>
          <w:tcPr>
            <w:tcW w:w="160" w:type="dxa"/>
            <w:vAlign w:val="bottom"/>
            <w:gridSpan w:val="2"/>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1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34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Online Marketplace</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gridSpan w:val="17"/>
            <w:vMerge w:val="continue"/>
          </w:tcPr>
          <w:p>
            <w:pPr>
              <w:spacing w:after="0"/>
              <w:rPr>
                <w:sz w:val="18"/>
                <w:szCs w:val="18"/>
                <w:color w:val="auto"/>
              </w:rPr>
            </w:pP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Finance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7/20/2011</w:t>
            </w:r>
          </w:p>
        </w:tc>
        <w:tc>
          <w:tcPr>
            <w:tcW w:w="0" w:type="dxa"/>
            <w:vAlign w:val="bottom"/>
          </w:tcPr>
          <w:p>
            <w:pPr>
              <w:spacing w:after="0"/>
              <w:rPr>
                <w:sz w:val="1"/>
                <w:szCs w:val="1"/>
                <w:color w:val="auto"/>
              </w:rPr>
            </w:pPr>
          </w:p>
        </w:tc>
      </w:tr>
      <w:tr>
        <w:trPr>
          <w:trHeight w:val="198"/>
        </w:trPr>
        <w:tc>
          <w:tcPr>
            <w:tcW w:w="3400" w:type="dxa"/>
            <w:vAlign w:val="bottom"/>
            <w:gridSpan w:val="17"/>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Aspiration Partners, Inc.</w:t>
            </w:r>
          </w:p>
        </w:tc>
        <w:tc>
          <w:tcPr>
            <w:tcW w:w="214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8"/>
              </w:rPr>
              <w:t>Marina Del Rey, CA</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2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Preferred shares, Series A</w:t>
            </w:r>
          </w:p>
        </w:tc>
        <w:tc>
          <w:tcPr>
            <w:tcW w:w="1480" w:type="dxa"/>
            <w:vAlign w:val="bottom"/>
            <w:gridSpan w:val="7"/>
          </w:tcPr>
          <w:p>
            <w:pPr>
              <w:spacing w:after="0"/>
              <w:rPr>
                <w:sz w:val="20"/>
                <w:szCs w:val="20"/>
                <w:color w:val="auto"/>
              </w:rPr>
            </w:pP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Financial Services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8/11/2015</w:t>
            </w:r>
          </w:p>
        </w:tc>
        <w:tc>
          <w:tcPr>
            <w:tcW w:w="0" w:type="dxa"/>
            <w:vAlign w:val="bottom"/>
          </w:tcPr>
          <w:p>
            <w:pPr>
              <w:spacing w:after="0"/>
              <w:rPr>
                <w:sz w:val="1"/>
                <w:szCs w:val="1"/>
                <w:color w:val="auto"/>
              </w:rPr>
            </w:pPr>
          </w:p>
        </w:tc>
      </w:tr>
      <w:tr>
        <w:trPr>
          <w:trHeight w:val="243"/>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Preferred shares, Series C-3</w:t>
            </w: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8/12/2019</w:t>
            </w:r>
          </w:p>
        </w:tc>
        <w:tc>
          <w:tcPr>
            <w:tcW w:w="0" w:type="dxa"/>
            <w:vAlign w:val="bottom"/>
          </w:tcPr>
          <w:p>
            <w:pPr>
              <w:spacing w:after="0"/>
              <w:rPr>
                <w:sz w:val="1"/>
                <w:szCs w:val="1"/>
                <w:color w:val="auto"/>
              </w:rPr>
            </w:pPr>
          </w:p>
        </w:tc>
      </w:tr>
      <w:tr>
        <w:trPr>
          <w:trHeight w:val="243"/>
        </w:trPr>
        <w:tc>
          <w:tcPr>
            <w:tcW w:w="340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b w:val="1"/>
                <w:bCs w:val="1"/>
                <w:color w:val="auto"/>
                <w:w w:val="98"/>
              </w:rPr>
              <w:t>True Global Ventures 4 Plus Pte Ltd**</w:t>
            </w:r>
          </w:p>
        </w:tc>
        <w:tc>
          <w:tcPr>
            <w:tcW w:w="420" w:type="dxa"/>
            <w:vAlign w:val="bottom"/>
            <w:gridSpan w:val="4"/>
          </w:tcPr>
          <w:p>
            <w:pPr>
              <w:spacing w:after="0"/>
              <w:rPr>
                <w:sz w:val="18"/>
                <w:szCs w:val="18"/>
                <w:color w:val="auto"/>
              </w:rPr>
            </w:pPr>
          </w:p>
        </w:tc>
        <w:tc>
          <w:tcPr>
            <w:tcW w:w="2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Singapore, Singapore</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400" w:type="dxa"/>
            <w:vAlign w:val="bottom"/>
            <w:gridSpan w:val="17"/>
          </w:tcPr>
          <w:p>
            <w:pPr>
              <w:spacing w:after="0" w:line="255" w:lineRule="exact"/>
              <w:rPr>
                <w:sz w:val="20"/>
                <w:szCs w:val="20"/>
                <w:color w:val="auto"/>
              </w:rPr>
            </w:pPr>
            <w:r>
              <w:rPr>
                <w:rFonts w:ascii="Times New Roman" w:cs="Times New Roman" w:eastAsia="Times New Roman" w:hAnsi="Times New Roman"/>
                <w:sz w:val="18"/>
                <w:szCs w:val="18"/>
                <w:color w:val="auto"/>
              </w:rPr>
              <w:t>Limited Partner Fund Investment</w:t>
            </w:r>
            <w:r>
              <w:rPr>
                <w:rFonts w:ascii="Times New Roman" w:cs="Times New Roman" w:eastAsia="Times New Roman" w:hAnsi="Times New Roman"/>
                <w:sz w:val="29"/>
                <w:szCs w:val="29"/>
                <w:color w:val="auto"/>
                <w:vertAlign w:val="superscript"/>
              </w:rPr>
              <w:t>(8)</w:t>
            </w:r>
          </w:p>
        </w:tc>
        <w:tc>
          <w:tcPr>
            <w:tcW w:w="2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Venture Investment Fund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8/27/2021</w:t>
            </w:r>
          </w:p>
        </w:tc>
        <w:tc>
          <w:tcPr>
            <w:tcW w:w="0" w:type="dxa"/>
            <w:vAlign w:val="bottom"/>
          </w:tcPr>
          <w:p>
            <w:pPr>
              <w:spacing w:after="0"/>
              <w:rPr>
                <w:sz w:val="1"/>
                <w:szCs w:val="1"/>
                <w:color w:val="auto"/>
              </w:rPr>
            </w:pPr>
          </w:p>
        </w:tc>
      </w:tr>
      <w:tr>
        <w:trPr>
          <w:trHeight w:val="198"/>
        </w:trPr>
        <w:tc>
          <w:tcPr>
            <w:tcW w:w="3400" w:type="dxa"/>
            <w:vAlign w:val="bottom"/>
            <w:gridSpan w:val="17"/>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Nextdoor Holdings, Inc.**</w:t>
            </w:r>
          </w:p>
        </w:tc>
        <w:tc>
          <w:tcPr>
            <w:tcW w:w="214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rPr>
              <w:t>San Francisco, CA</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80" w:type="dxa"/>
            <w:vAlign w:val="bottom"/>
            <w:tcBorders>
              <w:top w:val="single" w:sz="8" w:color="auto"/>
            </w:tcBorders>
            <w:gridSpan w:val="11"/>
          </w:tcPr>
          <w:p>
            <w:pPr>
              <w:spacing w:after="0" w:line="255" w:lineRule="exact"/>
              <w:rPr>
                <w:sz w:val="20"/>
                <w:szCs w:val="20"/>
                <w:color w:val="auto"/>
              </w:rPr>
            </w:pPr>
            <w:r>
              <w:rPr>
                <w:rFonts w:ascii="Times New Roman" w:cs="Times New Roman" w:eastAsia="Times New Roman" w:hAnsi="Times New Roman"/>
                <w:sz w:val="18"/>
                <w:szCs w:val="18"/>
                <w:color w:val="auto"/>
              </w:rPr>
              <w:t>Common shares, Class B</w:t>
            </w:r>
            <w:r>
              <w:rPr>
                <w:rFonts w:ascii="Times New Roman" w:cs="Times New Roman" w:eastAsia="Times New Roman" w:hAnsi="Times New Roman"/>
                <w:sz w:val="29"/>
                <w:szCs w:val="29"/>
                <w:color w:val="auto"/>
                <w:vertAlign w:val="superscript"/>
              </w:rPr>
              <w:t>(3)</w:t>
            </w:r>
          </w:p>
        </w:tc>
        <w:tc>
          <w:tcPr>
            <w:tcW w:w="1320" w:type="dxa"/>
            <w:vAlign w:val="bottom"/>
            <w:gridSpan w:val="6"/>
          </w:tcPr>
          <w:p>
            <w:pPr>
              <w:spacing w:after="0"/>
              <w:rPr>
                <w:sz w:val="22"/>
                <w:szCs w:val="22"/>
                <w:color w:val="auto"/>
              </w:rPr>
            </w:pP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Social Networking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9/27/2018</w:t>
            </w:r>
          </w:p>
        </w:tc>
        <w:tc>
          <w:tcPr>
            <w:tcW w:w="0" w:type="dxa"/>
            <w:vAlign w:val="bottom"/>
          </w:tcPr>
          <w:p>
            <w:pPr>
              <w:spacing w:after="0"/>
              <w:rPr>
                <w:sz w:val="1"/>
                <w:szCs w:val="1"/>
                <w:color w:val="auto"/>
              </w:rPr>
            </w:pPr>
          </w:p>
        </w:tc>
      </w:tr>
      <w:tr>
        <w:trPr>
          <w:trHeight w:val="198"/>
        </w:trPr>
        <w:tc>
          <w:tcPr>
            <w:tcW w:w="3400" w:type="dxa"/>
            <w:vAlign w:val="bottom"/>
            <w:gridSpan w:val="17"/>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Shogun Enterprises, Inc. (d/b/a Hearth)</w:t>
            </w:r>
          </w:p>
        </w:tc>
        <w:tc>
          <w:tcPr>
            <w:tcW w:w="214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8"/>
              </w:rPr>
              <w:t>Austin, TX</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Home Improvement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Preferred shares, Series B-1</w:t>
            </w: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Finance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2/26/2021</w:t>
            </w:r>
          </w:p>
        </w:tc>
        <w:tc>
          <w:tcPr>
            <w:tcW w:w="0" w:type="dxa"/>
            <w:vAlign w:val="bottom"/>
          </w:tcPr>
          <w:p>
            <w:pPr>
              <w:spacing w:after="0"/>
              <w:rPr>
                <w:sz w:val="1"/>
                <w:szCs w:val="1"/>
                <w:color w:val="auto"/>
              </w:rPr>
            </w:pPr>
          </w:p>
        </w:tc>
      </w:tr>
      <w:tr>
        <w:trPr>
          <w:trHeight w:val="234"/>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Preferred shares, Series B-2</w:t>
            </w: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2/26/2021</w:t>
            </w:r>
          </w:p>
        </w:tc>
        <w:tc>
          <w:tcPr>
            <w:tcW w:w="0" w:type="dxa"/>
            <w:vAlign w:val="bottom"/>
          </w:tcPr>
          <w:p>
            <w:pPr>
              <w:spacing w:after="0"/>
              <w:rPr>
                <w:sz w:val="1"/>
                <w:szCs w:val="1"/>
                <w:color w:val="auto"/>
              </w:rPr>
            </w:pPr>
          </w:p>
        </w:tc>
      </w:tr>
      <w:tr>
        <w:trPr>
          <w:trHeight w:val="243"/>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Convertible Note 0.5%, Due 4/18/2024***</w:t>
            </w: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5/2/2022</w:t>
            </w:r>
          </w:p>
        </w:tc>
        <w:tc>
          <w:tcPr>
            <w:tcW w:w="0" w:type="dxa"/>
            <w:vAlign w:val="bottom"/>
          </w:tcPr>
          <w:p>
            <w:pPr>
              <w:spacing w:after="0"/>
              <w:rPr>
                <w:sz w:val="1"/>
                <w:szCs w:val="1"/>
                <w:color w:val="auto"/>
              </w:rPr>
            </w:pPr>
          </w:p>
        </w:tc>
      </w:tr>
      <w:tr>
        <w:trPr>
          <w:trHeight w:val="234"/>
        </w:trPr>
        <w:tc>
          <w:tcPr>
            <w:tcW w:w="340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0" w:type="dxa"/>
            <w:vAlign w:val="bottom"/>
            <w:gridSpan w:val="17"/>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Residential Homes for Rent, LLC (d/b/a</w:t>
            </w: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80" w:type="dxa"/>
            <w:vAlign w:val="bottom"/>
            <w:tcBorders>
              <w:top w:val="single" w:sz="8" w:color="auto"/>
            </w:tcBorders>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Second Avenue)</w:t>
            </w:r>
          </w:p>
        </w:tc>
        <w:tc>
          <w:tcPr>
            <w:tcW w:w="320" w:type="dxa"/>
            <w:vAlign w:val="bottom"/>
            <w:gridSpan w:val="2"/>
          </w:tcPr>
          <w:p>
            <w:pPr>
              <w:spacing w:after="0"/>
              <w:rPr>
                <w:sz w:val="17"/>
                <w:szCs w:val="17"/>
                <w:color w:val="auto"/>
              </w:rPr>
            </w:pPr>
          </w:p>
        </w:tc>
        <w:tc>
          <w:tcPr>
            <w:tcW w:w="214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Chicago, IL</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180" w:type="dxa"/>
            <w:vAlign w:val="bottom"/>
            <w:gridSpan w:val="1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400" w:type="dxa"/>
            <w:vAlign w:val="bottom"/>
            <w:gridSpan w:val="17"/>
          </w:tcPr>
          <w:p>
            <w:pPr>
              <w:spacing w:after="0" w:line="290" w:lineRule="exact"/>
              <w:rPr>
                <w:sz w:val="20"/>
                <w:szCs w:val="20"/>
                <w:color w:val="auto"/>
              </w:rPr>
            </w:pPr>
            <w:r>
              <w:rPr>
                <w:rFonts w:ascii="Times New Roman" w:cs="Times New Roman" w:eastAsia="Times New Roman" w:hAnsi="Times New Roman"/>
                <w:sz w:val="18"/>
                <w:szCs w:val="18"/>
                <w:color w:val="auto"/>
              </w:rPr>
              <w:t>Preferred shares, Series A</w:t>
            </w:r>
            <w:r>
              <w:rPr>
                <w:rFonts w:ascii="Times New Roman" w:cs="Times New Roman" w:eastAsia="Times New Roman" w:hAnsi="Times New Roman"/>
                <w:sz w:val="29"/>
                <w:szCs w:val="29"/>
                <w:color w:val="auto"/>
                <w:vertAlign w:val="superscript"/>
              </w:rPr>
              <w:t>(6)</w:t>
            </w: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Real Estate Platform</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12/23/2020</w:t>
            </w:r>
          </w:p>
        </w:tc>
        <w:tc>
          <w:tcPr>
            <w:tcW w:w="0" w:type="dxa"/>
            <w:vAlign w:val="bottom"/>
          </w:tcPr>
          <w:p>
            <w:pPr>
              <w:spacing w:after="0"/>
              <w:rPr>
                <w:sz w:val="1"/>
                <w:szCs w:val="1"/>
                <w:color w:val="auto"/>
              </w:rPr>
            </w:pPr>
          </w:p>
        </w:tc>
      </w:tr>
      <w:tr>
        <w:trPr>
          <w:trHeight w:val="280"/>
        </w:trPr>
        <w:tc>
          <w:tcPr>
            <w:tcW w:w="3400" w:type="dxa"/>
            <w:vAlign w:val="bottom"/>
            <w:gridSpan w:val="17"/>
          </w:tcPr>
          <w:p>
            <w:pPr>
              <w:spacing w:after="0" w:line="280" w:lineRule="exact"/>
              <w:rPr>
                <w:sz w:val="20"/>
                <w:szCs w:val="20"/>
                <w:color w:val="auto"/>
              </w:rPr>
            </w:pPr>
            <w:r>
              <w:rPr>
                <w:rFonts w:ascii="Times New Roman" w:cs="Times New Roman" w:eastAsia="Times New Roman" w:hAnsi="Times New Roman"/>
                <w:sz w:val="18"/>
                <w:szCs w:val="18"/>
                <w:color w:val="auto"/>
              </w:rPr>
              <w:t>Term loan 15%, Due 12/23/2023***</w:t>
            </w:r>
            <w:r>
              <w:rPr>
                <w:rFonts w:ascii="Times New Roman" w:cs="Times New Roman" w:eastAsia="Times New Roman" w:hAnsi="Times New Roman"/>
                <w:sz w:val="29"/>
                <w:szCs w:val="29"/>
                <w:color w:val="auto"/>
                <w:vertAlign w:val="superscript"/>
              </w:rPr>
              <w:t>(11)</w:t>
            </w: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12/23/2020</w:t>
            </w:r>
          </w:p>
        </w:tc>
        <w:tc>
          <w:tcPr>
            <w:tcW w:w="0" w:type="dxa"/>
            <w:vAlign w:val="bottom"/>
          </w:tcPr>
          <w:p>
            <w:pPr>
              <w:spacing w:after="0"/>
              <w:rPr>
                <w:sz w:val="1"/>
                <w:szCs w:val="1"/>
                <w:color w:val="auto"/>
              </w:rPr>
            </w:pPr>
          </w:p>
        </w:tc>
      </w:tr>
      <w:tr>
        <w:trPr>
          <w:trHeight w:val="234"/>
        </w:trPr>
        <w:tc>
          <w:tcPr>
            <w:tcW w:w="340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Trax Ltd.**</w:t>
            </w:r>
          </w:p>
        </w:tc>
        <w:tc>
          <w:tcPr>
            <w:tcW w:w="2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Singapore, Singapore</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15"/>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Retail Technology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0" w:type="dxa"/>
            <w:vAlign w:val="bottom"/>
          </w:tcPr>
          <w:p>
            <w:pPr>
              <w:spacing w:after="0"/>
              <w:rPr>
                <w:sz w:val="1"/>
                <w:szCs w:val="1"/>
                <w:color w:val="auto"/>
              </w:rPr>
            </w:pPr>
          </w:p>
        </w:tc>
      </w:tr>
      <w:tr>
        <w:trPr>
          <w:trHeight w:val="243"/>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Preferred shares, Investec Series</w:t>
            </w: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0" w:type="dxa"/>
            <w:vAlign w:val="bottom"/>
          </w:tcPr>
          <w:p>
            <w:pPr>
              <w:spacing w:after="0"/>
              <w:rPr>
                <w:sz w:val="1"/>
                <w:szCs w:val="1"/>
                <w:color w:val="auto"/>
              </w:rPr>
            </w:pPr>
          </w:p>
        </w:tc>
      </w:tr>
      <w:tr>
        <w:trPr>
          <w:trHeight w:val="243"/>
        </w:trPr>
        <w:tc>
          <w:tcPr>
            <w:tcW w:w="340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PayJoy, Inc.</w:t>
            </w: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San Francisco, CA</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Mobile Access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Technology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7/23/2021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-7646035</wp:posOffset>
            </wp:positionV>
            <wp:extent cx="7132320" cy="282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-7225665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-6634480</wp:posOffset>
            </wp:positionV>
            <wp:extent cx="713232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-6188710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-5888355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-5588635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-5314315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-4739640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-4465320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-4165600</wp:posOffset>
            </wp:positionV>
            <wp:extent cx="713232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-3754120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-3445510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-3145155</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-2845435</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-2545080</wp:posOffset>
            </wp:positionV>
            <wp:extent cx="71323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-2116455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-1816735</wp:posOffset>
            </wp:positionV>
            <wp:extent cx="71323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-1362075</wp:posOffset>
            </wp:positionV>
            <wp:extent cx="71323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0" w:type="dxa"/>
            <w:vAlign w:val="bottom"/>
          </w:tcPr>
          <w:p>
            <w:pPr>
              <w:spacing w:after="0"/>
              <w:rPr>
                <w:sz w:val="1"/>
                <w:szCs w:val="1"/>
                <w:color w:val="auto"/>
              </w:rPr>
            </w:pPr>
          </w:p>
        </w:tc>
      </w:tr>
      <w:tr>
        <w:trPr>
          <w:trHeight w:val="245"/>
        </w:trPr>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00" w:type="dxa"/>
            <w:vAlign w:val="bottom"/>
          </w:tcPr>
          <w:p>
            <w:pPr>
              <w:spacing w:after="0"/>
              <w:rPr>
                <w:sz w:val="21"/>
                <w:szCs w:val="21"/>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6"/>
        </w:trPr>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2,145,509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5,000,001</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$40,797,422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275,659</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9,999,971</w:t>
            </w:r>
          </w:p>
        </w:tc>
        <w:tc>
          <w:tcPr>
            <w:tcW w:w="13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9,999,971</w:t>
            </w:r>
          </w:p>
        </w:tc>
        <w:tc>
          <w:tcPr>
            <w:tcW w:w="9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7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4.65</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14,999,972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50,797,393</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657"/>
        </w:trPr>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238,095</w:t>
            </w: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5,000,423</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1,692,855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261,944</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w w:val="98"/>
              </w:rPr>
              <w:t>10,003,917</w:t>
            </w:r>
          </w:p>
        </w:tc>
        <w:tc>
          <w:tcPr>
            <w:tcW w:w="13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9,999,974</w:t>
            </w:r>
          </w:p>
        </w:tc>
        <w:tc>
          <w:tcPr>
            <w:tcW w:w="9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7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4.65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15,004,340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11,692,829</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232,568</w:t>
            </w: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10,004,286</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10,000,005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454"/>
        </w:trPr>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558,053</w:t>
            </w: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3,751,518</w:t>
            </w:r>
          </w:p>
        </w:tc>
        <w:tc>
          <w:tcPr>
            <w:tcW w:w="16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58,771</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587,951</w:t>
            </w: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441,228</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4,418,406</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7,803,965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558,053</w:t>
            </w:r>
          </w:p>
        </w:tc>
        <w:tc>
          <w:tcPr>
            <w:tcW w:w="1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3,751,518</w:t>
            </w:r>
          </w:p>
        </w:tc>
        <w:tc>
          <w:tcPr>
            <w:tcW w:w="16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vMerge w:val="restart"/>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12,509,393</w:t>
            </w:r>
          </w:p>
        </w:tc>
        <w:tc>
          <w:tcPr>
            <w:tcW w:w="16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7,803,965</w:t>
            </w:r>
          </w:p>
        </w:tc>
        <w:tc>
          <w:tcPr>
            <w:tcW w:w="300" w:type="dxa"/>
            <w:vAlign w:val="bottom"/>
            <w:vMerge w:val="continue"/>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414"/>
        </w:trPr>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13,293,450</w:t>
            </w: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10,011,460</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5,084,147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432"/>
        </w:trPr>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1,079,266</w:t>
            </w: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10,005,548</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4,403,405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688"/>
        </w:trPr>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2,508,074</w:t>
            </w: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3,443,483</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4,389,130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441"/>
        </w:trPr>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540,270</w:t>
            </w: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1,001,815</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3,803,413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24,912</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281,190</w:t>
            </w:r>
          </w:p>
        </w:tc>
        <w:tc>
          <w:tcPr>
            <w:tcW w:w="13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194,062</w:t>
            </w:r>
          </w:p>
        </w:tc>
        <w:tc>
          <w:tcPr>
            <w:tcW w:w="9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7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0.09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1,283,005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3,997,475</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1,330,000</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3,890,505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473"/>
        </w:trPr>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1,802,416</w:t>
            </w: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10,002,666</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3,875,194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630"/>
        </w:trPr>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436,844</w:t>
            </w: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3,501,657</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1,552,129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301,750</w:t>
            </w:r>
          </w:p>
        </w:tc>
        <w:tc>
          <w:tcPr>
            <w:tcW w:w="1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3,501,661</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1,552,131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180"/>
        </w:trPr>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13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500,000</w:t>
            </w:r>
          </w:p>
        </w:tc>
        <w:tc>
          <w:tcPr>
            <w:tcW w:w="9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7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0.23</w:t>
            </w: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vMerge w:val="restart"/>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7,503,318</w:t>
            </w:r>
          </w:p>
        </w:tc>
        <w:tc>
          <w:tcPr>
            <w:tcW w:w="16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3,604,260</w:t>
            </w:r>
          </w:p>
        </w:tc>
        <w:tc>
          <w:tcPr>
            <w:tcW w:w="300" w:type="dxa"/>
            <w:vAlign w:val="bottom"/>
            <w:vMerge w:val="continue"/>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697"/>
        </w:trPr>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1,500,000</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2,679,959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3"/>
        </w:trPr>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750,000</w:t>
            </w:r>
          </w:p>
        </w:tc>
        <w:tc>
          <w:tcPr>
            <w:tcW w:w="13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750,000</w:t>
            </w:r>
          </w:p>
        </w:tc>
        <w:tc>
          <w:tcPr>
            <w:tcW w:w="9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0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7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0.35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3,429,959</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55,591</w:t>
            </w: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2,781,148</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386,194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144,409</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7,224,600</w:t>
            </w:r>
          </w:p>
        </w:tc>
        <w:tc>
          <w:tcPr>
            <w:tcW w:w="13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2,647,017</w:t>
            </w:r>
          </w:p>
        </w:tc>
        <w:tc>
          <w:tcPr>
            <w:tcW w:w="9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7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1.23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10,005,748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3,033,211</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244,117</w:t>
            </w: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2,501,570</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2,500,002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440" w:space="200"/>
            <w:col w:w="4580"/>
          </w:cols>
          <w:pgMar w:left="320" w:top="229" w:right="359" w:bottom="1440" w:gutter="0" w:footer="0" w:header="0"/>
          <w:type w:val="continuous"/>
        </w:sectPr>
      </w:pP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20"/>
          </w:cols>
          <w:pgMar w:left="320" w:top="229" w:right="359" w:bottom="1440" w:gutter="0" w:footer="0" w:header="0"/>
          <w:type w:val="continuous"/>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0" w:type="dxa"/>
            <w:vAlign w:val="bottom"/>
          </w:tcPr>
          <w:p>
            <w:pPr>
              <w:spacing w:after="0"/>
              <w:rPr>
                <w:sz w:val="1"/>
                <w:szCs w:val="1"/>
                <w:color w:val="auto"/>
              </w:rPr>
            </w:pPr>
          </w:p>
        </w:tc>
      </w:tr>
      <w:tr>
        <w:trPr>
          <w:trHeight w:val="245"/>
        </w:trPr>
        <w:tc>
          <w:tcPr>
            <w:tcW w:w="326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00" w:type="dxa"/>
            <w:vAlign w:val="bottom"/>
          </w:tcPr>
          <w:p>
            <w:pPr>
              <w:spacing w:after="0"/>
              <w:rPr>
                <w:sz w:val="21"/>
                <w:szCs w:val="21"/>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60" w:type="dxa"/>
            <w:vAlign w:val="bottom"/>
          </w:tcPr>
          <w:p>
            <w:pPr>
              <w:spacing w:after="0"/>
              <w:rPr>
                <w:sz w:val="21"/>
                <w:szCs w:val="21"/>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1"/>
                <w:szCs w:val="21"/>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176"/>
        </w:trPr>
        <w:tc>
          <w:tcPr>
            <w:tcW w:w="3060" w:type="dxa"/>
            <w:vAlign w:val="bottom"/>
            <w:tcBorders>
              <w:top w:val="single" w:sz="8" w:color="auto"/>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Skillsoft Corp.**</w:t>
            </w:r>
          </w:p>
        </w:tc>
        <w:tc>
          <w:tcPr>
            <w:tcW w:w="20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Nashua, NH</w:t>
            </w: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60" w:type="dxa"/>
            <w:vAlign w:val="bottom"/>
            <w:gridSpan w:val="29"/>
          </w:tcPr>
          <w:p>
            <w:pPr>
              <w:spacing w:after="0" w:line="256" w:lineRule="exact"/>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Online Education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6/8/2021</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981,843</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9,818,430</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1,963,686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auto"/>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Aventine Property Group, Inc.</w:t>
            </w:r>
          </w:p>
        </w:tc>
        <w:tc>
          <w:tcPr>
            <w:tcW w:w="900" w:type="dxa"/>
            <w:vAlign w:val="bottom"/>
            <w:tcBorders>
              <w:bottom w:val="single" w:sz="8" w:color="CCEEFF"/>
            </w:tcBorders>
            <w:gridSpan w:val="12"/>
            <w:shd w:val="clear" w:color="auto" w:fill="CCEEFF"/>
          </w:tcPr>
          <w:p>
            <w:pPr>
              <w:spacing w:after="0"/>
              <w:rPr>
                <w:sz w:val="17"/>
                <w:szCs w:val="17"/>
                <w:color w:val="auto"/>
              </w:rPr>
            </w:pPr>
          </w:p>
        </w:tc>
        <w:tc>
          <w:tcPr>
            <w:tcW w:w="2080" w:type="dxa"/>
            <w:vAlign w:val="bottom"/>
            <w:tcBorders>
              <w:bottom w:val="single" w:sz="8" w:color="CCEEFF"/>
            </w:tcBorders>
            <w:gridSpan w:val="2"/>
            <w:shd w:val="clear" w:color="auto" w:fill="CCEEFF"/>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w w:val="97"/>
              </w:rPr>
              <w:t>Chicago, IL</w:t>
            </w: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2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Cannabis REIT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9/11/2019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312,500</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2,580,750</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1,493,521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175"/>
        </w:trPr>
        <w:tc>
          <w:tcPr>
            <w:tcW w:w="2920" w:type="dxa"/>
            <w:vAlign w:val="bottom"/>
            <w:tcBorders>
              <w:bottom w:val="single" w:sz="8" w:color="auto"/>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NewLake Capital Partners, Inc. (f/k/a</w:t>
            </w:r>
          </w:p>
        </w:tc>
        <w:tc>
          <w:tcPr>
            <w:tcW w:w="340" w:type="dxa"/>
            <w:vAlign w:val="bottom"/>
            <w:tcBorders>
              <w:bottom w:val="single" w:sz="8" w:color="CCEEFF"/>
            </w:tcBorders>
            <w:gridSpan w:val="2"/>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760" w:type="dxa"/>
            <w:vAlign w:val="bottom"/>
            <w:tcBorders>
              <w:bottom w:val="single" w:sz="8" w:color="auto"/>
            </w:tcBorders>
            <w:gridSpan w:val="2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GreenAcreage Real Estate Corp.)**</w:t>
            </w:r>
          </w:p>
        </w:tc>
        <w:tc>
          <w:tcPr>
            <w:tcW w:w="500" w:type="dxa"/>
            <w:vAlign w:val="bottom"/>
            <w:tcBorders>
              <w:bottom w:val="single" w:sz="8" w:color="CCEEFF"/>
            </w:tcBorders>
            <w:gridSpan w:val="5"/>
            <w:shd w:val="clear" w:color="auto" w:fill="CCEEFF"/>
          </w:tcPr>
          <w:p>
            <w:pPr>
              <w:spacing w:after="0"/>
              <w:rPr>
                <w:sz w:val="18"/>
                <w:szCs w:val="18"/>
                <w:color w:val="auto"/>
              </w:rPr>
            </w:pPr>
          </w:p>
        </w:tc>
        <w:tc>
          <w:tcPr>
            <w:tcW w:w="2080" w:type="dxa"/>
            <w:vAlign w:val="bottom"/>
            <w:tcBorders>
              <w:bottom w:val="single" w:sz="8" w:color="CCEEFF"/>
            </w:tcBorders>
            <w:gridSpan w:val="2"/>
            <w:shd w:val="clear" w:color="auto" w:fill="CCEEFF"/>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New Canaan, CT</w:t>
            </w:r>
          </w:p>
        </w:tc>
        <w:tc>
          <w:tcPr>
            <w:tcW w:w="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60" w:type="dxa"/>
            <w:vAlign w:val="bottom"/>
            <w:gridSpan w:val="29"/>
          </w:tcPr>
          <w:p>
            <w:pPr>
              <w:spacing w:after="0" w:line="256" w:lineRule="exact"/>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Cannabis REIT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8/12/2019</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105,820</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2,198,836</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1,306,878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176"/>
        </w:trPr>
        <w:tc>
          <w:tcPr>
            <w:tcW w:w="2900" w:type="dxa"/>
            <w:vAlign w:val="bottom"/>
            <w:tcBorders>
              <w:bottom w:val="single" w:sz="8" w:color="auto"/>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Commercial Streaming Solutions Inc.</w:t>
            </w:r>
          </w:p>
        </w:tc>
        <w:tc>
          <w:tcPr>
            <w:tcW w:w="360" w:type="dxa"/>
            <w:vAlign w:val="bottom"/>
            <w:tcBorders>
              <w:bottom w:val="single" w:sz="8" w:color="CCEEFF"/>
            </w:tcBorders>
            <w:gridSpan w:val="3"/>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40" w:type="dxa"/>
            <w:vAlign w:val="bottom"/>
            <w:tcBorders>
              <w:bottom w:val="single" w:sz="8" w:color="CCEEFF"/>
            </w:tcBorders>
            <w:gridSpan w:val="8"/>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(d/b/a BettorView)</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1"/>
              </w:rPr>
              <w:t>(7)</w:t>
            </w: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14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100" w:type="dxa"/>
            <w:vAlign w:val="bottom"/>
            <w:tcBorders>
              <w:bottom w:val="single" w:sz="8" w:color="CCEEFF"/>
            </w:tcBorders>
            <w:vMerge w:val="restart"/>
            <w:shd w:val="clear" w:color="auto" w:fill="CCEEFF"/>
          </w:tcPr>
          <w:p>
            <w:pPr>
              <w:spacing w:after="0"/>
              <w:rPr>
                <w:sz w:val="14"/>
                <w:szCs w:val="14"/>
                <w:color w:val="auto"/>
              </w:rPr>
            </w:pPr>
          </w:p>
        </w:tc>
        <w:tc>
          <w:tcPr>
            <w:tcW w:w="360" w:type="dxa"/>
            <w:vAlign w:val="bottom"/>
            <w:tcBorders>
              <w:bottom w:val="single" w:sz="8" w:color="CCEEFF"/>
            </w:tcBorders>
            <w:vMerge w:val="restart"/>
            <w:shd w:val="clear" w:color="auto" w:fill="CCEEFF"/>
          </w:tcPr>
          <w:p>
            <w:pPr>
              <w:spacing w:after="0"/>
              <w:rPr>
                <w:sz w:val="14"/>
                <w:szCs w:val="14"/>
                <w:color w:val="auto"/>
              </w:rPr>
            </w:pPr>
          </w:p>
        </w:tc>
        <w:tc>
          <w:tcPr>
            <w:tcW w:w="60" w:type="dxa"/>
            <w:vAlign w:val="bottom"/>
            <w:tcBorders>
              <w:bottom w:val="single" w:sz="8" w:color="CCEEFF"/>
            </w:tcBorders>
            <w:vMerge w:val="restart"/>
            <w:shd w:val="clear" w:color="auto" w:fill="CCEEFF"/>
          </w:tcPr>
          <w:p>
            <w:pPr>
              <w:spacing w:after="0"/>
              <w:rPr>
                <w:sz w:val="14"/>
                <w:szCs w:val="14"/>
                <w:color w:val="auto"/>
              </w:rPr>
            </w:pPr>
          </w:p>
        </w:tc>
        <w:tc>
          <w:tcPr>
            <w:tcW w:w="40" w:type="dxa"/>
            <w:vAlign w:val="bottom"/>
            <w:tcBorders>
              <w:bottom w:val="single" w:sz="8" w:color="CCEEFF"/>
            </w:tcBorders>
            <w:vMerge w:val="restart"/>
            <w:shd w:val="clear" w:color="auto" w:fill="CCEEFF"/>
          </w:tcPr>
          <w:p>
            <w:pPr>
              <w:spacing w:after="0"/>
              <w:rPr>
                <w:sz w:val="14"/>
                <w:szCs w:val="14"/>
                <w:color w:val="auto"/>
              </w:rPr>
            </w:pPr>
          </w:p>
        </w:tc>
        <w:tc>
          <w:tcPr>
            <w:tcW w:w="40" w:type="dxa"/>
            <w:vAlign w:val="bottom"/>
            <w:tcBorders>
              <w:bottom w:val="single" w:sz="8" w:color="CCEEFF"/>
            </w:tcBorders>
            <w:vMerge w:val="restart"/>
            <w:shd w:val="clear" w:color="auto" w:fill="CCEEFF"/>
          </w:tcPr>
          <w:p>
            <w:pPr>
              <w:spacing w:after="0"/>
              <w:rPr>
                <w:sz w:val="14"/>
                <w:szCs w:val="14"/>
                <w:color w:val="auto"/>
              </w:rPr>
            </w:pPr>
          </w:p>
        </w:tc>
        <w:tc>
          <w:tcPr>
            <w:tcW w:w="8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8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00" w:type="dxa"/>
            <w:vAlign w:val="bottom"/>
            <w:tcBorders>
              <w:bottom w:val="single" w:sz="8" w:color="CCEEFF"/>
            </w:tcBorders>
            <w:gridSpan w:val="2"/>
            <w:vMerge w:val="restart"/>
            <w:shd w:val="clear" w:color="auto" w:fill="CCEEFF"/>
          </w:tcPr>
          <w:p>
            <w:pPr>
              <w:spacing w:after="0"/>
              <w:rPr>
                <w:sz w:val="14"/>
                <w:szCs w:val="14"/>
                <w:color w:val="auto"/>
              </w:rPr>
            </w:pPr>
          </w:p>
        </w:tc>
        <w:tc>
          <w:tcPr>
            <w:tcW w:w="440" w:type="dxa"/>
            <w:vAlign w:val="bottom"/>
            <w:tcBorders>
              <w:bottom w:val="single" w:sz="8" w:color="CCEEFF"/>
            </w:tcBorders>
            <w:gridSpan w:val="4"/>
            <w:vMerge w:val="restart"/>
            <w:shd w:val="clear" w:color="auto" w:fill="CCEEFF"/>
          </w:tcPr>
          <w:p>
            <w:pPr>
              <w:spacing w:after="0"/>
              <w:rPr>
                <w:sz w:val="14"/>
                <w:szCs w:val="14"/>
                <w:color w:val="auto"/>
              </w:rPr>
            </w:pPr>
          </w:p>
        </w:tc>
        <w:tc>
          <w:tcPr>
            <w:tcW w:w="2080" w:type="dxa"/>
            <w:vAlign w:val="bottom"/>
            <w:tcBorders>
              <w:bottom w:val="single" w:sz="8" w:color="CCEEFF"/>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Las Vegas, NV</w:t>
            </w:r>
          </w:p>
        </w:tc>
        <w:tc>
          <w:tcPr>
            <w:tcW w:w="9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440" w:type="dxa"/>
            <w:vAlign w:val="bottom"/>
            <w:tcBorders>
              <w:bottom w:val="single" w:sz="8" w:color="auto"/>
            </w:tcBorders>
            <w:gridSpan w:val="8"/>
            <w:vMerge w:val="continue"/>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36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gridSpan w:val="2"/>
            <w:vMerge w:val="continue"/>
            <w:shd w:val="clear" w:color="auto" w:fill="CCEEFF"/>
          </w:tcPr>
          <w:p>
            <w:pPr>
              <w:spacing w:after="0"/>
              <w:rPr>
                <w:sz w:val="5"/>
                <w:szCs w:val="5"/>
                <w:color w:val="auto"/>
              </w:rPr>
            </w:pPr>
          </w:p>
        </w:tc>
        <w:tc>
          <w:tcPr>
            <w:tcW w:w="440" w:type="dxa"/>
            <w:vAlign w:val="bottom"/>
            <w:tcBorders>
              <w:bottom w:val="single" w:sz="8" w:color="CCEEFF"/>
            </w:tcBorders>
            <w:gridSpan w:val="4"/>
            <w:vMerge w:val="continue"/>
            <w:shd w:val="clear" w:color="auto" w:fill="CCEEFF"/>
          </w:tcPr>
          <w:p>
            <w:pPr>
              <w:spacing w:after="0"/>
              <w:rPr>
                <w:sz w:val="5"/>
                <w:szCs w:val="5"/>
                <w:color w:val="auto"/>
              </w:rPr>
            </w:pPr>
          </w:p>
        </w:tc>
        <w:tc>
          <w:tcPr>
            <w:tcW w:w="208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7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80" w:type="dxa"/>
            <w:vAlign w:val="bottom"/>
            <w:tcBorders>
              <w:top w:val="single" w:sz="8" w:color="CCEEFF"/>
            </w:tcBorders>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8"/>
              </w:rPr>
              <w:t>Interactive Media &amp;</w:t>
            </w:r>
          </w:p>
        </w:tc>
        <w:tc>
          <w:tcPr>
            <w:tcW w:w="9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Simple Agreement for Future Equity</w:t>
            </w: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Services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3/26/2021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1,004,240</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1,000,000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176"/>
        </w:trPr>
        <w:tc>
          <w:tcPr>
            <w:tcW w:w="2480" w:type="dxa"/>
            <w:vAlign w:val="bottom"/>
            <w:tcBorders>
              <w:bottom w:val="single" w:sz="8" w:color="auto"/>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Xgroup Holdings Limited (d/b/a</w:t>
            </w:r>
          </w:p>
        </w:tc>
        <w:tc>
          <w:tcPr>
            <w:tcW w:w="780" w:type="dxa"/>
            <w:vAlign w:val="bottom"/>
            <w:tcBorders>
              <w:bottom w:val="single" w:sz="8" w:color="CCEEFF"/>
            </w:tcBorders>
            <w:gridSpan w:val="10"/>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Xpoint)**</w:t>
            </w:r>
          </w:p>
        </w:tc>
        <w:tc>
          <w:tcPr>
            <w:tcW w:w="180" w:type="dxa"/>
            <w:vAlign w:val="bottom"/>
            <w:tcBorders>
              <w:bottom w:val="single" w:sz="8" w:color="auto"/>
            </w:tcBorders>
            <w:gridSpan w:val="3"/>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1"/>
              </w:rPr>
              <w:t>(7)</w:t>
            </w:r>
          </w:p>
        </w:tc>
        <w:tc>
          <w:tcPr>
            <w:tcW w:w="80" w:type="dxa"/>
            <w:vAlign w:val="bottom"/>
            <w:tcBorders>
              <w:bottom w:val="single" w:sz="8" w:color="CCEEFF"/>
            </w:tcBorders>
            <w:vMerge w:val="restart"/>
            <w:shd w:val="clear" w:color="auto" w:fill="CCEEFF"/>
          </w:tcPr>
          <w:p>
            <w:pPr>
              <w:spacing w:after="0"/>
              <w:rPr>
                <w:sz w:val="14"/>
                <w:szCs w:val="14"/>
                <w:color w:val="auto"/>
              </w:rPr>
            </w:pPr>
          </w:p>
        </w:tc>
        <w:tc>
          <w:tcPr>
            <w:tcW w:w="160" w:type="dxa"/>
            <w:vAlign w:val="bottom"/>
            <w:tcBorders>
              <w:bottom w:val="single" w:sz="8" w:color="CCEEFF"/>
            </w:tcBorders>
            <w:vMerge w:val="restart"/>
            <w:shd w:val="clear" w:color="auto" w:fill="CCEEFF"/>
          </w:tcPr>
          <w:p>
            <w:pPr>
              <w:spacing w:after="0"/>
              <w:rPr>
                <w:sz w:val="14"/>
                <w:szCs w:val="14"/>
                <w:color w:val="auto"/>
              </w:rPr>
            </w:pPr>
          </w:p>
        </w:tc>
        <w:tc>
          <w:tcPr>
            <w:tcW w:w="400" w:type="dxa"/>
            <w:vAlign w:val="bottom"/>
            <w:tcBorders>
              <w:bottom w:val="single" w:sz="8" w:color="CCEEFF"/>
            </w:tcBorders>
            <w:gridSpan w:val="3"/>
            <w:vMerge w:val="restart"/>
            <w:shd w:val="clear" w:color="auto" w:fill="CCEEFF"/>
          </w:tcPr>
          <w:p>
            <w:pPr>
              <w:spacing w:after="0"/>
              <w:rPr>
                <w:sz w:val="14"/>
                <w:szCs w:val="14"/>
                <w:color w:val="auto"/>
              </w:rPr>
            </w:pPr>
          </w:p>
        </w:tc>
        <w:tc>
          <w:tcPr>
            <w:tcW w:w="40" w:type="dxa"/>
            <w:vAlign w:val="bottom"/>
            <w:tcBorders>
              <w:bottom w:val="single" w:sz="8" w:color="CCEEFF"/>
            </w:tcBorders>
            <w:gridSpan w:val="2"/>
            <w:vMerge w:val="restart"/>
            <w:shd w:val="clear" w:color="auto" w:fill="CCEEFF"/>
          </w:tcPr>
          <w:p>
            <w:pPr>
              <w:spacing w:after="0"/>
              <w:rPr>
                <w:sz w:val="14"/>
                <w:szCs w:val="14"/>
                <w:color w:val="auto"/>
              </w:rPr>
            </w:pPr>
          </w:p>
        </w:tc>
        <w:tc>
          <w:tcPr>
            <w:tcW w:w="14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100" w:type="dxa"/>
            <w:vAlign w:val="bottom"/>
            <w:tcBorders>
              <w:bottom w:val="single" w:sz="8" w:color="CCEEFF"/>
            </w:tcBorders>
            <w:vMerge w:val="restart"/>
            <w:shd w:val="clear" w:color="auto" w:fill="CCEEFF"/>
          </w:tcPr>
          <w:p>
            <w:pPr>
              <w:spacing w:after="0"/>
              <w:rPr>
                <w:sz w:val="14"/>
                <w:szCs w:val="14"/>
                <w:color w:val="auto"/>
              </w:rPr>
            </w:pPr>
          </w:p>
        </w:tc>
        <w:tc>
          <w:tcPr>
            <w:tcW w:w="360" w:type="dxa"/>
            <w:vAlign w:val="bottom"/>
            <w:tcBorders>
              <w:bottom w:val="single" w:sz="8" w:color="CCEEFF"/>
            </w:tcBorders>
            <w:vMerge w:val="restart"/>
            <w:shd w:val="clear" w:color="auto" w:fill="CCEEFF"/>
          </w:tcPr>
          <w:p>
            <w:pPr>
              <w:spacing w:after="0"/>
              <w:rPr>
                <w:sz w:val="14"/>
                <w:szCs w:val="14"/>
                <w:color w:val="auto"/>
              </w:rPr>
            </w:pPr>
          </w:p>
        </w:tc>
        <w:tc>
          <w:tcPr>
            <w:tcW w:w="60" w:type="dxa"/>
            <w:vAlign w:val="bottom"/>
            <w:tcBorders>
              <w:bottom w:val="single" w:sz="8" w:color="CCEEFF"/>
            </w:tcBorders>
            <w:vMerge w:val="restart"/>
            <w:shd w:val="clear" w:color="auto" w:fill="CCEEFF"/>
          </w:tcPr>
          <w:p>
            <w:pPr>
              <w:spacing w:after="0"/>
              <w:rPr>
                <w:sz w:val="14"/>
                <w:szCs w:val="14"/>
                <w:color w:val="auto"/>
              </w:rPr>
            </w:pPr>
          </w:p>
        </w:tc>
        <w:tc>
          <w:tcPr>
            <w:tcW w:w="40" w:type="dxa"/>
            <w:vAlign w:val="bottom"/>
            <w:tcBorders>
              <w:bottom w:val="single" w:sz="8" w:color="CCEEFF"/>
            </w:tcBorders>
            <w:vMerge w:val="restart"/>
            <w:shd w:val="clear" w:color="auto" w:fill="CCEEFF"/>
          </w:tcPr>
          <w:p>
            <w:pPr>
              <w:spacing w:after="0"/>
              <w:rPr>
                <w:sz w:val="14"/>
                <w:szCs w:val="14"/>
                <w:color w:val="auto"/>
              </w:rPr>
            </w:pPr>
          </w:p>
        </w:tc>
        <w:tc>
          <w:tcPr>
            <w:tcW w:w="40" w:type="dxa"/>
            <w:vAlign w:val="bottom"/>
            <w:tcBorders>
              <w:bottom w:val="single" w:sz="8" w:color="CCEEFF"/>
            </w:tcBorders>
            <w:vMerge w:val="restart"/>
            <w:shd w:val="clear" w:color="auto" w:fill="CCEEFF"/>
          </w:tcPr>
          <w:p>
            <w:pPr>
              <w:spacing w:after="0"/>
              <w:rPr>
                <w:sz w:val="14"/>
                <w:szCs w:val="14"/>
                <w:color w:val="auto"/>
              </w:rPr>
            </w:pPr>
          </w:p>
        </w:tc>
        <w:tc>
          <w:tcPr>
            <w:tcW w:w="100" w:type="dxa"/>
            <w:vAlign w:val="bottom"/>
            <w:tcBorders>
              <w:bottom w:val="single" w:sz="8" w:color="CCEEFF"/>
            </w:tcBorders>
            <w:gridSpan w:val="2"/>
            <w:vMerge w:val="restart"/>
            <w:shd w:val="clear" w:color="auto" w:fill="CCEEFF"/>
          </w:tcPr>
          <w:p>
            <w:pPr>
              <w:spacing w:after="0"/>
              <w:rPr>
                <w:sz w:val="14"/>
                <w:szCs w:val="14"/>
                <w:color w:val="auto"/>
              </w:rPr>
            </w:pPr>
          </w:p>
        </w:tc>
        <w:tc>
          <w:tcPr>
            <w:tcW w:w="8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00" w:type="dxa"/>
            <w:vAlign w:val="bottom"/>
            <w:tcBorders>
              <w:bottom w:val="single" w:sz="8" w:color="CCEEFF"/>
            </w:tcBorders>
            <w:gridSpan w:val="2"/>
            <w:vMerge w:val="restart"/>
            <w:shd w:val="clear" w:color="auto" w:fill="CCEEFF"/>
          </w:tcPr>
          <w:p>
            <w:pPr>
              <w:spacing w:after="0"/>
              <w:rPr>
                <w:sz w:val="14"/>
                <w:szCs w:val="14"/>
                <w:color w:val="auto"/>
              </w:rPr>
            </w:pPr>
          </w:p>
        </w:tc>
        <w:tc>
          <w:tcPr>
            <w:tcW w:w="440" w:type="dxa"/>
            <w:vAlign w:val="bottom"/>
            <w:tcBorders>
              <w:bottom w:val="single" w:sz="8" w:color="CCEEFF"/>
            </w:tcBorders>
            <w:gridSpan w:val="4"/>
            <w:vMerge w:val="restart"/>
            <w:shd w:val="clear" w:color="auto" w:fill="CCEEFF"/>
          </w:tcPr>
          <w:p>
            <w:pPr>
              <w:spacing w:after="0"/>
              <w:rPr>
                <w:sz w:val="14"/>
                <w:szCs w:val="14"/>
                <w:color w:val="auto"/>
              </w:rPr>
            </w:pPr>
          </w:p>
        </w:tc>
        <w:tc>
          <w:tcPr>
            <w:tcW w:w="2080" w:type="dxa"/>
            <w:vAlign w:val="bottom"/>
            <w:tcBorders>
              <w:bottom w:val="single" w:sz="8" w:color="CCEEFF"/>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Dubai, UAE</w:t>
            </w:r>
          </w:p>
        </w:tc>
        <w:tc>
          <w:tcPr>
            <w:tcW w:w="9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780" w:type="dxa"/>
            <w:vAlign w:val="bottom"/>
            <w:tcBorders>
              <w:bottom w:val="single" w:sz="8" w:color="auto"/>
            </w:tcBorders>
            <w:vMerge w:val="continue"/>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400" w:type="dxa"/>
            <w:vAlign w:val="bottom"/>
            <w:tcBorders>
              <w:bottom w:val="single" w:sz="8" w:color="CCEEFF"/>
            </w:tcBorders>
            <w:gridSpan w:val="3"/>
            <w:vMerge w:val="continue"/>
            <w:shd w:val="clear" w:color="auto" w:fill="CCEEFF"/>
          </w:tcPr>
          <w:p>
            <w:pPr>
              <w:spacing w:after="0"/>
              <w:rPr>
                <w:sz w:val="5"/>
                <w:szCs w:val="5"/>
                <w:color w:val="auto"/>
              </w:rPr>
            </w:pPr>
          </w:p>
        </w:tc>
        <w:tc>
          <w:tcPr>
            <w:tcW w:w="40" w:type="dxa"/>
            <w:vAlign w:val="bottom"/>
            <w:tcBorders>
              <w:bottom w:val="single" w:sz="8" w:color="CCEEFF"/>
            </w:tcBorders>
            <w:gridSpan w:val="2"/>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36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gridSpan w:val="2"/>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gridSpan w:val="2"/>
            <w:vMerge w:val="continue"/>
            <w:shd w:val="clear" w:color="auto" w:fill="CCEEFF"/>
          </w:tcPr>
          <w:p>
            <w:pPr>
              <w:spacing w:after="0"/>
              <w:rPr>
                <w:sz w:val="5"/>
                <w:szCs w:val="5"/>
                <w:color w:val="auto"/>
              </w:rPr>
            </w:pPr>
          </w:p>
        </w:tc>
        <w:tc>
          <w:tcPr>
            <w:tcW w:w="440" w:type="dxa"/>
            <w:vAlign w:val="bottom"/>
            <w:tcBorders>
              <w:bottom w:val="single" w:sz="8" w:color="CCEEFF"/>
            </w:tcBorders>
            <w:gridSpan w:val="4"/>
            <w:vMerge w:val="continue"/>
            <w:shd w:val="clear" w:color="auto" w:fill="CCEEFF"/>
          </w:tcPr>
          <w:p>
            <w:pPr>
              <w:spacing w:after="0"/>
              <w:rPr>
                <w:sz w:val="5"/>
                <w:szCs w:val="5"/>
                <w:color w:val="auto"/>
              </w:rPr>
            </w:pPr>
          </w:p>
        </w:tc>
        <w:tc>
          <w:tcPr>
            <w:tcW w:w="208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260" w:type="dxa"/>
            <w:vAlign w:val="bottom"/>
            <w:tcBorders>
              <w:top w:val="single" w:sz="8" w:color="CCEEFF"/>
            </w:tcBorders>
            <w:gridSpan w:val="29"/>
          </w:tcPr>
          <w:p>
            <w:pPr>
              <w:spacing w:after="0"/>
              <w:rPr>
                <w:sz w:val="20"/>
                <w:szCs w:val="20"/>
                <w:color w:val="auto"/>
              </w:rPr>
            </w:pPr>
            <w:r>
              <w:rPr>
                <w:rFonts w:ascii="Times New Roman" w:cs="Times New Roman" w:eastAsia="Times New Roman" w:hAnsi="Times New Roman"/>
                <w:sz w:val="18"/>
                <w:szCs w:val="18"/>
                <w:color w:val="auto"/>
              </w:rPr>
              <w:t>Convertible Note 6%, Due 8/17/2023***</w:t>
            </w:r>
          </w:p>
        </w:tc>
        <w:tc>
          <w:tcPr>
            <w:tcW w:w="2080" w:type="dxa"/>
            <w:vAlign w:val="bottom"/>
            <w:tcBorders>
              <w:top w:val="single" w:sz="8" w:color="CCEEFF"/>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Geolocation Technology</w:t>
            </w:r>
          </w:p>
        </w:tc>
        <w:tc>
          <w:tcPr>
            <w:tcW w:w="9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8/17/2022</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1,000,000</w:t>
            </w:r>
          </w:p>
        </w:tc>
        <w:tc>
          <w:tcPr>
            <w:tcW w:w="1340" w:type="dxa"/>
            <w:vAlign w:val="bottom"/>
            <w:tcBorders>
              <w:top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1,009,093</w:t>
            </w:r>
          </w:p>
        </w:tc>
        <w:tc>
          <w:tcPr>
            <w:tcW w:w="1460" w:type="dxa"/>
            <w:vAlign w:val="bottom"/>
            <w:tcBorders>
              <w:top w:val="single" w:sz="8" w:color="CCEEFF"/>
            </w:tcBorders>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1,000,000</w:t>
            </w:r>
          </w:p>
        </w:tc>
        <w:tc>
          <w:tcPr>
            <w:tcW w:w="9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149"/>
        </w:trPr>
        <w:tc>
          <w:tcPr>
            <w:tcW w:w="2400" w:type="dxa"/>
            <w:vAlign w:val="bottom"/>
            <w:tcBorders>
              <w:bottom w:val="single" w:sz="8" w:color="CCEEFF"/>
            </w:tcBorders>
            <w:gridSpan w:val="18"/>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Rebric, Inc. (d/b/a Compliable)</w:t>
            </w:r>
          </w:p>
        </w:tc>
        <w:tc>
          <w:tcPr>
            <w:tcW w:w="180" w:type="dxa"/>
            <w:vAlign w:val="bottom"/>
            <w:tcBorders>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7"/>
              </w:rPr>
              <w:t>(7)</w:t>
            </w: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00" w:type="dxa"/>
            <w:vAlign w:val="bottom"/>
            <w:tcBorders>
              <w:bottom w:val="single" w:sz="8" w:color="CCEEFF"/>
            </w:tcBorders>
            <w:gridSpan w:val="2"/>
            <w:vMerge w:val="restart"/>
            <w:shd w:val="clear" w:color="auto" w:fill="CCEEFF"/>
          </w:tcPr>
          <w:p>
            <w:pPr>
              <w:spacing w:after="0"/>
              <w:rPr>
                <w:sz w:val="12"/>
                <w:szCs w:val="12"/>
                <w:color w:val="auto"/>
              </w:rPr>
            </w:pPr>
          </w:p>
        </w:tc>
        <w:tc>
          <w:tcPr>
            <w:tcW w:w="440" w:type="dxa"/>
            <w:vAlign w:val="bottom"/>
            <w:tcBorders>
              <w:bottom w:val="single" w:sz="8" w:color="CCEEFF"/>
            </w:tcBorders>
            <w:gridSpan w:val="4"/>
            <w:vMerge w:val="restart"/>
            <w:shd w:val="clear" w:color="auto" w:fill="CCEEFF"/>
          </w:tcPr>
          <w:p>
            <w:pPr>
              <w:spacing w:after="0"/>
              <w:rPr>
                <w:sz w:val="12"/>
                <w:szCs w:val="12"/>
                <w:color w:val="auto"/>
              </w:rPr>
            </w:pPr>
          </w:p>
        </w:tc>
        <w:tc>
          <w:tcPr>
            <w:tcW w:w="2080" w:type="dxa"/>
            <w:vAlign w:val="bottom"/>
            <w:tcBorders>
              <w:bottom w:val="single" w:sz="8" w:color="CCEEFF"/>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Denver, CO</w:t>
            </w:r>
          </w:p>
        </w:tc>
        <w:tc>
          <w:tcPr>
            <w:tcW w:w="9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400" w:type="dxa"/>
            <w:vAlign w:val="bottom"/>
            <w:tcBorders>
              <w:bottom w:val="single" w:sz="8" w:color="auto"/>
            </w:tcBorders>
            <w:gridSpan w:val="18"/>
            <w:vMerge w:val="continue"/>
            <w:shd w:val="clear" w:color="auto" w:fill="CCEEFF"/>
          </w:tcPr>
          <w:p>
            <w:pPr>
              <w:spacing w:after="0"/>
              <w:rPr>
                <w:sz w:val="5"/>
                <w:szCs w:val="5"/>
                <w:color w:val="auto"/>
              </w:rPr>
            </w:pPr>
          </w:p>
        </w:tc>
        <w:tc>
          <w:tcPr>
            <w:tcW w:w="100" w:type="dxa"/>
            <w:vAlign w:val="bottom"/>
            <w:tcBorders>
              <w:bottom w:val="single" w:sz="8" w:color="CCEEFF"/>
            </w:tcBorders>
            <w:gridSpan w:val="2"/>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gridSpan w:val="2"/>
            <w:vMerge w:val="continue"/>
            <w:shd w:val="clear" w:color="auto" w:fill="CCEEFF"/>
          </w:tcPr>
          <w:p>
            <w:pPr>
              <w:spacing w:after="0"/>
              <w:rPr>
                <w:sz w:val="5"/>
                <w:szCs w:val="5"/>
                <w:color w:val="auto"/>
              </w:rPr>
            </w:pPr>
          </w:p>
        </w:tc>
        <w:tc>
          <w:tcPr>
            <w:tcW w:w="440" w:type="dxa"/>
            <w:vAlign w:val="bottom"/>
            <w:tcBorders>
              <w:bottom w:val="single" w:sz="8" w:color="CCEEFF"/>
            </w:tcBorders>
            <w:gridSpan w:val="4"/>
            <w:vMerge w:val="continue"/>
            <w:shd w:val="clear" w:color="auto" w:fill="CCEEFF"/>
          </w:tcPr>
          <w:p>
            <w:pPr>
              <w:spacing w:after="0"/>
              <w:rPr>
                <w:sz w:val="5"/>
                <w:szCs w:val="5"/>
                <w:color w:val="auto"/>
              </w:rPr>
            </w:pPr>
          </w:p>
        </w:tc>
        <w:tc>
          <w:tcPr>
            <w:tcW w:w="208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260" w:type="dxa"/>
            <w:vAlign w:val="bottom"/>
            <w:tcBorders>
              <w:top w:val="single" w:sz="8" w:color="CCEEFF"/>
            </w:tcBorders>
            <w:gridSpan w:val="29"/>
          </w:tcPr>
          <w:p>
            <w:pPr>
              <w:spacing w:after="0"/>
              <w:rPr>
                <w:sz w:val="20"/>
                <w:szCs w:val="20"/>
                <w:color w:val="auto"/>
              </w:rPr>
            </w:pPr>
            <w:r>
              <w:rPr>
                <w:rFonts w:ascii="Times New Roman" w:cs="Times New Roman" w:eastAsia="Times New Roman" w:hAnsi="Times New Roman"/>
                <w:sz w:val="18"/>
                <w:szCs w:val="18"/>
                <w:color w:val="auto"/>
              </w:rPr>
              <w:t>Preferred shares, Series Seed-4</w:t>
            </w:r>
          </w:p>
        </w:tc>
        <w:tc>
          <w:tcPr>
            <w:tcW w:w="2080" w:type="dxa"/>
            <w:vAlign w:val="bottom"/>
            <w:tcBorders>
              <w:top w:val="single" w:sz="8" w:color="CCEEFF"/>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Gaming Licensing</w:t>
            </w:r>
          </w:p>
        </w:tc>
        <w:tc>
          <w:tcPr>
            <w:tcW w:w="9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10/12/2021</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2,477,585</w:t>
            </w:r>
          </w:p>
        </w:tc>
        <w:tc>
          <w:tcPr>
            <w:tcW w:w="1340" w:type="dxa"/>
            <w:vAlign w:val="bottom"/>
            <w:tcBorders>
              <w:top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1,002,755</w:t>
            </w:r>
          </w:p>
        </w:tc>
        <w:tc>
          <w:tcPr>
            <w:tcW w:w="1460" w:type="dxa"/>
            <w:vAlign w:val="bottom"/>
            <w:tcBorders>
              <w:top w:val="single" w:sz="8" w:color="CCEEFF"/>
            </w:tcBorders>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822,937</w:t>
            </w:r>
          </w:p>
        </w:tc>
        <w:tc>
          <w:tcPr>
            <w:tcW w:w="9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175"/>
        </w:trPr>
        <w:tc>
          <w:tcPr>
            <w:tcW w:w="2360" w:type="dxa"/>
            <w:vAlign w:val="bottom"/>
            <w:tcBorders>
              <w:bottom w:val="single" w:sz="8" w:color="auto"/>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7"/>
              </w:rPr>
              <w:t>YouBet Technology, Inc. (d/b/a</w:t>
            </w:r>
          </w:p>
        </w:tc>
        <w:tc>
          <w:tcPr>
            <w:tcW w:w="900" w:type="dxa"/>
            <w:vAlign w:val="bottom"/>
            <w:tcBorders>
              <w:bottom w:val="single" w:sz="8" w:color="CCEEFF"/>
            </w:tcBorders>
            <w:gridSpan w:val="12"/>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60" w:type="dxa"/>
            <w:vAlign w:val="bottom"/>
            <w:tcBorders>
              <w:bottom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FanPower)</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1"/>
              </w:rPr>
              <w:t>(7)</w:t>
            </w:r>
          </w:p>
        </w:tc>
        <w:tc>
          <w:tcPr>
            <w:tcW w:w="160" w:type="dxa"/>
            <w:vAlign w:val="bottom"/>
            <w:tcBorders>
              <w:bottom w:val="single" w:sz="8" w:color="CCEEFF"/>
            </w:tcBorders>
            <w:vMerge w:val="restart"/>
            <w:shd w:val="clear" w:color="auto" w:fill="CCEEFF"/>
          </w:tcPr>
          <w:p>
            <w:pPr>
              <w:spacing w:after="0"/>
              <w:rPr>
                <w:sz w:val="14"/>
                <w:szCs w:val="14"/>
                <w:color w:val="auto"/>
              </w:rPr>
            </w:pPr>
          </w:p>
        </w:tc>
        <w:tc>
          <w:tcPr>
            <w:tcW w:w="400" w:type="dxa"/>
            <w:vAlign w:val="bottom"/>
            <w:tcBorders>
              <w:bottom w:val="single" w:sz="8" w:color="CCEEFF"/>
            </w:tcBorders>
            <w:gridSpan w:val="3"/>
            <w:vMerge w:val="restart"/>
            <w:shd w:val="clear" w:color="auto" w:fill="CCEEFF"/>
          </w:tcPr>
          <w:p>
            <w:pPr>
              <w:spacing w:after="0"/>
              <w:rPr>
                <w:sz w:val="14"/>
                <w:szCs w:val="14"/>
                <w:color w:val="auto"/>
              </w:rPr>
            </w:pPr>
          </w:p>
        </w:tc>
        <w:tc>
          <w:tcPr>
            <w:tcW w:w="40" w:type="dxa"/>
            <w:vAlign w:val="bottom"/>
            <w:tcBorders>
              <w:bottom w:val="single" w:sz="8" w:color="CCEEFF"/>
            </w:tcBorders>
            <w:gridSpan w:val="2"/>
            <w:vMerge w:val="restart"/>
            <w:shd w:val="clear" w:color="auto" w:fill="CCEEFF"/>
          </w:tcPr>
          <w:p>
            <w:pPr>
              <w:spacing w:after="0"/>
              <w:rPr>
                <w:sz w:val="14"/>
                <w:szCs w:val="14"/>
                <w:color w:val="auto"/>
              </w:rPr>
            </w:pPr>
          </w:p>
        </w:tc>
        <w:tc>
          <w:tcPr>
            <w:tcW w:w="14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100" w:type="dxa"/>
            <w:vAlign w:val="bottom"/>
            <w:tcBorders>
              <w:bottom w:val="single" w:sz="8" w:color="CCEEFF"/>
            </w:tcBorders>
            <w:vMerge w:val="restart"/>
            <w:shd w:val="clear" w:color="auto" w:fill="CCEEFF"/>
          </w:tcPr>
          <w:p>
            <w:pPr>
              <w:spacing w:after="0"/>
              <w:rPr>
                <w:sz w:val="14"/>
                <w:szCs w:val="14"/>
                <w:color w:val="auto"/>
              </w:rPr>
            </w:pPr>
          </w:p>
        </w:tc>
        <w:tc>
          <w:tcPr>
            <w:tcW w:w="360" w:type="dxa"/>
            <w:vAlign w:val="bottom"/>
            <w:tcBorders>
              <w:bottom w:val="single" w:sz="8" w:color="CCEEFF"/>
            </w:tcBorders>
            <w:vMerge w:val="restart"/>
            <w:shd w:val="clear" w:color="auto" w:fill="CCEEFF"/>
          </w:tcPr>
          <w:p>
            <w:pPr>
              <w:spacing w:after="0"/>
              <w:rPr>
                <w:sz w:val="14"/>
                <w:szCs w:val="14"/>
                <w:color w:val="auto"/>
              </w:rPr>
            </w:pPr>
          </w:p>
        </w:tc>
        <w:tc>
          <w:tcPr>
            <w:tcW w:w="60" w:type="dxa"/>
            <w:vAlign w:val="bottom"/>
            <w:tcBorders>
              <w:bottom w:val="single" w:sz="8" w:color="CCEEFF"/>
            </w:tcBorders>
            <w:vMerge w:val="restart"/>
            <w:shd w:val="clear" w:color="auto" w:fill="CCEEFF"/>
          </w:tcPr>
          <w:p>
            <w:pPr>
              <w:spacing w:after="0"/>
              <w:rPr>
                <w:sz w:val="14"/>
                <w:szCs w:val="14"/>
                <w:color w:val="auto"/>
              </w:rPr>
            </w:pPr>
          </w:p>
        </w:tc>
        <w:tc>
          <w:tcPr>
            <w:tcW w:w="180" w:type="dxa"/>
            <w:vAlign w:val="bottom"/>
            <w:tcBorders>
              <w:bottom w:val="single" w:sz="8" w:color="CCEEFF"/>
            </w:tcBorders>
            <w:gridSpan w:val="4"/>
            <w:vMerge w:val="restart"/>
            <w:shd w:val="clear" w:color="auto" w:fill="CCEEFF"/>
          </w:tcPr>
          <w:p>
            <w:pPr>
              <w:spacing w:after="0"/>
              <w:rPr>
                <w:sz w:val="14"/>
                <w:szCs w:val="14"/>
                <w:color w:val="auto"/>
              </w:rPr>
            </w:pPr>
          </w:p>
        </w:tc>
        <w:tc>
          <w:tcPr>
            <w:tcW w:w="100" w:type="dxa"/>
            <w:vAlign w:val="bottom"/>
            <w:tcBorders>
              <w:bottom w:val="single" w:sz="8" w:color="CCEEFF"/>
            </w:tcBorders>
            <w:gridSpan w:val="2"/>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00" w:type="dxa"/>
            <w:vAlign w:val="bottom"/>
            <w:tcBorders>
              <w:bottom w:val="single" w:sz="8" w:color="CCEEFF"/>
            </w:tcBorders>
            <w:gridSpan w:val="2"/>
            <w:vMerge w:val="restart"/>
            <w:shd w:val="clear" w:color="auto" w:fill="CCEEFF"/>
          </w:tcPr>
          <w:p>
            <w:pPr>
              <w:spacing w:after="0"/>
              <w:rPr>
                <w:sz w:val="14"/>
                <w:szCs w:val="14"/>
                <w:color w:val="auto"/>
              </w:rPr>
            </w:pPr>
          </w:p>
        </w:tc>
        <w:tc>
          <w:tcPr>
            <w:tcW w:w="440" w:type="dxa"/>
            <w:vAlign w:val="bottom"/>
            <w:tcBorders>
              <w:bottom w:val="single" w:sz="8" w:color="CCEEFF"/>
            </w:tcBorders>
            <w:gridSpan w:val="4"/>
            <w:vMerge w:val="restart"/>
            <w:shd w:val="clear" w:color="auto" w:fill="CCEEFF"/>
          </w:tcPr>
          <w:p>
            <w:pPr>
              <w:spacing w:after="0"/>
              <w:rPr>
                <w:sz w:val="14"/>
                <w:szCs w:val="14"/>
                <w:color w:val="auto"/>
              </w:rPr>
            </w:pPr>
          </w:p>
        </w:tc>
        <w:tc>
          <w:tcPr>
            <w:tcW w:w="2080" w:type="dxa"/>
            <w:vAlign w:val="bottom"/>
            <w:tcBorders>
              <w:bottom w:val="single" w:sz="8" w:color="CCEEFF"/>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 NY</w:t>
            </w:r>
          </w:p>
        </w:tc>
        <w:tc>
          <w:tcPr>
            <w:tcW w:w="9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860" w:type="dxa"/>
            <w:vAlign w:val="bottom"/>
            <w:tcBorders>
              <w:bottom w:val="single" w:sz="8" w:color="auto"/>
            </w:tcBorders>
            <w:gridSpan w:val="3"/>
            <w:vMerge w:val="continue"/>
            <w:shd w:val="clear" w:color="auto" w:fill="CCEEFF"/>
          </w:tcPr>
          <w:p>
            <w:pPr>
              <w:spacing w:after="0"/>
              <w:rPr>
                <w:sz w:val="5"/>
                <w:szCs w:val="5"/>
                <w:color w:val="auto"/>
              </w:rPr>
            </w:pPr>
          </w:p>
        </w:tc>
        <w:tc>
          <w:tcPr>
            <w:tcW w:w="180" w:type="dxa"/>
            <w:vAlign w:val="bottom"/>
            <w:tcBorders>
              <w:bottom w:val="single" w:sz="8" w:color="CCEEFF"/>
            </w:tcBorders>
            <w:gridSpan w:val="2"/>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400" w:type="dxa"/>
            <w:vAlign w:val="bottom"/>
            <w:tcBorders>
              <w:bottom w:val="single" w:sz="8" w:color="CCEEFF"/>
            </w:tcBorders>
            <w:gridSpan w:val="3"/>
            <w:vMerge w:val="continue"/>
            <w:shd w:val="clear" w:color="auto" w:fill="CCEEFF"/>
          </w:tcPr>
          <w:p>
            <w:pPr>
              <w:spacing w:after="0"/>
              <w:rPr>
                <w:sz w:val="5"/>
                <w:szCs w:val="5"/>
                <w:color w:val="auto"/>
              </w:rPr>
            </w:pPr>
          </w:p>
        </w:tc>
        <w:tc>
          <w:tcPr>
            <w:tcW w:w="40" w:type="dxa"/>
            <w:vAlign w:val="bottom"/>
            <w:tcBorders>
              <w:bottom w:val="single" w:sz="8" w:color="CCEEFF"/>
            </w:tcBorders>
            <w:gridSpan w:val="2"/>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36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gridSpan w:val="4"/>
            <w:vMerge w:val="continue"/>
            <w:shd w:val="clear" w:color="auto" w:fill="CCEEFF"/>
          </w:tcPr>
          <w:p>
            <w:pPr>
              <w:spacing w:after="0"/>
              <w:rPr>
                <w:sz w:val="5"/>
                <w:szCs w:val="5"/>
                <w:color w:val="auto"/>
              </w:rPr>
            </w:pPr>
          </w:p>
        </w:tc>
        <w:tc>
          <w:tcPr>
            <w:tcW w:w="100" w:type="dxa"/>
            <w:vAlign w:val="bottom"/>
            <w:tcBorders>
              <w:bottom w:val="single" w:sz="8" w:color="CCEEFF"/>
            </w:tcBorders>
            <w:gridSpan w:val="2"/>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gridSpan w:val="2"/>
            <w:vMerge w:val="continue"/>
            <w:shd w:val="clear" w:color="auto" w:fill="CCEEFF"/>
          </w:tcPr>
          <w:p>
            <w:pPr>
              <w:spacing w:after="0"/>
              <w:rPr>
                <w:sz w:val="5"/>
                <w:szCs w:val="5"/>
                <w:color w:val="auto"/>
              </w:rPr>
            </w:pPr>
          </w:p>
        </w:tc>
        <w:tc>
          <w:tcPr>
            <w:tcW w:w="440" w:type="dxa"/>
            <w:vAlign w:val="bottom"/>
            <w:tcBorders>
              <w:bottom w:val="single" w:sz="8" w:color="CCEEFF"/>
            </w:tcBorders>
            <w:gridSpan w:val="4"/>
            <w:vMerge w:val="continue"/>
            <w:shd w:val="clear" w:color="auto" w:fill="CCEEFF"/>
          </w:tcPr>
          <w:p>
            <w:pPr>
              <w:spacing w:after="0"/>
              <w:rPr>
                <w:sz w:val="5"/>
                <w:szCs w:val="5"/>
                <w:color w:val="auto"/>
              </w:rPr>
            </w:pPr>
          </w:p>
        </w:tc>
        <w:tc>
          <w:tcPr>
            <w:tcW w:w="208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7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80" w:type="dxa"/>
            <w:vAlign w:val="bottom"/>
            <w:tcBorders>
              <w:top w:val="single" w:sz="8" w:color="CCEEFF"/>
            </w:tcBorders>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Digital Media</w:t>
            </w:r>
          </w:p>
        </w:tc>
        <w:tc>
          <w:tcPr>
            <w:tcW w:w="9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Preferred shares, Series Seed-2</w:t>
            </w: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Technology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8/26/2021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578,029</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752,943</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749,998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149"/>
        </w:trPr>
        <w:tc>
          <w:tcPr>
            <w:tcW w:w="1600" w:type="dxa"/>
            <w:vAlign w:val="bottom"/>
            <w:tcBorders>
              <w:bottom w:val="single" w:sz="8" w:color="CCEEFF"/>
            </w:tcBorders>
            <w:gridSpan w:val="9"/>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EDGE Markets, Inc.</w:t>
            </w:r>
          </w:p>
        </w:tc>
        <w:tc>
          <w:tcPr>
            <w:tcW w:w="180" w:type="dxa"/>
            <w:vAlign w:val="bottom"/>
            <w:tcBorders>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7"/>
              </w:rPr>
              <w:t>(7)</w:t>
            </w: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36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80" w:type="dxa"/>
            <w:vAlign w:val="bottom"/>
            <w:tcBorders>
              <w:bottom w:val="single" w:sz="8" w:color="CCEEFF"/>
            </w:tcBorders>
            <w:gridSpan w:val="4"/>
            <w:vMerge w:val="restart"/>
            <w:shd w:val="clear" w:color="auto" w:fill="CCEEFF"/>
          </w:tcPr>
          <w:p>
            <w:pPr>
              <w:spacing w:after="0"/>
              <w:rPr>
                <w:sz w:val="12"/>
                <w:szCs w:val="12"/>
                <w:color w:val="auto"/>
              </w:rPr>
            </w:pPr>
          </w:p>
        </w:tc>
        <w:tc>
          <w:tcPr>
            <w:tcW w:w="100" w:type="dxa"/>
            <w:vAlign w:val="bottom"/>
            <w:tcBorders>
              <w:bottom w:val="single" w:sz="8" w:color="CCEEFF"/>
            </w:tcBorders>
            <w:gridSpan w:val="2"/>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00" w:type="dxa"/>
            <w:vAlign w:val="bottom"/>
            <w:tcBorders>
              <w:bottom w:val="single" w:sz="8" w:color="CCEEFF"/>
            </w:tcBorders>
            <w:gridSpan w:val="2"/>
            <w:vMerge w:val="restart"/>
            <w:shd w:val="clear" w:color="auto" w:fill="CCEEFF"/>
          </w:tcPr>
          <w:p>
            <w:pPr>
              <w:spacing w:after="0"/>
              <w:rPr>
                <w:sz w:val="12"/>
                <w:szCs w:val="12"/>
                <w:color w:val="auto"/>
              </w:rPr>
            </w:pPr>
          </w:p>
        </w:tc>
        <w:tc>
          <w:tcPr>
            <w:tcW w:w="440" w:type="dxa"/>
            <w:vAlign w:val="bottom"/>
            <w:tcBorders>
              <w:bottom w:val="single" w:sz="8" w:color="CCEEFF"/>
            </w:tcBorders>
            <w:gridSpan w:val="4"/>
            <w:vMerge w:val="restart"/>
            <w:shd w:val="clear" w:color="auto" w:fill="CCEEFF"/>
          </w:tcPr>
          <w:p>
            <w:pPr>
              <w:spacing w:after="0"/>
              <w:rPr>
                <w:sz w:val="12"/>
                <w:szCs w:val="12"/>
                <w:color w:val="auto"/>
              </w:rPr>
            </w:pPr>
          </w:p>
        </w:tc>
        <w:tc>
          <w:tcPr>
            <w:tcW w:w="2080" w:type="dxa"/>
            <w:vAlign w:val="bottom"/>
            <w:tcBorders>
              <w:bottom w:val="single" w:sz="8" w:color="CCEEFF"/>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San Diego, CA</w:t>
            </w:r>
          </w:p>
        </w:tc>
        <w:tc>
          <w:tcPr>
            <w:tcW w:w="9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600" w:type="dxa"/>
            <w:vAlign w:val="bottom"/>
            <w:tcBorders>
              <w:bottom w:val="single" w:sz="8" w:color="auto"/>
            </w:tcBorders>
            <w:gridSpan w:val="9"/>
            <w:vMerge w:val="continue"/>
            <w:shd w:val="clear" w:color="auto" w:fill="CCEEFF"/>
          </w:tcPr>
          <w:p>
            <w:pPr>
              <w:spacing w:after="0"/>
              <w:rPr>
                <w:sz w:val="5"/>
                <w:szCs w:val="5"/>
                <w:color w:val="auto"/>
              </w:rPr>
            </w:pPr>
          </w:p>
        </w:tc>
        <w:tc>
          <w:tcPr>
            <w:tcW w:w="40" w:type="dxa"/>
            <w:vAlign w:val="bottom"/>
            <w:tcBorders>
              <w:bottom w:val="single" w:sz="8" w:color="CCEEFF"/>
            </w:tcBorders>
            <w:gridSpan w:val="2"/>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36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gridSpan w:val="4"/>
            <w:vMerge w:val="continue"/>
            <w:shd w:val="clear" w:color="auto" w:fill="CCEEFF"/>
          </w:tcPr>
          <w:p>
            <w:pPr>
              <w:spacing w:after="0"/>
              <w:rPr>
                <w:sz w:val="5"/>
                <w:szCs w:val="5"/>
                <w:color w:val="auto"/>
              </w:rPr>
            </w:pPr>
          </w:p>
        </w:tc>
        <w:tc>
          <w:tcPr>
            <w:tcW w:w="100" w:type="dxa"/>
            <w:vAlign w:val="bottom"/>
            <w:tcBorders>
              <w:bottom w:val="single" w:sz="8" w:color="CCEEFF"/>
            </w:tcBorders>
            <w:gridSpan w:val="2"/>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gridSpan w:val="2"/>
            <w:vMerge w:val="continue"/>
            <w:shd w:val="clear" w:color="auto" w:fill="CCEEFF"/>
          </w:tcPr>
          <w:p>
            <w:pPr>
              <w:spacing w:after="0"/>
              <w:rPr>
                <w:sz w:val="5"/>
                <w:szCs w:val="5"/>
                <w:color w:val="auto"/>
              </w:rPr>
            </w:pPr>
          </w:p>
        </w:tc>
        <w:tc>
          <w:tcPr>
            <w:tcW w:w="440" w:type="dxa"/>
            <w:vAlign w:val="bottom"/>
            <w:tcBorders>
              <w:bottom w:val="single" w:sz="8" w:color="CCEEFF"/>
            </w:tcBorders>
            <w:gridSpan w:val="4"/>
            <w:vMerge w:val="continue"/>
            <w:shd w:val="clear" w:color="auto" w:fill="CCEEFF"/>
          </w:tcPr>
          <w:p>
            <w:pPr>
              <w:spacing w:after="0"/>
              <w:rPr>
                <w:sz w:val="5"/>
                <w:szCs w:val="5"/>
                <w:color w:val="auto"/>
              </w:rPr>
            </w:pPr>
          </w:p>
        </w:tc>
        <w:tc>
          <w:tcPr>
            <w:tcW w:w="208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260" w:type="dxa"/>
            <w:vAlign w:val="bottom"/>
            <w:tcBorders>
              <w:top w:val="single" w:sz="8" w:color="CCEEFF"/>
            </w:tcBorders>
            <w:gridSpan w:val="29"/>
          </w:tcPr>
          <w:p>
            <w:pPr>
              <w:spacing w:after="0"/>
              <w:rPr>
                <w:sz w:val="20"/>
                <w:szCs w:val="20"/>
                <w:color w:val="auto"/>
              </w:rPr>
            </w:pPr>
            <w:r>
              <w:rPr>
                <w:rFonts w:ascii="Times New Roman" w:cs="Times New Roman" w:eastAsia="Times New Roman" w:hAnsi="Times New Roman"/>
                <w:sz w:val="18"/>
                <w:szCs w:val="18"/>
                <w:color w:val="auto"/>
              </w:rPr>
              <w:t>Preferred shares, Series Seed</w:t>
            </w:r>
          </w:p>
        </w:tc>
        <w:tc>
          <w:tcPr>
            <w:tcW w:w="2080" w:type="dxa"/>
            <w:vAlign w:val="bottom"/>
            <w:tcBorders>
              <w:top w:val="single" w:sz="8" w:color="CCEEFF"/>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Gaming Technology</w:t>
            </w:r>
          </w:p>
        </w:tc>
        <w:tc>
          <w:tcPr>
            <w:tcW w:w="9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5/18/2022</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456,704</w:t>
            </w:r>
          </w:p>
        </w:tc>
        <w:tc>
          <w:tcPr>
            <w:tcW w:w="1340" w:type="dxa"/>
            <w:vAlign w:val="bottom"/>
            <w:tcBorders>
              <w:top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501,330</w:t>
            </w:r>
          </w:p>
        </w:tc>
        <w:tc>
          <w:tcPr>
            <w:tcW w:w="1460" w:type="dxa"/>
            <w:vAlign w:val="bottom"/>
            <w:tcBorders>
              <w:top w:val="single" w:sz="8" w:color="CCEEFF"/>
            </w:tcBorders>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500,000</w:t>
            </w:r>
          </w:p>
        </w:tc>
        <w:tc>
          <w:tcPr>
            <w:tcW w:w="9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149"/>
        </w:trPr>
        <w:tc>
          <w:tcPr>
            <w:tcW w:w="2320" w:type="dxa"/>
            <w:vAlign w:val="bottom"/>
            <w:tcBorders>
              <w:bottom w:val="single" w:sz="8" w:color="CCEEFF"/>
            </w:tcBorders>
            <w:gridSpan w:val="16"/>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Churchill Sponsor VII LLC**</w:t>
            </w:r>
          </w:p>
        </w:tc>
        <w:tc>
          <w:tcPr>
            <w:tcW w:w="280" w:type="dxa"/>
            <w:vAlign w:val="bottom"/>
            <w:tcBorders>
              <w:bottom w:val="single" w:sz="8" w:color="auto"/>
            </w:tcBorders>
            <w:gridSpan w:val="6"/>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(12)</w:t>
            </w: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00" w:type="dxa"/>
            <w:vAlign w:val="bottom"/>
            <w:tcBorders>
              <w:bottom w:val="single" w:sz="8" w:color="CCEEFF"/>
            </w:tcBorders>
            <w:gridSpan w:val="2"/>
            <w:vMerge w:val="restart"/>
            <w:shd w:val="clear" w:color="auto" w:fill="CCEEFF"/>
          </w:tcPr>
          <w:p>
            <w:pPr>
              <w:spacing w:after="0"/>
              <w:rPr>
                <w:sz w:val="12"/>
                <w:szCs w:val="12"/>
                <w:color w:val="auto"/>
              </w:rPr>
            </w:pPr>
          </w:p>
        </w:tc>
        <w:tc>
          <w:tcPr>
            <w:tcW w:w="440" w:type="dxa"/>
            <w:vAlign w:val="bottom"/>
            <w:tcBorders>
              <w:bottom w:val="single" w:sz="8" w:color="CCEEFF"/>
            </w:tcBorders>
            <w:gridSpan w:val="4"/>
            <w:vMerge w:val="restart"/>
            <w:shd w:val="clear" w:color="auto" w:fill="CCEEFF"/>
          </w:tcPr>
          <w:p>
            <w:pPr>
              <w:spacing w:after="0"/>
              <w:rPr>
                <w:sz w:val="12"/>
                <w:szCs w:val="12"/>
                <w:color w:val="auto"/>
              </w:rPr>
            </w:pPr>
          </w:p>
        </w:tc>
        <w:tc>
          <w:tcPr>
            <w:tcW w:w="2080" w:type="dxa"/>
            <w:vAlign w:val="bottom"/>
            <w:tcBorders>
              <w:bottom w:val="single" w:sz="8" w:color="CCEEFF"/>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 NY</w:t>
            </w:r>
          </w:p>
        </w:tc>
        <w:tc>
          <w:tcPr>
            <w:tcW w:w="9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320" w:type="dxa"/>
            <w:vAlign w:val="bottom"/>
            <w:tcBorders>
              <w:bottom w:val="single" w:sz="8" w:color="auto"/>
            </w:tcBorders>
            <w:gridSpan w:val="16"/>
            <w:vMerge w:val="continue"/>
            <w:shd w:val="clear" w:color="auto" w:fill="CCEEFF"/>
          </w:tcPr>
          <w:p>
            <w:pPr>
              <w:spacing w:after="0"/>
              <w:rPr>
                <w:sz w:val="5"/>
                <w:szCs w:val="5"/>
                <w:color w:val="auto"/>
              </w:rPr>
            </w:pPr>
          </w:p>
        </w:tc>
        <w:tc>
          <w:tcPr>
            <w:tcW w:w="180" w:type="dxa"/>
            <w:vAlign w:val="bottom"/>
            <w:tcBorders>
              <w:bottom w:val="single" w:sz="8" w:color="CCEEFF"/>
            </w:tcBorders>
            <w:gridSpan w:val="4"/>
            <w:shd w:val="clear" w:color="auto" w:fill="CCEEFF"/>
          </w:tcPr>
          <w:p>
            <w:pPr>
              <w:spacing w:after="0"/>
              <w:rPr>
                <w:sz w:val="5"/>
                <w:szCs w:val="5"/>
                <w:color w:val="auto"/>
              </w:rPr>
            </w:pPr>
          </w:p>
        </w:tc>
        <w:tc>
          <w:tcPr>
            <w:tcW w:w="100" w:type="dxa"/>
            <w:vAlign w:val="bottom"/>
            <w:tcBorders>
              <w:bottom w:val="single" w:sz="8" w:color="CCEEFF"/>
            </w:tcBorders>
            <w:gridSpan w:val="2"/>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gridSpan w:val="2"/>
            <w:vMerge w:val="continue"/>
            <w:shd w:val="clear" w:color="auto" w:fill="CCEEFF"/>
          </w:tcPr>
          <w:p>
            <w:pPr>
              <w:spacing w:after="0"/>
              <w:rPr>
                <w:sz w:val="5"/>
                <w:szCs w:val="5"/>
                <w:color w:val="auto"/>
              </w:rPr>
            </w:pPr>
          </w:p>
        </w:tc>
        <w:tc>
          <w:tcPr>
            <w:tcW w:w="440" w:type="dxa"/>
            <w:vAlign w:val="bottom"/>
            <w:tcBorders>
              <w:bottom w:val="single" w:sz="8" w:color="CCEEFF"/>
            </w:tcBorders>
            <w:gridSpan w:val="4"/>
            <w:vMerge w:val="continue"/>
            <w:shd w:val="clear" w:color="auto" w:fill="CCEEFF"/>
          </w:tcPr>
          <w:p>
            <w:pPr>
              <w:spacing w:after="0"/>
              <w:rPr>
                <w:sz w:val="5"/>
                <w:szCs w:val="5"/>
                <w:color w:val="auto"/>
              </w:rPr>
            </w:pPr>
          </w:p>
        </w:tc>
        <w:tc>
          <w:tcPr>
            <w:tcW w:w="208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7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80" w:type="dxa"/>
            <w:vAlign w:val="bottom"/>
            <w:tcBorders>
              <w:top w:val="single" w:sz="8" w:color="CCEEFF"/>
            </w:tcBorders>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Special Purpose</w:t>
            </w:r>
          </w:p>
        </w:tc>
        <w:tc>
          <w:tcPr>
            <w:tcW w:w="9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Common share units</w:t>
            </w: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Acquisition Company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292,100</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205,820</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205,820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36"/>
        </w:trPr>
        <w:tc>
          <w:tcPr>
            <w:tcW w:w="326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units</w:t>
            </w:r>
          </w:p>
        </w:tc>
        <w:tc>
          <w:tcPr>
            <w:tcW w:w="1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2/25/2021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277,000</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94,180</w:t>
            </w:r>
          </w:p>
        </w:tc>
        <w:tc>
          <w:tcPr>
            <w:tcW w:w="14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94,180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bottom w:val="single" w:sz="8" w:color="CCEEFF"/>
            </w:tcBorders>
            <w:gridSpan w:val="29"/>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w:t>
            </w:r>
          </w:p>
        </w:tc>
        <w:tc>
          <w:tcPr>
            <w:tcW w:w="1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w:t>
            </w:r>
          </w:p>
        </w:tc>
        <w:tc>
          <w:tcPr>
            <w:tcW w:w="30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0.14</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35"/>
        </w:trPr>
        <w:tc>
          <w:tcPr>
            <w:tcW w:w="1640" w:type="dxa"/>
            <w:vAlign w:val="bottom"/>
            <w:tcBorders>
              <w:bottom w:val="single" w:sz="8" w:color="CCEEFF"/>
            </w:tcBorders>
            <w:gridSpan w:val="11"/>
            <w:vMerge w:val="restart"/>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8"/>
              </w:rPr>
              <w:t>AltC Sponsor LLC**</w:t>
            </w:r>
          </w:p>
        </w:tc>
        <w:tc>
          <w:tcPr>
            <w:tcW w:w="260" w:type="dxa"/>
            <w:vAlign w:val="bottom"/>
            <w:tcBorders>
              <w:bottom w:val="single" w:sz="8" w:color="auto"/>
            </w:tcBorders>
            <w:gridSpan w:val="3"/>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(12)</w:t>
            </w:r>
          </w:p>
        </w:tc>
        <w:tc>
          <w:tcPr>
            <w:tcW w:w="360" w:type="dxa"/>
            <w:vAlign w:val="bottom"/>
            <w:tcBorders>
              <w:bottom w:val="single" w:sz="8" w:color="CCEEFF"/>
            </w:tcBorders>
            <w:vMerge w:val="restart"/>
            <w:shd w:val="clear" w:color="auto" w:fill="CCEEFF"/>
          </w:tcPr>
          <w:p>
            <w:pPr>
              <w:spacing w:after="0"/>
              <w:rPr>
                <w:sz w:val="11"/>
                <w:szCs w:val="11"/>
                <w:color w:val="auto"/>
              </w:rPr>
            </w:pPr>
          </w:p>
        </w:tc>
        <w:tc>
          <w:tcPr>
            <w:tcW w:w="240" w:type="dxa"/>
            <w:vAlign w:val="bottom"/>
            <w:tcBorders>
              <w:bottom w:val="single" w:sz="8" w:color="CCEEFF"/>
            </w:tcBorders>
            <w:gridSpan w:val="5"/>
            <w:vMerge w:val="restart"/>
            <w:shd w:val="clear" w:color="auto" w:fill="CCEEFF"/>
          </w:tcPr>
          <w:p>
            <w:pPr>
              <w:spacing w:after="0"/>
              <w:rPr>
                <w:sz w:val="11"/>
                <w:szCs w:val="11"/>
                <w:color w:val="auto"/>
              </w:rPr>
            </w:pPr>
          </w:p>
        </w:tc>
        <w:tc>
          <w:tcPr>
            <w:tcW w:w="120" w:type="dxa"/>
            <w:vAlign w:val="bottom"/>
            <w:tcBorders>
              <w:bottom w:val="single" w:sz="8" w:color="CCEEFF"/>
            </w:tcBorders>
            <w:gridSpan w:val="3"/>
            <w:vMerge w:val="restart"/>
            <w:shd w:val="clear" w:color="auto" w:fill="CCEEFF"/>
          </w:tcPr>
          <w:p>
            <w:pPr>
              <w:spacing w:after="0"/>
              <w:rPr>
                <w:sz w:val="11"/>
                <w:szCs w:val="11"/>
                <w:color w:val="auto"/>
              </w:rPr>
            </w:pPr>
          </w:p>
        </w:tc>
        <w:tc>
          <w:tcPr>
            <w:tcW w:w="200" w:type="dxa"/>
            <w:vAlign w:val="bottom"/>
            <w:tcBorders>
              <w:bottom w:val="single" w:sz="8" w:color="CCEEFF"/>
            </w:tcBorders>
            <w:gridSpan w:val="2"/>
            <w:vMerge w:val="restart"/>
            <w:shd w:val="clear" w:color="auto" w:fill="CCEEFF"/>
          </w:tcPr>
          <w:p>
            <w:pPr>
              <w:spacing w:after="0"/>
              <w:rPr>
                <w:sz w:val="11"/>
                <w:szCs w:val="11"/>
                <w:color w:val="auto"/>
              </w:rPr>
            </w:pPr>
          </w:p>
        </w:tc>
        <w:tc>
          <w:tcPr>
            <w:tcW w:w="440" w:type="dxa"/>
            <w:vAlign w:val="bottom"/>
            <w:tcBorders>
              <w:bottom w:val="single" w:sz="8" w:color="CCEEFF"/>
            </w:tcBorders>
            <w:gridSpan w:val="4"/>
            <w:vMerge w:val="restart"/>
            <w:shd w:val="clear" w:color="auto" w:fill="CCEEFF"/>
          </w:tcPr>
          <w:p>
            <w:pPr>
              <w:spacing w:after="0"/>
              <w:rPr>
                <w:sz w:val="11"/>
                <w:szCs w:val="11"/>
                <w:color w:val="auto"/>
              </w:rPr>
            </w:pPr>
          </w:p>
        </w:tc>
        <w:tc>
          <w:tcPr>
            <w:tcW w:w="2080" w:type="dxa"/>
            <w:vAlign w:val="bottom"/>
            <w:tcBorders>
              <w:bottom w:val="single" w:sz="8" w:color="CCEEFF"/>
            </w:tcBorders>
            <w:gridSpan w:val="2"/>
            <w:vMerge w:val="restart"/>
            <w:shd w:val="clear" w:color="auto" w:fill="CCEEFF"/>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7"/>
              </w:rPr>
              <w:t>New York, NY</w:t>
            </w:r>
          </w:p>
        </w:tc>
        <w:tc>
          <w:tcPr>
            <w:tcW w:w="9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640" w:type="dxa"/>
            <w:vAlign w:val="bottom"/>
            <w:tcBorders>
              <w:bottom w:val="single" w:sz="8" w:color="auto"/>
            </w:tcBorders>
            <w:gridSpan w:val="11"/>
            <w:vMerge w:val="continue"/>
            <w:shd w:val="clear" w:color="auto" w:fill="CCEEFF"/>
          </w:tcPr>
          <w:p>
            <w:pPr>
              <w:spacing w:after="0"/>
              <w:rPr>
                <w:sz w:val="5"/>
                <w:szCs w:val="5"/>
                <w:color w:val="auto"/>
              </w:rPr>
            </w:pPr>
          </w:p>
        </w:tc>
        <w:tc>
          <w:tcPr>
            <w:tcW w:w="160" w:type="dxa"/>
            <w:vAlign w:val="bottom"/>
            <w:tcBorders>
              <w:bottom w:val="single" w:sz="8" w:color="CCEEFF"/>
            </w:tcBorders>
            <w:gridSpan w:val="2"/>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vMerge w:val="continue"/>
            <w:shd w:val="clear" w:color="auto" w:fill="CCEEFF"/>
          </w:tcPr>
          <w:p>
            <w:pPr>
              <w:spacing w:after="0"/>
              <w:rPr>
                <w:sz w:val="5"/>
                <w:szCs w:val="5"/>
                <w:color w:val="auto"/>
              </w:rPr>
            </w:pPr>
          </w:p>
        </w:tc>
        <w:tc>
          <w:tcPr>
            <w:tcW w:w="240" w:type="dxa"/>
            <w:vAlign w:val="bottom"/>
            <w:tcBorders>
              <w:bottom w:val="single" w:sz="8" w:color="CCEEFF"/>
            </w:tcBorders>
            <w:gridSpan w:val="5"/>
            <w:vMerge w:val="continue"/>
            <w:shd w:val="clear" w:color="auto" w:fill="CCEEFF"/>
          </w:tcPr>
          <w:p>
            <w:pPr>
              <w:spacing w:after="0"/>
              <w:rPr>
                <w:sz w:val="5"/>
                <w:szCs w:val="5"/>
                <w:color w:val="auto"/>
              </w:rPr>
            </w:pPr>
          </w:p>
        </w:tc>
        <w:tc>
          <w:tcPr>
            <w:tcW w:w="120" w:type="dxa"/>
            <w:vAlign w:val="bottom"/>
            <w:tcBorders>
              <w:bottom w:val="single" w:sz="8" w:color="CCEEFF"/>
            </w:tcBorders>
            <w:gridSpan w:val="3"/>
            <w:vMerge w:val="continue"/>
            <w:shd w:val="clear" w:color="auto" w:fill="CCEEFF"/>
          </w:tcPr>
          <w:p>
            <w:pPr>
              <w:spacing w:after="0"/>
              <w:rPr>
                <w:sz w:val="5"/>
                <w:szCs w:val="5"/>
                <w:color w:val="auto"/>
              </w:rPr>
            </w:pPr>
          </w:p>
        </w:tc>
        <w:tc>
          <w:tcPr>
            <w:tcW w:w="200" w:type="dxa"/>
            <w:vAlign w:val="bottom"/>
            <w:tcBorders>
              <w:bottom w:val="single" w:sz="8" w:color="CCEEFF"/>
            </w:tcBorders>
            <w:gridSpan w:val="2"/>
            <w:vMerge w:val="continue"/>
            <w:shd w:val="clear" w:color="auto" w:fill="CCEEFF"/>
          </w:tcPr>
          <w:p>
            <w:pPr>
              <w:spacing w:after="0"/>
              <w:rPr>
                <w:sz w:val="5"/>
                <w:szCs w:val="5"/>
                <w:color w:val="auto"/>
              </w:rPr>
            </w:pPr>
          </w:p>
        </w:tc>
        <w:tc>
          <w:tcPr>
            <w:tcW w:w="440" w:type="dxa"/>
            <w:vAlign w:val="bottom"/>
            <w:tcBorders>
              <w:bottom w:val="single" w:sz="8" w:color="CCEEFF"/>
            </w:tcBorders>
            <w:gridSpan w:val="4"/>
            <w:vMerge w:val="continue"/>
            <w:shd w:val="clear" w:color="auto" w:fill="CCEEFF"/>
          </w:tcPr>
          <w:p>
            <w:pPr>
              <w:spacing w:after="0"/>
              <w:rPr>
                <w:sz w:val="5"/>
                <w:szCs w:val="5"/>
                <w:color w:val="auto"/>
              </w:rPr>
            </w:pPr>
          </w:p>
        </w:tc>
        <w:tc>
          <w:tcPr>
            <w:tcW w:w="208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7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80" w:type="dxa"/>
            <w:vAlign w:val="bottom"/>
            <w:tcBorders>
              <w:top w:val="single" w:sz="8" w:color="CCEEFF"/>
            </w:tcBorders>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Special Purpose</w:t>
            </w:r>
          </w:p>
        </w:tc>
        <w:tc>
          <w:tcPr>
            <w:tcW w:w="9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Share units</w:t>
            </w: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Acquisition Company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7/21/2021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239,300</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250,855</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250,000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148"/>
        </w:trPr>
        <w:tc>
          <w:tcPr>
            <w:tcW w:w="2260" w:type="dxa"/>
            <w:vAlign w:val="bottom"/>
            <w:tcBorders>
              <w:bottom w:val="single" w:sz="8" w:color="CCEEFF"/>
            </w:tcBorders>
            <w:gridSpan w:val="15"/>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Churchill Sponsor VI LLC**</w:t>
            </w:r>
          </w:p>
        </w:tc>
        <w:tc>
          <w:tcPr>
            <w:tcW w:w="240" w:type="dxa"/>
            <w:vAlign w:val="bottom"/>
            <w:tcBorders>
              <w:bottom w:val="single" w:sz="8" w:color="auto"/>
            </w:tcBorders>
            <w:gridSpan w:val="5"/>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(12)</w:t>
            </w:r>
          </w:p>
        </w:tc>
        <w:tc>
          <w:tcPr>
            <w:tcW w:w="120" w:type="dxa"/>
            <w:vAlign w:val="bottom"/>
            <w:tcBorders>
              <w:bottom w:val="single" w:sz="8" w:color="CCEEFF"/>
            </w:tcBorders>
            <w:gridSpan w:val="3"/>
            <w:vMerge w:val="restart"/>
            <w:shd w:val="clear" w:color="auto" w:fill="CCEEFF"/>
          </w:tcPr>
          <w:p>
            <w:pPr>
              <w:spacing w:after="0"/>
              <w:rPr>
                <w:sz w:val="12"/>
                <w:szCs w:val="12"/>
                <w:color w:val="auto"/>
              </w:rPr>
            </w:pPr>
          </w:p>
        </w:tc>
        <w:tc>
          <w:tcPr>
            <w:tcW w:w="200" w:type="dxa"/>
            <w:vAlign w:val="bottom"/>
            <w:tcBorders>
              <w:bottom w:val="single" w:sz="8" w:color="CCEEFF"/>
            </w:tcBorders>
            <w:gridSpan w:val="2"/>
            <w:vMerge w:val="restart"/>
            <w:shd w:val="clear" w:color="auto" w:fill="CCEEFF"/>
          </w:tcPr>
          <w:p>
            <w:pPr>
              <w:spacing w:after="0"/>
              <w:rPr>
                <w:sz w:val="12"/>
                <w:szCs w:val="12"/>
                <w:color w:val="auto"/>
              </w:rPr>
            </w:pPr>
          </w:p>
        </w:tc>
        <w:tc>
          <w:tcPr>
            <w:tcW w:w="440" w:type="dxa"/>
            <w:vAlign w:val="bottom"/>
            <w:tcBorders>
              <w:bottom w:val="single" w:sz="8" w:color="CCEEFF"/>
            </w:tcBorders>
            <w:gridSpan w:val="4"/>
            <w:vMerge w:val="restart"/>
            <w:shd w:val="clear" w:color="auto" w:fill="CCEEFF"/>
          </w:tcPr>
          <w:p>
            <w:pPr>
              <w:spacing w:after="0"/>
              <w:rPr>
                <w:sz w:val="12"/>
                <w:szCs w:val="12"/>
                <w:color w:val="auto"/>
              </w:rPr>
            </w:pPr>
          </w:p>
        </w:tc>
        <w:tc>
          <w:tcPr>
            <w:tcW w:w="2080" w:type="dxa"/>
            <w:vAlign w:val="bottom"/>
            <w:tcBorders>
              <w:bottom w:val="single" w:sz="8" w:color="CCEEFF"/>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 NY</w:t>
            </w:r>
          </w:p>
        </w:tc>
        <w:tc>
          <w:tcPr>
            <w:tcW w:w="9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260" w:type="dxa"/>
            <w:vAlign w:val="bottom"/>
            <w:tcBorders>
              <w:bottom w:val="single" w:sz="8" w:color="auto"/>
            </w:tcBorders>
            <w:gridSpan w:val="15"/>
            <w:vMerge w:val="continue"/>
            <w:shd w:val="clear" w:color="auto" w:fill="CCEEFF"/>
          </w:tcPr>
          <w:p>
            <w:pPr>
              <w:spacing w:after="0"/>
              <w:rPr>
                <w:sz w:val="5"/>
                <w:szCs w:val="5"/>
                <w:color w:val="auto"/>
              </w:rPr>
            </w:pPr>
          </w:p>
        </w:tc>
        <w:tc>
          <w:tcPr>
            <w:tcW w:w="240" w:type="dxa"/>
            <w:vAlign w:val="bottom"/>
            <w:tcBorders>
              <w:bottom w:val="single" w:sz="8" w:color="CCEEFF"/>
            </w:tcBorders>
            <w:gridSpan w:val="5"/>
            <w:shd w:val="clear" w:color="auto" w:fill="CCEEFF"/>
          </w:tcPr>
          <w:p>
            <w:pPr>
              <w:spacing w:after="0"/>
              <w:rPr>
                <w:sz w:val="5"/>
                <w:szCs w:val="5"/>
                <w:color w:val="auto"/>
              </w:rPr>
            </w:pPr>
          </w:p>
        </w:tc>
        <w:tc>
          <w:tcPr>
            <w:tcW w:w="120" w:type="dxa"/>
            <w:vAlign w:val="bottom"/>
            <w:tcBorders>
              <w:bottom w:val="single" w:sz="8" w:color="CCEEFF"/>
            </w:tcBorders>
            <w:gridSpan w:val="3"/>
            <w:vMerge w:val="continue"/>
            <w:shd w:val="clear" w:color="auto" w:fill="CCEEFF"/>
          </w:tcPr>
          <w:p>
            <w:pPr>
              <w:spacing w:after="0"/>
              <w:rPr>
                <w:sz w:val="5"/>
                <w:szCs w:val="5"/>
                <w:color w:val="auto"/>
              </w:rPr>
            </w:pPr>
          </w:p>
        </w:tc>
        <w:tc>
          <w:tcPr>
            <w:tcW w:w="200" w:type="dxa"/>
            <w:vAlign w:val="bottom"/>
            <w:tcBorders>
              <w:bottom w:val="single" w:sz="8" w:color="CCEEFF"/>
            </w:tcBorders>
            <w:gridSpan w:val="2"/>
            <w:vMerge w:val="continue"/>
            <w:shd w:val="clear" w:color="auto" w:fill="CCEEFF"/>
          </w:tcPr>
          <w:p>
            <w:pPr>
              <w:spacing w:after="0"/>
              <w:rPr>
                <w:sz w:val="5"/>
                <w:szCs w:val="5"/>
                <w:color w:val="auto"/>
              </w:rPr>
            </w:pPr>
          </w:p>
        </w:tc>
        <w:tc>
          <w:tcPr>
            <w:tcW w:w="440" w:type="dxa"/>
            <w:vAlign w:val="bottom"/>
            <w:tcBorders>
              <w:bottom w:val="single" w:sz="8" w:color="CCEEFF"/>
            </w:tcBorders>
            <w:gridSpan w:val="4"/>
            <w:vMerge w:val="continue"/>
            <w:shd w:val="clear" w:color="auto" w:fill="CCEEFF"/>
          </w:tcPr>
          <w:p>
            <w:pPr>
              <w:spacing w:after="0"/>
              <w:rPr>
                <w:sz w:val="5"/>
                <w:szCs w:val="5"/>
                <w:color w:val="auto"/>
              </w:rPr>
            </w:pPr>
          </w:p>
        </w:tc>
        <w:tc>
          <w:tcPr>
            <w:tcW w:w="208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7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80" w:type="dxa"/>
            <w:vAlign w:val="bottom"/>
            <w:tcBorders>
              <w:top w:val="single" w:sz="8" w:color="CCEEFF"/>
            </w:tcBorders>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Special Purpose</w:t>
            </w:r>
          </w:p>
        </w:tc>
        <w:tc>
          <w:tcPr>
            <w:tcW w:w="9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Common share units</w:t>
            </w: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Acquisition Company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195,000</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134,297</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134,297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6"/>
        </w:trPr>
        <w:tc>
          <w:tcPr>
            <w:tcW w:w="326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units</w:t>
            </w:r>
          </w:p>
        </w:tc>
        <w:tc>
          <w:tcPr>
            <w:tcW w:w="1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2/25/2021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199,100</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65,703</w:t>
            </w:r>
          </w:p>
        </w:tc>
        <w:tc>
          <w:tcPr>
            <w:tcW w:w="14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65,703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bottom w:val="single" w:sz="8" w:color="CCEEFF"/>
            </w:tcBorders>
            <w:gridSpan w:val="29"/>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w:t>
            </w:r>
          </w:p>
        </w:tc>
        <w:tc>
          <w:tcPr>
            <w:tcW w:w="1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w:t>
            </w:r>
          </w:p>
        </w:tc>
        <w:tc>
          <w:tcPr>
            <w:tcW w:w="30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0.09</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auto"/>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Neutron Holdings, Inc. (d/b/a/ Lime)</w:t>
            </w:r>
          </w:p>
        </w:tc>
        <w:tc>
          <w:tcPr>
            <w:tcW w:w="440" w:type="dxa"/>
            <w:vAlign w:val="bottom"/>
            <w:tcBorders>
              <w:bottom w:val="single" w:sz="8" w:color="CCEEFF"/>
            </w:tcBorders>
            <w:gridSpan w:val="4"/>
            <w:shd w:val="clear" w:color="auto" w:fill="CCEEFF"/>
          </w:tcPr>
          <w:p>
            <w:pPr>
              <w:spacing w:after="0"/>
              <w:rPr>
                <w:sz w:val="17"/>
                <w:szCs w:val="17"/>
                <w:color w:val="auto"/>
              </w:rPr>
            </w:pPr>
          </w:p>
        </w:tc>
        <w:tc>
          <w:tcPr>
            <w:tcW w:w="2080" w:type="dxa"/>
            <w:vAlign w:val="bottom"/>
            <w:tcBorders>
              <w:bottom w:val="single" w:sz="8" w:color="CCEEFF"/>
            </w:tcBorders>
            <w:gridSpan w:val="2"/>
            <w:shd w:val="clear" w:color="auto" w:fill="CCEEFF"/>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rPr>
              <w:t>San Francisco, CA</w:t>
            </w: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Junior Preferred shares, Series 1-D</w:t>
            </w: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Micromobility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1/25/2019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41,237,113</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10,007,322</w:t>
            </w: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260" w:type="dxa"/>
            <w:vAlign w:val="bottom"/>
            <w:gridSpan w:val="29"/>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Junior Preferred Convertible Note 4%</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60" w:type="dxa"/>
            <w:vAlign w:val="bottom"/>
            <w:gridSpan w:val="29"/>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Due 5/11/2027</w:t>
            </w:r>
            <w:r>
              <w:rPr>
                <w:rFonts w:ascii="Times New Roman" w:cs="Times New Roman" w:eastAsia="Times New Roman" w:hAnsi="Times New Roman"/>
                <w:sz w:val="29"/>
                <w:szCs w:val="29"/>
                <w:color w:val="auto"/>
                <w:vertAlign w:val="superscript"/>
              </w:rPr>
              <w:t>(4)</w:t>
            </w:r>
          </w:p>
        </w:tc>
        <w:tc>
          <w:tcPr>
            <w:tcW w:w="1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5/11/2020</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506,339</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506,339</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60" w:type="dxa"/>
            <w:vAlign w:val="bottom"/>
            <w:gridSpan w:val="29"/>
          </w:tcPr>
          <w:p>
            <w:pPr>
              <w:spacing w:after="0" w:line="198" w:lineRule="exact"/>
              <w:rPr>
                <w:sz w:val="20"/>
                <w:szCs w:val="20"/>
                <w:color w:val="auto"/>
              </w:rPr>
            </w:pPr>
            <w:r>
              <w:rPr>
                <w:rFonts w:ascii="Times New Roman" w:cs="Times New Roman" w:eastAsia="Times New Roman" w:hAnsi="Times New Roman"/>
                <w:sz w:val="18"/>
                <w:szCs w:val="18"/>
                <w:color w:val="auto"/>
              </w:rPr>
              <w:t>Common Warrants, Strike Price $0.01,</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3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2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Expiration Date 5/11/2027</w:t>
            </w: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2,032,967</w:t>
            </w:r>
          </w:p>
        </w:tc>
        <w:tc>
          <w:tcPr>
            <w:tcW w:w="1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60" w:type="dxa"/>
            <w:vAlign w:val="bottom"/>
            <w:tcBorders>
              <w:top w:val="single" w:sz="8" w:color="CCEEFF"/>
              <w:bottom w:val="single" w:sz="8" w:color="CCEEFF"/>
            </w:tcBorders>
            <w:gridSpan w:val="2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10,513,661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3260" w:type="dxa"/>
            <w:vAlign w:val="bottom"/>
            <w:gridSpan w:val="29"/>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Fullbridge, Inc.</w:t>
            </w:r>
          </w:p>
        </w:tc>
        <w:tc>
          <w:tcPr>
            <w:tcW w:w="2080" w:type="dxa"/>
            <w:vAlign w:val="bottom"/>
            <w:gridSpan w:val="2"/>
          </w:tcPr>
          <w:p>
            <w:pPr>
              <w:jc w:val="center"/>
              <w:ind w:right="200"/>
              <w:spacing w:after="0" w:line="163" w:lineRule="exact"/>
              <w:rPr>
                <w:sz w:val="20"/>
                <w:szCs w:val="20"/>
                <w:color w:val="auto"/>
              </w:rPr>
            </w:pPr>
            <w:r>
              <w:rPr>
                <w:rFonts w:ascii="Times New Roman" w:cs="Times New Roman" w:eastAsia="Times New Roman" w:hAnsi="Times New Roman"/>
                <w:sz w:val="18"/>
                <w:szCs w:val="18"/>
                <w:color w:val="auto"/>
                <w:w w:val="98"/>
              </w:rPr>
              <w:t>Cambridge, MA</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0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Business Education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5/13/2012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517,917</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6,150,506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260" w:type="dxa"/>
            <w:vAlign w:val="bottom"/>
            <w:gridSpan w:val="29"/>
          </w:tcPr>
          <w:p>
            <w:pPr>
              <w:spacing w:after="0" w:line="201" w:lineRule="exact"/>
              <w:rPr>
                <w:sz w:val="20"/>
                <w:szCs w:val="20"/>
                <w:color w:val="auto"/>
              </w:rPr>
            </w:pPr>
            <w:r>
              <w:rPr>
                <w:rFonts w:ascii="Times New Roman" w:cs="Times New Roman" w:eastAsia="Times New Roman" w:hAnsi="Times New Roman"/>
                <w:sz w:val="18"/>
                <w:szCs w:val="18"/>
                <w:color w:val="auto"/>
              </w:rPr>
              <w:t>Promissory Note 1.47%, Due</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200" w:type="dxa"/>
            <w:vAlign w:val="bottom"/>
            <w:gridSpan w:val="6"/>
          </w:tcPr>
          <w:p>
            <w:pPr>
              <w:spacing w:after="0" w:line="258" w:lineRule="exact"/>
              <w:rPr>
                <w:sz w:val="20"/>
                <w:szCs w:val="20"/>
                <w:color w:val="auto"/>
              </w:rPr>
            </w:pPr>
            <w:r>
              <w:rPr>
                <w:rFonts w:ascii="Times New Roman" w:cs="Times New Roman" w:eastAsia="Times New Roman" w:hAnsi="Times New Roman"/>
                <w:sz w:val="18"/>
                <w:szCs w:val="18"/>
                <w:color w:val="auto"/>
                <w:w w:val="92"/>
              </w:rPr>
              <w:t>11/9/2021</w:t>
            </w:r>
            <w:r>
              <w:rPr>
                <w:rFonts w:ascii="Times New Roman" w:cs="Times New Roman" w:eastAsia="Times New Roman" w:hAnsi="Times New Roman"/>
                <w:sz w:val="29"/>
                <w:szCs w:val="29"/>
                <w:color w:val="auto"/>
                <w:w w:val="92"/>
                <w:vertAlign w:val="superscript"/>
              </w:rPr>
              <w:t>(4)(13)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3/3/2016</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2,270,458</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2,270,858</w:t>
            </w:r>
          </w:p>
        </w:tc>
        <w:tc>
          <w:tcPr>
            <w:tcW w:w="140" w:type="dxa"/>
            <w:vAlign w:val="bottom"/>
          </w:tcPr>
          <w:p>
            <w:pPr>
              <w:spacing w:after="0"/>
              <w:rPr>
                <w:sz w:val="23"/>
                <w:szCs w:val="23"/>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260" w:type="dxa"/>
            <w:vAlign w:val="bottom"/>
            <w:tcBorders>
              <w:top w:val="single" w:sz="8" w:color="CCEEFF"/>
              <w:bottom w:val="single" w:sz="8" w:color="CCEEFF"/>
            </w:tcBorders>
            <w:gridSpan w:val="2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8,421,364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49"/>
        </w:trPr>
        <w:tc>
          <w:tcPr>
            <w:tcW w:w="2620" w:type="dxa"/>
            <w:vAlign w:val="bottom"/>
            <w:tcBorders>
              <w:bottom w:val="single" w:sz="8" w:color="auto"/>
            </w:tcBorders>
            <w:gridSpan w:val="23"/>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Treehouse Real Estate Investment</w:t>
            </w:r>
          </w:p>
        </w:tc>
        <w:tc>
          <w:tcPr>
            <w:tcW w:w="640" w:type="dxa"/>
            <w:vAlign w:val="bottom"/>
            <w:gridSpan w:val="6"/>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Trust, Inc.</w:t>
            </w:r>
          </w:p>
        </w:tc>
        <w:tc>
          <w:tcPr>
            <w:tcW w:w="208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7"/>
              </w:rPr>
              <w:t>Chicago, IL</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0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Cannabis REIT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9/11/2019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312,500</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4,919,250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2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Kinetiq Holdings, LLC</w:t>
            </w:r>
          </w:p>
        </w:tc>
        <w:tc>
          <w:tcPr>
            <w:tcW w:w="20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w w:val="98"/>
              </w:rPr>
              <w:t>Philadelphia, PA</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Class A</w:t>
            </w:r>
          </w:p>
        </w:tc>
        <w:tc>
          <w:tcPr>
            <w:tcW w:w="20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Social Data Platform</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3/30/2012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112,374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9"/>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Non-controlled/Non-affiliate</w:t>
            </w: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$ 154,328,296</w:t>
            </w:r>
          </w:p>
        </w:tc>
        <w:tc>
          <w:tcPr>
            <w:tcW w:w="14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$ 128,088,500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59.56%</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229" w:right="339" w:bottom="902"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902"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2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0" w:type="dxa"/>
            <w:vAlign w:val="bottom"/>
          </w:tcPr>
          <w:p>
            <w:pPr>
              <w:spacing w:after="0"/>
              <w:rPr>
                <w:sz w:val="1"/>
                <w:szCs w:val="1"/>
                <w:color w:val="auto"/>
              </w:rPr>
            </w:pPr>
          </w:p>
        </w:tc>
      </w:tr>
      <w:tr>
        <w:trPr>
          <w:trHeight w:val="245"/>
        </w:trPr>
        <w:tc>
          <w:tcPr>
            <w:tcW w:w="33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Industry</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200" w:type="dxa"/>
            <w:vAlign w:val="bottom"/>
          </w:tcPr>
          <w:p>
            <w:pPr>
              <w:spacing w:after="0"/>
              <w:rPr>
                <w:sz w:val="21"/>
                <w:szCs w:val="21"/>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257"/>
        </w:trPr>
        <w:tc>
          <w:tcPr>
            <w:tcW w:w="3180" w:type="dxa"/>
            <w:vAlign w:val="bottom"/>
            <w:tcBorders>
              <w:top w:val="single" w:sz="8" w:color="auto"/>
            </w:tcBorders>
            <w:gridSpan w:val="7"/>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NON-CONTROLLED/AFFILIATE</w:t>
            </w:r>
            <w:r>
              <w:rPr>
                <w:rFonts w:ascii="Times New Roman" w:cs="Times New Roman" w:eastAsia="Times New Roman" w:hAnsi="Times New Roman"/>
                <w:sz w:val="29"/>
                <w:szCs w:val="29"/>
                <w:b w:val="1"/>
                <w:bCs w:val="1"/>
                <w:color w:val="auto"/>
                <w:vertAlign w:val="superscript"/>
              </w:rPr>
              <w:t>(1)</w:t>
            </w:r>
          </w:p>
        </w:tc>
        <w:tc>
          <w:tcPr>
            <w:tcW w:w="180" w:type="dxa"/>
            <w:vAlign w:val="bottom"/>
            <w:tcBorders>
              <w:top w:val="single" w:sz="8" w:color="CCEEFF"/>
            </w:tcBorders>
            <w:shd w:val="clear" w:color="auto" w:fill="CCEEFF"/>
          </w:tcPr>
          <w:p>
            <w:pPr>
              <w:spacing w:after="0"/>
              <w:rPr>
                <w:sz w:val="22"/>
                <w:szCs w:val="22"/>
                <w:color w:val="auto"/>
              </w:rPr>
            </w:pPr>
          </w:p>
        </w:tc>
        <w:tc>
          <w:tcPr>
            <w:tcW w:w="184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StormWind, LLC</w:t>
            </w:r>
          </w:p>
        </w:tc>
        <w:tc>
          <w:tcPr>
            <w:tcW w:w="16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(5)</w:t>
            </w:r>
          </w:p>
        </w:tc>
        <w:tc>
          <w:tcPr>
            <w:tcW w:w="140" w:type="dxa"/>
            <w:vAlign w:val="bottom"/>
            <w:vMerge w:val="restart"/>
          </w:tcPr>
          <w:p>
            <w:pPr>
              <w:spacing w:after="0"/>
              <w:rPr>
                <w:sz w:val="12"/>
                <w:szCs w:val="12"/>
                <w:color w:val="auto"/>
              </w:rPr>
            </w:pPr>
          </w:p>
        </w:tc>
        <w:tc>
          <w:tcPr>
            <w:tcW w:w="1120" w:type="dxa"/>
            <w:vAlign w:val="bottom"/>
            <w:vMerge w:val="restart"/>
          </w:tcPr>
          <w:p>
            <w:pPr>
              <w:spacing w:after="0"/>
              <w:rPr>
                <w:sz w:val="12"/>
                <w:szCs w:val="12"/>
                <w:color w:val="auto"/>
              </w:rPr>
            </w:pPr>
          </w:p>
        </w:tc>
        <w:tc>
          <w:tcPr>
            <w:tcW w:w="560" w:type="dxa"/>
            <w:vAlign w:val="bottom"/>
            <w:gridSpan w:val="2"/>
            <w:vMerge w:val="restart"/>
          </w:tcPr>
          <w:p>
            <w:pPr>
              <w:spacing w:after="0"/>
              <w:rPr>
                <w:sz w:val="12"/>
                <w:szCs w:val="12"/>
                <w:color w:val="auto"/>
              </w:rPr>
            </w:pPr>
          </w:p>
        </w:tc>
        <w:tc>
          <w:tcPr>
            <w:tcW w:w="2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Scottsdale, AZ</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1380" w:type="dxa"/>
            <w:vAlign w:val="bottom"/>
            <w:tcBorders>
              <w:bottom w:val="single" w:sz="8" w:color="auto"/>
            </w:tcBorders>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D 8%</w:t>
            </w:r>
          </w:p>
        </w:tc>
        <w:tc>
          <w:tcPr>
            <w:tcW w:w="2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Interactive Learning</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11/26/2019</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329,337</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257,267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506,791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3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C 8%</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1/7/2014</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2,779,134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4,000,787</w:t>
            </w: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5,425,413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33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 8%</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12/16/2011</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3,279,629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2,019,687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3,285,366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62"/>
        </w:trPr>
        <w:tc>
          <w:tcPr>
            <w:tcW w:w="3360" w:type="dxa"/>
            <w:vAlign w:val="bottom"/>
            <w:gridSpan w:val="8"/>
          </w:tcPr>
          <w:p>
            <w:pPr>
              <w:spacing w:after="0" w:line="162" w:lineRule="exact"/>
              <w:rPr>
                <w:sz w:val="20"/>
                <w:szCs w:val="20"/>
                <w:color w:val="auto"/>
              </w:rPr>
            </w:pPr>
            <w:r>
              <w:rPr>
                <w:rFonts w:ascii="Times New Roman" w:cs="Times New Roman" w:eastAsia="Times New Roman" w:hAnsi="Times New Roman"/>
                <w:sz w:val="18"/>
                <w:szCs w:val="18"/>
                <w:color w:val="auto"/>
              </w:rPr>
              <w:t>Preferred shares, Series A 8%</w:t>
            </w: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w w:val="98"/>
              </w:rPr>
              <w:t>2/25/2014</w:t>
            </w:r>
          </w:p>
        </w:tc>
        <w:tc>
          <w:tcPr>
            <w:tcW w:w="12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366,666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tcPr>
          <w:p>
            <w:pPr>
              <w:spacing w:after="0"/>
              <w:rPr>
                <w:sz w:val="14"/>
                <w:szCs w:val="14"/>
                <w:color w:val="auto"/>
              </w:rPr>
            </w:pPr>
          </w:p>
        </w:tc>
        <w:tc>
          <w:tcPr>
            <w:tcW w:w="12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162,037</w:t>
            </w:r>
          </w:p>
        </w:tc>
        <w:tc>
          <w:tcPr>
            <w:tcW w:w="9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gridSpan w:val="2"/>
          </w:tcPr>
          <w:p>
            <w:pPr>
              <w:jc w:val="right"/>
              <w:ind w:right="90"/>
              <w:spacing w:after="0" w:line="68" w:lineRule="exact"/>
              <w:rPr>
                <w:sz w:val="20"/>
                <w:szCs w:val="20"/>
                <w:color w:val="auto"/>
              </w:rPr>
            </w:pPr>
            <w:r>
              <w:rPr>
                <w:rFonts w:ascii="Times New Roman" w:cs="Times New Roman" w:eastAsia="Times New Roman" w:hAnsi="Times New Roman"/>
                <w:sz w:val="7"/>
                <w:szCs w:val="7"/>
                <w:color w:val="auto"/>
              </w:rPr>
              <w:t>0.08</w:t>
            </w:r>
          </w:p>
        </w:tc>
        <w:tc>
          <w:tcPr>
            <w:tcW w:w="0" w:type="dxa"/>
            <w:vAlign w:val="bottom"/>
          </w:tcPr>
          <w:p>
            <w:pPr>
              <w:spacing w:after="0"/>
              <w:rPr>
                <w:sz w:val="1"/>
                <w:szCs w:val="1"/>
                <w:color w:val="auto"/>
              </w:rPr>
            </w:pPr>
          </w:p>
        </w:tc>
      </w:tr>
      <w:tr>
        <w:trPr>
          <w:trHeight w:val="236"/>
        </w:trPr>
        <w:tc>
          <w:tcPr>
            <w:tcW w:w="3360" w:type="dxa"/>
            <w:vAlign w:val="bottom"/>
            <w:tcBorders>
              <w:top w:val="single" w:sz="8" w:color="CCEEFF"/>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6,387,741</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9,379,607</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3360" w:type="dxa"/>
            <w:vAlign w:val="bottom"/>
            <w:gridSpan w:val="8"/>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OneValley, Inc. (f/k/a NestGSV, Inc.)</w:t>
            </w:r>
          </w:p>
        </w:tc>
        <w:tc>
          <w:tcPr>
            <w:tcW w:w="2040" w:type="dxa"/>
            <w:vAlign w:val="bottom"/>
            <w:gridSpan w:val="2"/>
          </w:tcPr>
          <w:p>
            <w:pPr>
              <w:jc w:val="center"/>
              <w:ind w:right="180"/>
              <w:spacing w:after="0" w:line="163" w:lineRule="exact"/>
              <w:rPr>
                <w:sz w:val="20"/>
                <w:szCs w:val="20"/>
                <w:color w:val="auto"/>
              </w:rPr>
            </w:pPr>
            <w:r>
              <w:rPr>
                <w:rFonts w:ascii="Times New Roman" w:cs="Times New Roman" w:eastAsia="Times New Roman" w:hAnsi="Times New Roman"/>
                <w:sz w:val="18"/>
                <w:szCs w:val="18"/>
                <w:color w:val="auto"/>
                <w:w w:val="98"/>
              </w:rPr>
              <w:t>San Mateo, CA</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Derivative Security, Expiration Date</w:t>
            </w:r>
          </w:p>
        </w:tc>
        <w:tc>
          <w:tcPr>
            <w:tcW w:w="2040" w:type="dxa"/>
            <w:vAlign w:val="bottom"/>
            <w:gridSpan w:val="2"/>
            <w:shd w:val="clear" w:color="auto" w:fill="CCEEFF"/>
          </w:tcPr>
          <w:p>
            <w:pPr>
              <w:jc w:val="center"/>
              <w:ind w:right="180"/>
              <w:spacing w:after="0" w:line="202" w:lineRule="exact"/>
              <w:rPr>
                <w:sz w:val="20"/>
                <w:szCs w:val="20"/>
                <w:color w:val="auto"/>
              </w:rPr>
            </w:pPr>
            <w:r>
              <w:rPr>
                <w:rFonts w:ascii="Times New Roman" w:cs="Times New Roman" w:eastAsia="Times New Roman" w:hAnsi="Times New Roman"/>
                <w:sz w:val="18"/>
                <w:szCs w:val="18"/>
                <w:color w:val="auto"/>
                <w:w w:val="98"/>
              </w:rPr>
              <w:t>Global Innovation</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24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8/23/2024</w:t>
            </w:r>
            <w:r>
              <w:rPr>
                <w:rFonts w:ascii="Times New Roman" w:cs="Times New Roman" w:eastAsia="Times New Roman" w:hAnsi="Times New Roman"/>
                <w:sz w:val="29"/>
                <w:szCs w:val="29"/>
                <w:color w:val="auto"/>
                <w:vertAlign w:val="superscript"/>
              </w:rPr>
              <w:t>(10)</w:t>
            </w: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Platform</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8/23/2019</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8,555,124</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36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auto"/>
              </w:rPr>
              <w:t>Convertible Promissory Note 8% Due</w:t>
            </w: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8/23/2024</w:t>
            </w:r>
            <w:r>
              <w:rPr>
                <w:rFonts w:ascii="Times New Roman" w:cs="Times New Roman" w:eastAsia="Times New Roman" w:hAnsi="Times New Roman"/>
                <w:sz w:val="29"/>
                <w:szCs w:val="29"/>
                <w:color w:val="auto"/>
                <w:vertAlign w:val="superscript"/>
              </w:rPr>
              <w:t>(4)</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2/17/2016</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$ 1,010,198</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1,030,176</w:t>
            </w:r>
          </w:p>
        </w:tc>
        <w:tc>
          <w:tcPr>
            <w:tcW w:w="100" w:type="dxa"/>
            <w:vAlign w:val="bottom"/>
          </w:tcPr>
          <w:p>
            <w:pPr>
              <w:spacing w:after="0"/>
              <w:rPr>
                <w:sz w:val="23"/>
                <w:szCs w:val="23"/>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1,891,191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198"/>
        </w:trPr>
        <w:tc>
          <w:tcPr>
            <w:tcW w:w="3360" w:type="dxa"/>
            <w:vAlign w:val="bottom"/>
            <w:gridSpan w:val="8"/>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Warrant Series B, Strike Price</w:t>
            </w:r>
          </w:p>
        </w:tc>
        <w:tc>
          <w:tcPr>
            <w:tcW w:w="1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3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$2.31, Expiration Date 12/31/2023</w:t>
            </w:r>
          </w:p>
        </w:tc>
        <w:tc>
          <w:tcPr>
            <w:tcW w:w="18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12/31/2018</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bottom w:val="single" w:sz="8" w:color="CCEEFF"/>
            </w:tcBorders>
            <w:gridSpan w:val="8"/>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9,590,380</w:t>
            </w:r>
          </w:p>
        </w:tc>
        <w:tc>
          <w:tcPr>
            <w:tcW w:w="3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1,891,191</w:t>
            </w:r>
          </w:p>
        </w:tc>
        <w:tc>
          <w:tcPr>
            <w:tcW w:w="28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0.88</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3"/>
        </w:trPr>
        <w:tc>
          <w:tcPr>
            <w:tcW w:w="336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5"/>
                <w:szCs w:val="15"/>
                <w:b w:val="1"/>
                <w:bCs w:val="1"/>
                <w:color w:val="auto"/>
              </w:rPr>
              <w:t>Ozy Media, Inc.</w:t>
            </w:r>
            <w:r>
              <w:rPr>
                <w:rFonts w:ascii="Times New Roman" w:cs="Times New Roman" w:eastAsia="Times New Roman" w:hAnsi="Times New Roman"/>
                <w:sz w:val="23"/>
                <w:szCs w:val="23"/>
                <w:b w:val="1"/>
                <w:bCs w:val="1"/>
                <w:color w:val="auto"/>
                <w:vertAlign w:val="superscript"/>
              </w:rPr>
              <w:t>(15)</w:t>
            </w:r>
          </w:p>
        </w:tc>
        <w:tc>
          <w:tcPr>
            <w:tcW w:w="2040" w:type="dxa"/>
            <w:vAlign w:val="bottom"/>
            <w:gridSpan w:val="2"/>
            <w:shd w:val="clear" w:color="auto" w:fill="CCEEFF"/>
          </w:tcPr>
          <w:p>
            <w:pPr>
              <w:jc w:val="center"/>
              <w:ind w:right="180"/>
              <w:spacing w:after="0" w:line="202" w:lineRule="exact"/>
              <w:rPr>
                <w:sz w:val="20"/>
                <w:szCs w:val="20"/>
                <w:color w:val="auto"/>
              </w:rPr>
            </w:pPr>
            <w:r>
              <w:rPr>
                <w:rFonts w:ascii="Times New Roman" w:cs="Times New Roman" w:eastAsia="Times New Roman" w:hAnsi="Times New Roman"/>
                <w:sz w:val="18"/>
                <w:szCs w:val="18"/>
                <w:color w:val="auto"/>
                <w:w w:val="98"/>
              </w:rPr>
              <w:t>Mountain View, CA</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2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C-2 6%</w:t>
            </w: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Digital Media Platform</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8/31/2016</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683,482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2,414,178</w:t>
            </w: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 6%</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10/3/2014</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922,509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4,999,999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A 6%</w:t>
            </w:r>
          </w:p>
        </w:tc>
        <w:tc>
          <w:tcPr>
            <w:tcW w:w="1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12/11/2013</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1,090,909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3,000,200</w:t>
            </w:r>
          </w:p>
        </w:tc>
        <w:tc>
          <w:tcPr>
            <w:tcW w:w="10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Seed 6%</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11/2/2012</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36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Common Warrants, Strike Price $0.01,</w:t>
            </w: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Expiration Date 4/9/2028</w:t>
            </w:r>
          </w:p>
        </w:tc>
        <w:tc>
          <w:tcPr>
            <w:tcW w:w="1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4/9/2018</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295,565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30,647</w:t>
            </w:r>
          </w:p>
        </w:tc>
        <w:tc>
          <w:tcPr>
            <w:tcW w:w="100" w:type="dxa"/>
            <w:vAlign w:val="bottom"/>
          </w:tcPr>
          <w:p>
            <w:pPr>
              <w:spacing w:after="0"/>
              <w:rPr>
                <w:sz w:val="22"/>
                <w:szCs w:val="22"/>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360" w:type="dxa"/>
            <w:vAlign w:val="bottom"/>
            <w:tcBorders>
              <w:top w:val="single" w:sz="8" w:color="CCEEFF"/>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10,945,024</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3360" w:type="dxa"/>
            <w:vAlign w:val="bottom"/>
            <w:gridSpan w:val="8"/>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Maven Research, Inc.</w:t>
            </w:r>
          </w:p>
        </w:tc>
        <w:tc>
          <w:tcPr>
            <w:tcW w:w="2040" w:type="dxa"/>
            <w:vAlign w:val="bottom"/>
            <w:gridSpan w:val="2"/>
          </w:tcPr>
          <w:p>
            <w:pPr>
              <w:jc w:val="center"/>
              <w:ind w:right="180"/>
              <w:spacing w:after="0" w:line="163" w:lineRule="exact"/>
              <w:rPr>
                <w:sz w:val="20"/>
                <w:szCs w:val="20"/>
                <w:color w:val="auto"/>
              </w:rPr>
            </w:pPr>
            <w:r>
              <w:rPr>
                <w:rFonts w:ascii="Times New Roman" w:cs="Times New Roman" w:eastAsia="Times New Roman" w:hAnsi="Times New Roman"/>
                <w:sz w:val="18"/>
                <w:szCs w:val="18"/>
                <w:color w:val="auto"/>
                <w:w w:val="98"/>
              </w:rPr>
              <w:t>San Francisco, CA</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C</w:t>
            </w:r>
          </w:p>
        </w:tc>
        <w:tc>
          <w:tcPr>
            <w:tcW w:w="2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Knowledge Networks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7/2/2012</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318,979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2,000,447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B</w:t>
            </w: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2/28/2012</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49,505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217,206</w:t>
            </w:r>
          </w:p>
        </w:tc>
        <w:tc>
          <w:tcPr>
            <w:tcW w:w="1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360" w:type="dxa"/>
            <w:vAlign w:val="bottom"/>
            <w:tcBorders>
              <w:top w:val="single" w:sz="8" w:color="CCEEFF"/>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2,217,653</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3360" w:type="dxa"/>
            <w:vAlign w:val="bottom"/>
            <w:gridSpan w:val="8"/>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Curious.com, Inc.</w:t>
            </w:r>
          </w:p>
        </w:tc>
        <w:tc>
          <w:tcPr>
            <w:tcW w:w="2040" w:type="dxa"/>
            <w:vAlign w:val="bottom"/>
            <w:gridSpan w:val="2"/>
          </w:tcPr>
          <w:p>
            <w:pPr>
              <w:jc w:val="center"/>
              <w:ind w:right="180"/>
              <w:spacing w:after="0" w:line="163" w:lineRule="exact"/>
              <w:rPr>
                <w:sz w:val="20"/>
                <w:szCs w:val="20"/>
                <w:color w:val="auto"/>
              </w:rPr>
            </w:pPr>
            <w:r>
              <w:rPr>
                <w:rFonts w:ascii="Times New Roman" w:cs="Times New Roman" w:eastAsia="Times New Roman" w:hAnsi="Times New Roman"/>
                <w:sz w:val="18"/>
                <w:szCs w:val="18"/>
                <w:color w:val="auto"/>
                <w:w w:val="99"/>
              </w:rPr>
              <w:t>Menlo Park, CA</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Online Education</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11/22/2013</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1,135,944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12,000,006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Non-controlled/Affiliate</w:t>
            </w: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41,140,804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11,270,798</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60" w:type="dxa"/>
            <w:vAlign w:val="bottom"/>
            <w:gridSpan w:val="7"/>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29"/>
                <w:szCs w:val="29"/>
                <w:b w:val="1"/>
                <w:bCs w:val="1"/>
                <w:color w:val="auto"/>
                <w:vertAlign w:val="superscript"/>
              </w:rPr>
              <w:t>(2)</w:t>
            </w:r>
          </w:p>
        </w:tc>
        <w:tc>
          <w:tcPr>
            <w:tcW w:w="20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Colombier Sponsor LLC**</w:t>
            </w:r>
          </w:p>
        </w:tc>
        <w:tc>
          <w:tcPr>
            <w:tcW w:w="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(12)</w:t>
            </w:r>
          </w:p>
        </w:tc>
        <w:tc>
          <w:tcPr>
            <w:tcW w:w="60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New York, NY</w:t>
            </w: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100" w:type="dxa"/>
            <w:vAlign w:val="bottom"/>
            <w:tcBorders>
              <w:bottom w:val="single" w:sz="8" w:color="auto"/>
            </w:tcBorders>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0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Special Purpose</w:t>
            </w: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Units</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Acquisition Company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4/1/2021</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1,976,033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1,556,587</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14,200,714</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162"/>
        </w:trPr>
        <w:tc>
          <w:tcPr>
            <w:tcW w:w="3260" w:type="dxa"/>
            <w:vAlign w:val="bottom"/>
            <w:gridSpan w:val="7"/>
          </w:tcPr>
          <w:p>
            <w:pPr>
              <w:spacing w:after="0" w:line="162" w:lineRule="exact"/>
              <w:rPr>
                <w:sz w:val="20"/>
                <w:szCs w:val="20"/>
                <w:color w:val="auto"/>
              </w:rPr>
            </w:pPr>
            <w:r>
              <w:rPr>
                <w:rFonts w:ascii="Times New Roman" w:cs="Times New Roman" w:eastAsia="Times New Roman" w:hAnsi="Times New Roman"/>
                <w:sz w:val="18"/>
                <w:szCs w:val="18"/>
                <w:color w:val="auto"/>
              </w:rPr>
              <w:t>Class W Units</w:t>
            </w:r>
          </w:p>
        </w:tc>
        <w:tc>
          <w:tcPr>
            <w:tcW w:w="200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4/1/2021</w:t>
            </w:r>
          </w:p>
        </w:tc>
        <w:tc>
          <w:tcPr>
            <w:tcW w:w="11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2,700,000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1,159,150</w:t>
            </w:r>
          </w:p>
        </w:tc>
        <w:tc>
          <w:tcPr>
            <w:tcW w:w="100" w:type="dxa"/>
            <w:vAlign w:val="bottom"/>
          </w:tcPr>
          <w:p>
            <w:pPr>
              <w:spacing w:after="0"/>
              <w:rPr>
                <w:sz w:val="14"/>
                <w:szCs w:val="14"/>
                <w:color w:val="auto"/>
              </w:rPr>
            </w:pPr>
          </w:p>
        </w:tc>
        <w:tc>
          <w:tcPr>
            <w:tcW w:w="12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594,000</w:t>
            </w:r>
          </w:p>
        </w:tc>
        <w:tc>
          <w:tcPr>
            <w:tcW w:w="940" w:type="dxa"/>
            <w:vAlign w:val="bottom"/>
            <w:gridSpan w:val="3"/>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7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0.28</w:t>
            </w: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3260" w:type="dxa"/>
            <w:vAlign w:val="bottom"/>
            <w:gridSpan w:val="7"/>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gridSpan w:val="7"/>
            <w:vMerge w:val="continue"/>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2,715,737</w:t>
            </w: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14,794,714</w:t>
            </w:r>
          </w:p>
        </w:tc>
        <w:tc>
          <w:tcPr>
            <w:tcW w:w="280" w:type="dxa"/>
            <w:vAlign w:val="bottom"/>
            <w:vMerge w:val="continue"/>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175"/>
        </w:trPr>
        <w:tc>
          <w:tcPr>
            <w:tcW w:w="32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Architect Capital PayJoy SPV, LLC**</w:t>
            </w:r>
          </w:p>
        </w:tc>
        <w:tc>
          <w:tcPr>
            <w:tcW w:w="2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San Francisco, CA</w:t>
            </w: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Mobile Finance</w:t>
            </w: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Membership Interest in Lending SPV***</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Technology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3/24/2021</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10,006,745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10,000,000</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175"/>
        </w:trPr>
        <w:tc>
          <w:tcPr>
            <w:tcW w:w="3040" w:type="dxa"/>
            <w:vAlign w:val="bottom"/>
            <w:tcBorders>
              <w:bottom w:val="single" w:sz="8" w:color="auto"/>
            </w:tcBorders>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SPBRX, INC. (f/k/a GSV Sustainability</w:t>
            </w:r>
          </w:p>
        </w:tc>
        <w:tc>
          <w:tcPr>
            <w:tcW w:w="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Partners, Inc.)</w:t>
            </w:r>
          </w:p>
        </w:tc>
        <w:tc>
          <w:tcPr>
            <w:tcW w:w="2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Cupertino, CA</w:t>
            </w: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60" w:type="dxa"/>
            <w:vAlign w:val="bottom"/>
            <w:gridSpan w:val="7"/>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Preferred shares, Class A</w:t>
            </w:r>
            <w:r>
              <w:rPr>
                <w:rFonts w:ascii="Times New Roman" w:cs="Times New Roman" w:eastAsia="Times New Roman" w:hAnsi="Times New Roman"/>
                <w:sz w:val="29"/>
                <w:szCs w:val="29"/>
                <w:color w:val="auto"/>
                <w:vertAlign w:val="superscript"/>
              </w:rPr>
              <w:t>(9)</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Clean Technology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4/15/2014</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14,300,000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7,151,412</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934,028</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36"/>
        </w:trPr>
        <w:tc>
          <w:tcPr>
            <w:tcW w:w="3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0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4/15/2014</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60" w:type="dxa"/>
            <w:vAlign w:val="bottom"/>
            <w:tcBorders>
              <w:top w:val="single" w:sz="8" w:color="CCEEFF"/>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7,161,412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934,028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Controlled</w:t>
            </w:r>
          </w:p>
        </w:tc>
        <w:tc>
          <w:tcPr>
            <w:tcW w:w="20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19,883,894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25,728,742</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11.96%</w:t>
            </w:r>
          </w:p>
        </w:tc>
        <w:tc>
          <w:tcPr>
            <w:tcW w:w="0" w:type="dxa"/>
            <w:vAlign w:val="bottom"/>
          </w:tcPr>
          <w:p>
            <w:pPr>
              <w:spacing w:after="0"/>
              <w:rPr>
                <w:sz w:val="1"/>
                <w:szCs w:val="1"/>
                <w:color w:val="auto"/>
              </w:rPr>
            </w:pPr>
          </w:p>
        </w:tc>
      </w:tr>
      <w:tr>
        <w:trPr>
          <w:trHeight w:val="243"/>
        </w:trPr>
        <w:tc>
          <w:tcPr>
            <w:tcW w:w="10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0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1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20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215,352,994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165,088,040</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76.77%</w:t>
            </w:r>
          </w:p>
        </w:tc>
        <w:tc>
          <w:tcPr>
            <w:tcW w:w="0" w:type="dxa"/>
            <w:vAlign w:val="bottom"/>
          </w:tcPr>
          <w:p>
            <w:pPr>
              <w:spacing w:after="0"/>
              <w:rPr>
                <w:sz w:val="1"/>
                <w:szCs w:val="1"/>
                <w:color w:val="auto"/>
              </w:rPr>
            </w:pPr>
          </w:p>
        </w:tc>
      </w:tr>
      <w:tr>
        <w:trPr>
          <w:trHeight w:val="243"/>
        </w:trPr>
        <w:tc>
          <w:tcPr>
            <w:tcW w:w="10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0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1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2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U.S. Treasury</w:t>
            </w:r>
          </w:p>
        </w:tc>
        <w:tc>
          <w:tcPr>
            <w:tcW w:w="20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260" w:type="dxa"/>
            <w:vAlign w:val="bottom"/>
            <w:gridSpan w:val="7"/>
          </w:tcPr>
          <w:p>
            <w:pPr>
              <w:spacing w:after="0" w:line="201" w:lineRule="exact"/>
              <w:rPr>
                <w:sz w:val="20"/>
                <w:szCs w:val="20"/>
                <w:color w:val="auto"/>
              </w:rPr>
            </w:pPr>
            <w:r>
              <w:rPr>
                <w:rFonts w:ascii="Times New Roman" w:cs="Times New Roman" w:eastAsia="Times New Roman" w:hAnsi="Times New Roman"/>
                <w:sz w:val="18"/>
                <w:szCs w:val="18"/>
                <w:color w:val="auto"/>
              </w:rPr>
              <w:t>U.S. Treasury bill, 0%, due 6/29/2023***</w:t>
            </w:r>
          </w:p>
        </w:tc>
        <w:tc>
          <w:tcPr>
            <w:tcW w:w="200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12/29/2022</w:t>
            </w:r>
          </w:p>
        </w:tc>
        <w:tc>
          <w:tcPr>
            <w:tcW w:w="11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$40,937,000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39,999,480</w:t>
            </w:r>
          </w:p>
        </w:tc>
        <w:tc>
          <w:tcPr>
            <w:tcW w:w="100" w:type="dxa"/>
            <w:vAlign w:val="bottom"/>
          </w:tcPr>
          <w:p>
            <w:pPr>
              <w:spacing w:after="0"/>
              <w:rPr>
                <w:sz w:val="17"/>
                <w:szCs w:val="17"/>
                <w:color w:val="auto"/>
              </w:rPr>
            </w:pPr>
          </w:p>
        </w:tc>
        <w:tc>
          <w:tcPr>
            <w:tcW w:w="12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40,478,506</w:t>
            </w:r>
          </w:p>
        </w:tc>
        <w:tc>
          <w:tcPr>
            <w:tcW w:w="9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17"/>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auto"/>
              </w:rPr>
              <w:t>(3)</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60" w:type="dxa"/>
            <w:vAlign w:val="bottom"/>
            <w:gridSpan w:val="7"/>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U.S. Treasury bill, 0%, due 9/28/2023***</w:t>
            </w:r>
          </w:p>
        </w:tc>
        <w:tc>
          <w:tcPr>
            <w:tcW w:w="20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3/30/2023</w:t>
            </w: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35,497,677</w:t>
            </w:r>
          </w:p>
        </w:tc>
        <w:tc>
          <w:tcPr>
            <w:tcW w:w="10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35,508,406</w:t>
            </w:r>
          </w:p>
        </w:tc>
        <w:tc>
          <w:tcPr>
            <w:tcW w:w="9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51"/>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$36,354,000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940" w:type="dxa"/>
            <w:vAlign w:val="bottom"/>
            <w:gridSpan w:val="3"/>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bottom w:val="single" w:sz="8" w:color="CCEEFF"/>
            </w:tcBorders>
            <w:gridSpan w:val="7"/>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CCEEFF"/>
              <w:bottom w:val="single" w:sz="8" w:color="CCEEFF"/>
            </w:tcBorders>
          </w:tcPr>
          <w:p>
            <w:pPr>
              <w:spacing w:after="0"/>
              <w:rPr>
                <w:sz w:val="18"/>
                <w:szCs w:val="18"/>
                <w:color w:val="auto"/>
              </w:rPr>
            </w:pPr>
          </w:p>
        </w:tc>
        <w:tc>
          <w:tcPr>
            <w:tcW w:w="1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75,497,157</w:t>
            </w:r>
          </w:p>
        </w:tc>
        <w:tc>
          <w:tcPr>
            <w:tcW w:w="3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75,986,912</w:t>
            </w:r>
          </w:p>
        </w:tc>
        <w:tc>
          <w:tcPr>
            <w:tcW w:w="28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35.34</w:t>
            </w:r>
          </w:p>
        </w:tc>
        <w:tc>
          <w:tcPr>
            <w:tcW w:w="180" w:type="dxa"/>
            <w:vAlign w:val="bottom"/>
            <w:tcBorders>
              <w:top w:val="single" w:sz="8" w:color="CCEEFF"/>
              <w:bottom w:val="single" w:sz="8" w:color="CCEEFF"/>
            </w:tcBorders>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6"/>
        </w:trPr>
        <w:tc>
          <w:tcPr>
            <w:tcW w:w="10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290,850,151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241,074,952</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112.11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229" w:right="339" w:bottom="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1431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27" w:lineRule="exact"/>
        <w:rPr>
          <w:sz w:val="20"/>
          <w:szCs w:val="20"/>
          <w:color w:val="auto"/>
        </w:rPr>
      </w:pPr>
    </w:p>
    <w:p>
      <w:pPr>
        <w:jc w:val="both"/>
        <w:ind w:left="660" w:hanging="652"/>
        <w:spacing w:after="0" w:line="25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w:t>
      </w:r>
    </w:p>
    <w:p>
      <w:pPr>
        <w:spacing w:after="0" w:line="1"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left="660" w:hanging="652"/>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SuRo Capital Corp. believes do not represent “qualifying assets” under Section 55(a) of the Investment Company Act of 1940, as amended (the “1940 Act”). Of the Company’s total investments as of March 31, 2023, 20.49% of its total investments are non-qualifying assets.</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income-producing.</w:t>
      </w:r>
    </w:p>
    <w:p>
      <w:pPr>
        <w:spacing w:after="0" w:line="207" w:lineRule="exact"/>
        <w:rPr>
          <w:sz w:val="20"/>
          <w:szCs w:val="20"/>
          <w:color w:val="auto"/>
        </w:rPr>
      </w:pPr>
    </w:p>
    <w:p>
      <w:pPr>
        <w:jc w:val="both"/>
        <w:ind w:left="660" w:hanging="652"/>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securities with the right to elect directors) of such company. For the Schedule of Investments In, and Advances To, Affiliates, as required by SEC Regulation S-X, Rule 12-14, refer to “Note 4—Investments at Fair Value”.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investment considered Level 1 or Level 2 and valued using observable inputs. Refer to “Note 4—Investments at Fair Value”.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2023, the investments noted had been placed on non-accrual status.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StormWind, LLC are held through SuRo Capital Corp.’s wholly owned subsidiary, GSVC SW Holdings, Inc.</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preferred shares of Residential Homes for Rent, LLC (d/b/a Second Avenue) are held through SuRo Capital Corp.’s wholly owned subsidiary, GSVC AV Holdings, Inc.</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Commercial Streaming Solutions Inc. (d/b/a BettorView), YouBet Technology, Inc. (d/b/a FanPower), Rebric, Inc. (d/b/a Compliable), EDGE Markets, Inc., and Xgroup Holdings Limited (d/b/a Xpoint) are held through SuRo Capital Corp.’s wholly owned subsidiary, SuRo Capital Sports, LLC (“SuRo Sports”).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True Global Ventures 4 Plus Pte Ltd are held through SuRo Capital Corp.’s wholly owned subsidiary, GSVC SVDS Holdings, Inc. The previously unfunded capital commitment of $1.3 million was deemed fully contributed in lieu of cash distributions. As of March 31, 2023, the full $2.0 million capital commitment to True Global Ventures 4 Plus Fund LP had been called and funded.</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SPBRX, INC. (f/k/a GSV Sustainability Partners, Inc.) preferred shares held by SuRo Capital Corp. do not entitle SuRo Capital Corp. to a preferred dividend. SuRo Capital Corp. does not anticipate that SPBRX, INC. will pay distributions on a quarterly or regular basis or become a predictable distributor of distributions.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2023, approximately $0.3 million has been received from Residential Homes for Rent, LLC (d/b/a Second Avenue) related to the 15% term loan due December 23, 2023. Of the proceeds received, approximately $0.3 million repaid a portion of the outstanding principal and the remaining was attributed to interest.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9, 2021, Fullbridge, Inc.’s obligations under its financing arrangements with the Company became past due.</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13, 2023, SuRo Capital Corp. invested $2.0 million in Orchard Technologies, Inc.’s Series 1 Senior Preferred financing round. As part of the transaction, SuRo Capital Corp. exchanged a portion of its existing Series D Preferred shares investment for Series 1 Senior Preferred shares, Series 2 Senior Preferred shares, and Common shares. Additionally, SuRo Capital Corp.’s previous investment in the Simple Agreement for Future Equity was converted into additional Series 1 Senior Preferred shares.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 2023, Ozy Media, Inc. suspended operations.</w:t>
      </w:r>
    </w:p>
    <w:p>
      <w:pPr>
        <w:sectPr>
          <w:pgSz w:w="11900" w:h="16838" w:orient="portrait"/>
          <w:cols w:equalWidth="0" w:num="1">
            <w:col w:w="11240"/>
          </w:cols>
          <w:pgMar w:left="320" w:top="229" w:right="339" w:bottom="484"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484"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CONDENSED CONSOLIDATED SCHEDULE OF INVESTMENTS (UNAUDITED) December 31, 2022</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Date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0" w:type="dxa"/>
            <w:vAlign w:val="bottom"/>
          </w:tcPr>
          <w:p>
            <w:pPr>
              <w:spacing w:after="0"/>
              <w:rPr>
                <w:sz w:val="1"/>
                <w:szCs w:val="1"/>
                <w:color w:val="auto"/>
              </w:rPr>
            </w:pPr>
          </w:p>
        </w:tc>
      </w:tr>
      <w:tr>
        <w:trPr>
          <w:trHeight w:val="245"/>
        </w:trPr>
        <w:tc>
          <w:tcPr>
            <w:tcW w:w="34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00" w:type="dxa"/>
            <w:vAlign w:val="bottom"/>
          </w:tcPr>
          <w:p>
            <w:pPr>
              <w:spacing w:after="0"/>
              <w:rPr>
                <w:sz w:val="21"/>
                <w:szCs w:val="21"/>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1"/>
                <w:szCs w:val="21"/>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194"/>
        </w:trPr>
        <w:tc>
          <w:tcPr>
            <w:tcW w:w="3200" w:type="dxa"/>
            <w:vAlign w:val="bottom"/>
            <w:tcBorders>
              <w:top w:val="single" w:sz="8" w:color="auto"/>
            </w:tcBorders>
            <w:gridSpan w:val="21"/>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NON-CONTROLLED/NON-</w:t>
            </w:r>
          </w:p>
        </w:tc>
        <w:tc>
          <w:tcPr>
            <w:tcW w:w="20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400" w:type="dxa"/>
            <w:vAlign w:val="bottom"/>
            <w:tcBorders>
              <w:bottom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1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4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Learneo, Inc. (f/k/a Course Hero, Inc.)</w:t>
            </w:r>
          </w:p>
        </w:tc>
        <w:tc>
          <w:tcPr>
            <w:tcW w:w="214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w w:val="99"/>
              </w:rPr>
              <w:t>Redwood City, CA</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A 8%</w:t>
            </w:r>
          </w:p>
        </w:tc>
        <w:tc>
          <w:tcPr>
            <w:tcW w:w="21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Online Education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9/18/2014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2,145,509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5,000,001</w:t>
            </w:r>
          </w:p>
        </w:tc>
        <w:tc>
          <w:tcPr>
            <w:tcW w:w="13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$40,541,403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37"/>
        </w:trPr>
        <w:tc>
          <w:tcPr>
            <w:tcW w:w="34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Preferred shares, Series C 8%</w:t>
            </w: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275,659</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9,999,971</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9,999,971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36"/>
        </w:trPr>
        <w:tc>
          <w:tcPr>
            <w:tcW w:w="3400" w:type="dxa"/>
            <w:vAlign w:val="bottom"/>
            <w:tcBorders>
              <w:top w:val="single" w:sz="8" w:color="CCEEFF"/>
              <w:bottom w:val="single" w:sz="8" w:color="CCEEFF"/>
            </w:tcBorders>
            <w:gridSpan w:val="2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14,999,972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50,541,374</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3400" w:type="dxa"/>
            <w:vAlign w:val="bottom"/>
            <w:gridSpan w:val="22"/>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Blink Health, Inc.</w:t>
            </w:r>
          </w:p>
        </w:tc>
        <w:tc>
          <w:tcPr>
            <w:tcW w:w="2140" w:type="dxa"/>
            <w:vAlign w:val="bottom"/>
            <w:gridSpan w:val="2"/>
          </w:tcPr>
          <w:p>
            <w:pPr>
              <w:jc w:val="center"/>
              <w:ind w:right="180"/>
              <w:spacing w:after="0" w:line="163" w:lineRule="exact"/>
              <w:rPr>
                <w:sz w:val="20"/>
                <w:szCs w:val="20"/>
                <w:color w:val="auto"/>
              </w:rPr>
            </w:pPr>
            <w:r>
              <w:rPr>
                <w:rFonts w:ascii="Times New Roman" w:cs="Times New Roman" w:eastAsia="Times New Roman" w:hAnsi="Times New Roman"/>
                <w:sz w:val="18"/>
                <w:szCs w:val="18"/>
                <w:color w:val="auto"/>
                <w:w w:val="97"/>
              </w:rPr>
              <w:t>New York, NY</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Pharmaceutical</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400" w:type="dxa"/>
            <w:vAlign w:val="bottom"/>
            <w:tcBorders>
              <w:bottom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A</w:t>
            </w:r>
          </w:p>
        </w:tc>
        <w:tc>
          <w:tcPr>
            <w:tcW w:w="214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7"/>
              </w:rPr>
              <w:t>Technology</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10/27/2020</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238,095</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5,000,423</w:t>
            </w:r>
          </w:p>
        </w:tc>
        <w:tc>
          <w:tcPr>
            <w:tcW w:w="13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949,924</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37"/>
        </w:trPr>
        <w:tc>
          <w:tcPr>
            <w:tcW w:w="34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Preferred shares, Series C</w:t>
            </w: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10/27/2020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261,944</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10,003,917</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9,999,974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36"/>
        </w:trPr>
        <w:tc>
          <w:tcPr>
            <w:tcW w:w="3400" w:type="dxa"/>
            <w:vAlign w:val="bottom"/>
            <w:tcBorders>
              <w:top w:val="single" w:sz="8" w:color="CCEEFF"/>
              <w:bottom w:val="single" w:sz="8" w:color="CCEEFF"/>
            </w:tcBorders>
            <w:gridSpan w:val="2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15,004,340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10,949,898</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3400" w:type="dxa"/>
            <w:vAlign w:val="bottom"/>
            <w:gridSpan w:val="22"/>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Orchard Technologies, Inc.</w:t>
            </w:r>
          </w:p>
        </w:tc>
        <w:tc>
          <w:tcPr>
            <w:tcW w:w="2140" w:type="dxa"/>
            <w:vAlign w:val="bottom"/>
            <w:gridSpan w:val="2"/>
          </w:tcPr>
          <w:p>
            <w:pPr>
              <w:jc w:val="center"/>
              <w:ind w:right="180"/>
              <w:spacing w:after="0" w:line="163" w:lineRule="exact"/>
              <w:rPr>
                <w:sz w:val="20"/>
                <w:szCs w:val="20"/>
                <w:color w:val="auto"/>
              </w:rPr>
            </w:pPr>
            <w:r>
              <w:rPr>
                <w:rFonts w:ascii="Times New Roman" w:cs="Times New Roman" w:eastAsia="Times New Roman" w:hAnsi="Times New Roman"/>
                <w:sz w:val="18"/>
                <w:szCs w:val="18"/>
                <w:color w:val="auto"/>
                <w:w w:val="97"/>
              </w:rPr>
              <w:t>New York, NY</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D</w:t>
            </w:r>
          </w:p>
        </w:tc>
        <w:tc>
          <w:tcPr>
            <w:tcW w:w="21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Real Estate Platform</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8/9/2021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1,488,139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10,004,034</w:t>
            </w:r>
          </w:p>
        </w:tc>
        <w:tc>
          <w:tcPr>
            <w:tcW w:w="13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9,999,996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37"/>
        </w:trPr>
        <w:tc>
          <w:tcPr>
            <w:tcW w:w="34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Simple Agreement for Future Equity</w:t>
            </w: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9/2/2022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501,663</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500,000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36"/>
        </w:trPr>
        <w:tc>
          <w:tcPr>
            <w:tcW w:w="3400" w:type="dxa"/>
            <w:vAlign w:val="bottom"/>
            <w:tcBorders>
              <w:top w:val="single" w:sz="8" w:color="CCEEFF"/>
              <w:bottom w:val="single" w:sz="8" w:color="CCEEFF"/>
            </w:tcBorders>
            <w:gridSpan w:val="2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10,505,697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10,499,996</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3400" w:type="dxa"/>
            <w:vAlign w:val="bottom"/>
            <w:gridSpan w:val="22"/>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Locus Robotics Corp.</w:t>
            </w:r>
          </w:p>
        </w:tc>
        <w:tc>
          <w:tcPr>
            <w:tcW w:w="2140" w:type="dxa"/>
            <w:vAlign w:val="bottom"/>
            <w:gridSpan w:val="2"/>
          </w:tcPr>
          <w:p>
            <w:pPr>
              <w:jc w:val="center"/>
              <w:ind w:right="180"/>
              <w:spacing w:after="0" w:line="163" w:lineRule="exact"/>
              <w:rPr>
                <w:sz w:val="20"/>
                <w:szCs w:val="20"/>
                <w:color w:val="auto"/>
              </w:rPr>
            </w:pPr>
            <w:r>
              <w:rPr>
                <w:rFonts w:ascii="Times New Roman" w:cs="Times New Roman" w:eastAsia="Times New Roman" w:hAnsi="Times New Roman"/>
                <w:sz w:val="18"/>
                <w:szCs w:val="18"/>
                <w:color w:val="auto"/>
                <w:w w:val="99"/>
              </w:rPr>
              <w:t>Wilmington, MA</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F</w:t>
            </w:r>
          </w:p>
        </w:tc>
        <w:tc>
          <w:tcPr>
            <w:tcW w:w="21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Warehouse Automation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11/30/2022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232,568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10,004,286</w:t>
            </w:r>
          </w:p>
        </w:tc>
        <w:tc>
          <w:tcPr>
            <w:tcW w:w="13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10,000,005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175"/>
        </w:trPr>
        <w:tc>
          <w:tcPr>
            <w:tcW w:w="34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Aspiration Partners, Inc.</w:t>
            </w:r>
          </w:p>
        </w:tc>
        <w:tc>
          <w:tcPr>
            <w:tcW w:w="214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color w:val="auto"/>
                <w:w w:val="98"/>
              </w:rPr>
              <w:t>Marina Del Rey, CA</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A</w:t>
            </w:r>
          </w:p>
        </w:tc>
        <w:tc>
          <w:tcPr>
            <w:tcW w:w="21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Financial Services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8/11/2015</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540,270</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1,001,815</w:t>
            </w:r>
          </w:p>
        </w:tc>
        <w:tc>
          <w:tcPr>
            <w:tcW w:w="13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6,229,360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37"/>
        </w:trPr>
        <w:tc>
          <w:tcPr>
            <w:tcW w:w="34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Preferred shares, Series C-3</w:t>
            </w: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8/12/2019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24,912</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281,190</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312,151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36"/>
        </w:trPr>
        <w:tc>
          <w:tcPr>
            <w:tcW w:w="3400" w:type="dxa"/>
            <w:vAlign w:val="bottom"/>
            <w:tcBorders>
              <w:top w:val="single" w:sz="8" w:color="CCEEFF"/>
              <w:bottom w:val="single" w:sz="8" w:color="CCEEFF"/>
            </w:tcBorders>
            <w:gridSpan w:val="2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1,283,005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6,541,511</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3400" w:type="dxa"/>
            <w:vAlign w:val="bottom"/>
            <w:gridSpan w:val="22"/>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Whoop, Inc.</w:t>
            </w:r>
          </w:p>
        </w:tc>
        <w:tc>
          <w:tcPr>
            <w:tcW w:w="2140" w:type="dxa"/>
            <w:vAlign w:val="bottom"/>
            <w:gridSpan w:val="2"/>
          </w:tcPr>
          <w:p>
            <w:pPr>
              <w:jc w:val="center"/>
              <w:ind w:right="180"/>
              <w:spacing w:after="0" w:line="163" w:lineRule="exact"/>
              <w:rPr>
                <w:sz w:val="20"/>
                <w:szCs w:val="20"/>
                <w:color w:val="auto"/>
              </w:rPr>
            </w:pPr>
            <w:r>
              <w:rPr>
                <w:rFonts w:ascii="Times New Roman" w:cs="Times New Roman" w:eastAsia="Times New Roman" w:hAnsi="Times New Roman"/>
                <w:sz w:val="18"/>
                <w:szCs w:val="18"/>
                <w:color w:val="auto"/>
                <w:w w:val="98"/>
              </w:rPr>
              <w:t>Boston, MA</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C</w:t>
            </w:r>
          </w:p>
        </w:tc>
        <w:tc>
          <w:tcPr>
            <w:tcW w:w="21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Fitness Technology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6/30/2022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13,293,450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10,011,460</w:t>
            </w:r>
          </w:p>
        </w:tc>
        <w:tc>
          <w:tcPr>
            <w:tcW w:w="13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6,084,041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149"/>
        </w:trPr>
        <w:tc>
          <w:tcPr>
            <w:tcW w:w="14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Forge Global, Inc.</w:t>
            </w:r>
          </w:p>
        </w:tc>
        <w:tc>
          <w:tcPr>
            <w:tcW w:w="16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460" w:type="dxa"/>
            <w:vAlign w:val="bottom"/>
            <w:gridSpan w:val="3"/>
            <w:vMerge w:val="restart"/>
          </w:tcPr>
          <w:p>
            <w:pPr>
              <w:spacing w:after="0"/>
              <w:rPr>
                <w:sz w:val="12"/>
                <w:szCs w:val="12"/>
                <w:color w:val="auto"/>
              </w:rPr>
            </w:pPr>
          </w:p>
        </w:tc>
        <w:tc>
          <w:tcPr>
            <w:tcW w:w="340" w:type="dxa"/>
            <w:vAlign w:val="bottom"/>
            <w:gridSpan w:val="2"/>
            <w:vMerge w:val="restart"/>
          </w:tcPr>
          <w:p>
            <w:pPr>
              <w:spacing w:after="0"/>
              <w:rPr>
                <w:sz w:val="12"/>
                <w:szCs w:val="12"/>
                <w:color w:val="auto"/>
              </w:rPr>
            </w:pPr>
          </w:p>
        </w:tc>
        <w:tc>
          <w:tcPr>
            <w:tcW w:w="4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80" w:type="dxa"/>
            <w:vAlign w:val="bottom"/>
            <w:gridSpan w:val="2"/>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60" w:type="dxa"/>
            <w:vAlign w:val="bottom"/>
            <w:gridSpan w:val="2"/>
            <w:vMerge w:val="restart"/>
          </w:tcPr>
          <w:p>
            <w:pPr>
              <w:spacing w:after="0"/>
              <w:rPr>
                <w:sz w:val="12"/>
                <w:szCs w:val="12"/>
                <w:color w:val="auto"/>
              </w:rPr>
            </w:pPr>
          </w:p>
        </w:tc>
        <w:tc>
          <w:tcPr>
            <w:tcW w:w="2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rPr>
              <w:t>San Francisco, CA</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400" w:type="dxa"/>
            <w:vAlign w:val="bottom"/>
            <w:tcBorders>
              <w:bottom w:val="single" w:sz="8" w:color="auto"/>
            </w:tcBorders>
            <w:gridSpan w:val="6"/>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gridSpan w:val="3"/>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21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400" w:type="dxa"/>
            <w:vAlign w:val="bottom"/>
            <w:gridSpan w:val="2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(3)(14)</w:t>
            </w:r>
          </w:p>
        </w:tc>
        <w:tc>
          <w:tcPr>
            <w:tcW w:w="2140" w:type="dxa"/>
            <w:vAlign w:val="bottom"/>
            <w:gridSpan w:val="2"/>
            <w:shd w:val="clear" w:color="auto" w:fill="CCEEFF"/>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rPr>
              <w:t>Online Marketplace</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00" w:type="dxa"/>
            <w:vAlign w:val="bottom"/>
            <w:gridSpan w:val="22"/>
            <w:vMerge w:val="continue"/>
            <w:shd w:val="clear" w:color="auto" w:fill="CCEEFF"/>
          </w:tcPr>
          <w:p>
            <w:pPr>
              <w:spacing w:after="0"/>
              <w:rPr>
                <w:sz w:val="22"/>
                <w:szCs w:val="22"/>
                <w:color w:val="auto"/>
              </w:rPr>
            </w:pPr>
          </w:p>
        </w:tc>
        <w:tc>
          <w:tcPr>
            <w:tcW w:w="21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Finance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7/20/2011</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2,508,074</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3,443,483</w:t>
            </w:r>
          </w:p>
        </w:tc>
        <w:tc>
          <w:tcPr>
            <w:tcW w:w="13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4,338,968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175"/>
        </w:trPr>
        <w:tc>
          <w:tcPr>
            <w:tcW w:w="34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Nextdoor Holdings, Inc.**</w:t>
            </w:r>
          </w:p>
        </w:tc>
        <w:tc>
          <w:tcPr>
            <w:tcW w:w="214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color w:val="auto"/>
              </w:rPr>
              <w:t>San Francisco, CA</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400" w:type="dxa"/>
            <w:vAlign w:val="bottom"/>
            <w:gridSpan w:val="2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Common shares, Class B</w:t>
            </w:r>
            <w:r>
              <w:rPr>
                <w:rFonts w:ascii="Times New Roman" w:cs="Times New Roman" w:eastAsia="Times New Roman" w:hAnsi="Times New Roman"/>
                <w:sz w:val="29"/>
                <w:szCs w:val="29"/>
                <w:color w:val="auto"/>
                <w:vertAlign w:val="superscript"/>
              </w:rPr>
              <w:t>(3)</w:t>
            </w:r>
          </w:p>
        </w:tc>
        <w:tc>
          <w:tcPr>
            <w:tcW w:w="21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Social Networking</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9/27/2018</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1,802,416</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10,002,666</w:t>
            </w:r>
          </w:p>
        </w:tc>
        <w:tc>
          <w:tcPr>
            <w:tcW w:w="13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3,712,977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175"/>
        </w:trPr>
        <w:tc>
          <w:tcPr>
            <w:tcW w:w="34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NewLake Capital Partners, Inc. (f/k/a</w:t>
            </w:r>
          </w:p>
        </w:tc>
        <w:tc>
          <w:tcPr>
            <w:tcW w:w="1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00" w:type="dxa"/>
            <w:vAlign w:val="bottom"/>
            <w:tcBorders>
              <w:top w:val="single" w:sz="8" w:color="auto"/>
            </w:tcBorders>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GreenAcreage Real Estate Corp.)**</w:t>
            </w:r>
          </w:p>
        </w:tc>
        <w:tc>
          <w:tcPr>
            <w:tcW w:w="500" w:type="dxa"/>
            <w:vAlign w:val="bottom"/>
            <w:gridSpan w:val="7"/>
          </w:tcPr>
          <w:p>
            <w:pPr>
              <w:spacing w:after="0"/>
              <w:rPr>
                <w:sz w:val="17"/>
                <w:szCs w:val="17"/>
                <w:color w:val="auto"/>
              </w:rPr>
            </w:pPr>
          </w:p>
        </w:tc>
        <w:tc>
          <w:tcPr>
            <w:tcW w:w="214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w w:val="99"/>
              </w:rPr>
              <w:t>New Canaan, CT</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400" w:type="dxa"/>
            <w:vAlign w:val="bottom"/>
            <w:gridSpan w:val="2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21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Cannabis REIT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8/12/2019</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229,758</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4,678,686</w:t>
            </w:r>
          </w:p>
        </w:tc>
        <w:tc>
          <w:tcPr>
            <w:tcW w:w="13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3,680,723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175"/>
        </w:trPr>
        <w:tc>
          <w:tcPr>
            <w:tcW w:w="34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Shogun Enterprises, Inc. (d/b/a Hearth)</w:t>
            </w:r>
          </w:p>
        </w:tc>
        <w:tc>
          <w:tcPr>
            <w:tcW w:w="214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color w:val="auto"/>
                <w:w w:val="98"/>
              </w:rPr>
              <w:t>Austin, TX</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Home Improvement</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B-1</w:t>
            </w:r>
          </w:p>
        </w:tc>
        <w:tc>
          <w:tcPr>
            <w:tcW w:w="21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Finance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2/26/2021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436,844</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3,501,657</w:t>
            </w:r>
          </w:p>
        </w:tc>
        <w:tc>
          <w:tcPr>
            <w:tcW w:w="13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1,403,023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39"/>
        </w:trPr>
        <w:tc>
          <w:tcPr>
            <w:tcW w:w="34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Preferred shares, Series B-2</w:t>
            </w: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301,750</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3,501,661</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1,403,024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54"/>
        </w:trPr>
        <w:tc>
          <w:tcPr>
            <w:tcW w:w="34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0.5%, Due 4/18/2024***</w:t>
            </w:r>
          </w:p>
        </w:tc>
        <w:tc>
          <w:tcPr>
            <w:tcW w:w="1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5/2/2022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13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500,000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bottom w:val="single" w:sz="8" w:color="CCEEFF"/>
            </w:tcBorders>
            <w:gridSpan w:val="2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7,503,318</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3,306,047</w:t>
            </w:r>
          </w:p>
        </w:tc>
        <w:tc>
          <w:tcPr>
            <w:tcW w:w="30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35"/>
        </w:trPr>
        <w:tc>
          <w:tcPr>
            <w:tcW w:w="2980" w:type="dxa"/>
            <w:vAlign w:val="bottom"/>
            <w:tcBorders>
              <w:bottom w:val="single" w:sz="8" w:color="CCEEFF"/>
            </w:tcBorders>
            <w:gridSpan w:val="17"/>
            <w:vMerge w:val="restart"/>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True Global Ventures 4 Plus Pte Ltd**</w:t>
            </w:r>
          </w:p>
        </w:tc>
        <w:tc>
          <w:tcPr>
            <w:tcW w:w="160" w:type="dxa"/>
            <w:vAlign w:val="bottom"/>
            <w:tcBorders>
              <w:bottom w:val="single" w:sz="8" w:color="auto"/>
            </w:tcBorders>
            <w:gridSpan w:val="3"/>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2"/>
              </w:rPr>
              <w:t>(8)</w:t>
            </w:r>
          </w:p>
        </w:tc>
        <w:tc>
          <w:tcPr>
            <w:tcW w:w="260" w:type="dxa"/>
            <w:vAlign w:val="bottom"/>
            <w:tcBorders>
              <w:bottom w:val="single" w:sz="8" w:color="CCEEFF"/>
            </w:tcBorders>
            <w:gridSpan w:val="2"/>
            <w:vMerge w:val="restart"/>
            <w:shd w:val="clear" w:color="auto" w:fill="CCEEFF"/>
          </w:tcPr>
          <w:p>
            <w:pPr>
              <w:spacing w:after="0"/>
              <w:rPr>
                <w:sz w:val="11"/>
                <w:szCs w:val="11"/>
                <w:color w:val="auto"/>
              </w:rPr>
            </w:pPr>
          </w:p>
        </w:tc>
        <w:tc>
          <w:tcPr>
            <w:tcW w:w="2140" w:type="dxa"/>
            <w:vAlign w:val="bottom"/>
            <w:tcBorders>
              <w:bottom w:val="single" w:sz="8" w:color="CCEEFF"/>
            </w:tcBorders>
            <w:gridSpan w:val="2"/>
            <w:vMerge w:val="restart"/>
            <w:shd w:val="clear" w:color="auto" w:fill="CCEEFF"/>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9"/>
              </w:rPr>
              <w:t>Singapore, Singapore</w:t>
            </w:r>
          </w:p>
        </w:tc>
        <w:tc>
          <w:tcPr>
            <w:tcW w:w="9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980" w:type="dxa"/>
            <w:vAlign w:val="bottom"/>
            <w:tcBorders>
              <w:bottom w:val="single" w:sz="8" w:color="auto"/>
            </w:tcBorders>
            <w:gridSpan w:val="17"/>
            <w:vMerge w:val="continue"/>
            <w:shd w:val="clear" w:color="auto" w:fill="CCEEFF"/>
          </w:tcPr>
          <w:p>
            <w:pPr>
              <w:spacing w:after="0"/>
              <w:rPr>
                <w:sz w:val="5"/>
                <w:szCs w:val="5"/>
                <w:color w:val="auto"/>
              </w:rPr>
            </w:pPr>
          </w:p>
        </w:tc>
        <w:tc>
          <w:tcPr>
            <w:tcW w:w="100" w:type="dxa"/>
            <w:vAlign w:val="bottom"/>
            <w:tcBorders>
              <w:bottom w:val="single" w:sz="8" w:color="CCEEFF"/>
            </w:tcBorders>
            <w:gridSpan w:val="2"/>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gridSpan w:val="2"/>
            <w:vMerge w:val="continue"/>
            <w:shd w:val="clear" w:color="auto" w:fill="CCEEFF"/>
          </w:tcPr>
          <w:p>
            <w:pPr>
              <w:spacing w:after="0"/>
              <w:rPr>
                <w:sz w:val="5"/>
                <w:szCs w:val="5"/>
                <w:color w:val="auto"/>
              </w:rPr>
            </w:pPr>
          </w:p>
        </w:tc>
        <w:tc>
          <w:tcPr>
            <w:tcW w:w="214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0" w:type="dxa"/>
            <w:vAlign w:val="bottom"/>
            <w:tcBorders>
              <w:top w:val="single" w:sz="8" w:color="CCEEFF"/>
            </w:tcBorders>
            <w:gridSpan w:val="22"/>
          </w:tcPr>
          <w:p>
            <w:pPr>
              <w:spacing w:after="0"/>
              <w:rPr>
                <w:sz w:val="20"/>
                <w:szCs w:val="20"/>
                <w:color w:val="auto"/>
              </w:rPr>
            </w:pPr>
            <w:r>
              <w:rPr>
                <w:rFonts w:ascii="Times New Roman" w:cs="Times New Roman" w:eastAsia="Times New Roman" w:hAnsi="Times New Roman"/>
                <w:sz w:val="18"/>
                <w:szCs w:val="18"/>
                <w:color w:val="auto"/>
              </w:rPr>
              <w:t>Limited Partner Fund Investment</w:t>
            </w:r>
          </w:p>
        </w:tc>
        <w:tc>
          <w:tcPr>
            <w:tcW w:w="2140" w:type="dxa"/>
            <w:vAlign w:val="bottom"/>
            <w:tcBorders>
              <w:top w:val="single" w:sz="8" w:color="CCEEFF"/>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Venture Investment Fund</w:t>
            </w:r>
          </w:p>
        </w:tc>
        <w:tc>
          <w:tcPr>
            <w:tcW w:w="9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8/27/2021</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tcBorders>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3,063,358</w:t>
            </w: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75"/>
        </w:trPr>
        <w:tc>
          <w:tcPr>
            <w:tcW w:w="34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Residential Homes for Rent, LLC (d/b/a</w:t>
            </w:r>
          </w:p>
        </w:tc>
        <w:tc>
          <w:tcPr>
            <w:tcW w:w="1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80" w:type="dxa"/>
            <w:vAlign w:val="bottom"/>
            <w:tcBorders>
              <w:top w:val="single" w:sz="8" w:color="auto"/>
            </w:tcBorders>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Second Avenue)</w:t>
            </w:r>
          </w:p>
        </w:tc>
        <w:tc>
          <w:tcPr>
            <w:tcW w:w="320" w:type="dxa"/>
            <w:vAlign w:val="bottom"/>
            <w:tcBorders>
              <w:top w:val="single" w:sz="8" w:color="CCEEFF"/>
            </w:tcBorders>
            <w:gridSpan w:val="3"/>
            <w:shd w:val="clear" w:color="auto" w:fill="CCEEFF"/>
          </w:tcPr>
          <w:p>
            <w:pPr>
              <w:spacing w:after="0"/>
              <w:rPr>
                <w:sz w:val="17"/>
                <w:szCs w:val="17"/>
                <w:color w:val="auto"/>
              </w:rPr>
            </w:pPr>
          </w:p>
        </w:tc>
        <w:tc>
          <w:tcPr>
            <w:tcW w:w="2140" w:type="dxa"/>
            <w:vAlign w:val="bottom"/>
            <w:tcBorders>
              <w:top w:val="single" w:sz="8" w:color="CCEEFF"/>
            </w:tcBorders>
            <w:gridSpan w:val="2"/>
            <w:shd w:val="clear" w:color="auto" w:fill="CCEEFF"/>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Chicago, IL</w:t>
            </w:r>
          </w:p>
        </w:tc>
        <w:tc>
          <w:tcPr>
            <w:tcW w:w="9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3400" w:type="dxa"/>
            <w:vAlign w:val="bottom"/>
            <w:gridSpan w:val="22"/>
          </w:tcPr>
          <w:p>
            <w:pPr>
              <w:spacing w:after="0" w:line="284" w:lineRule="exact"/>
              <w:rPr>
                <w:sz w:val="20"/>
                <w:szCs w:val="20"/>
                <w:color w:val="auto"/>
              </w:rPr>
            </w:pPr>
            <w:r>
              <w:rPr>
                <w:rFonts w:ascii="Times New Roman" w:cs="Times New Roman" w:eastAsia="Times New Roman" w:hAnsi="Times New Roman"/>
                <w:sz w:val="18"/>
                <w:szCs w:val="18"/>
                <w:color w:val="auto"/>
              </w:rPr>
              <w:t>Preferred shares, Series A</w:t>
            </w:r>
            <w:r>
              <w:rPr>
                <w:rFonts w:ascii="Times New Roman" w:cs="Times New Roman" w:eastAsia="Times New Roman" w:hAnsi="Times New Roman"/>
                <w:sz w:val="29"/>
                <w:szCs w:val="29"/>
                <w:color w:val="auto"/>
                <w:vertAlign w:val="superscript"/>
              </w:rPr>
              <w:t>(6)</w:t>
            </w: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Real Estate Platform</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12/23/2020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1,500,000</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1,959,713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90"/>
        </w:trPr>
        <w:tc>
          <w:tcPr>
            <w:tcW w:w="3400" w:type="dxa"/>
            <w:vAlign w:val="bottom"/>
            <w:gridSpan w:val="2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Term loan 15%, Due 12/23/2023***</w:t>
            </w:r>
            <w:r>
              <w:rPr>
                <w:rFonts w:ascii="Times New Roman" w:cs="Times New Roman" w:eastAsia="Times New Roman" w:hAnsi="Times New Roman"/>
                <w:sz w:val="29"/>
                <w:szCs w:val="29"/>
                <w:color w:val="auto"/>
                <w:vertAlign w:val="superscript"/>
              </w:rPr>
              <w:t>(11)</w:t>
            </w:r>
          </w:p>
        </w:tc>
        <w:tc>
          <w:tcPr>
            <w:tcW w:w="1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12/23/2020</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13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1,000,000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bottom w:val="single" w:sz="8" w:color="CCEEFF"/>
            </w:tcBorders>
            <w:gridSpan w:val="2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2,500,000</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2,959,713</w:t>
            </w:r>
          </w:p>
        </w:tc>
        <w:tc>
          <w:tcPr>
            <w:tcW w:w="30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75"/>
        </w:trPr>
        <w:tc>
          <w:tcPr>
            <w:tcW w:w="34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Trax Ltd.**</w:t>
            </w:r>
          </w:p>
        </w:tc>
        <w:tc>
          <w:tcPr>
            <w:tcW w:w="2140" w:type="dxa"/>
            <w:vAlign w:val="bottom"/>
            <w:gridSpan w:val="2"/>
            <w:shd w:val="clear" w:color="auto" w:fill="CCEEFF"/>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w w:val="99"/>
              </w:rPr>
              <w:t>Singapore, Singapore</w:t>
            </w: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34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Retail Technology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55,591</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2,781,148</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280,797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54"/>
        </w:trPr>
        <w:tc>
          <w:tcPr>
            <w:tcW w:w="34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Investec Series</w:t>
            </w:r>
          </w:p>
        </w:tc>
        <w:tc>
          <w:tcPr>
            <w:tcW w:w="1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144,409</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7,224,600</w:t>
            </w:r>
          </w:p>
        </w:tc>
        <w:tc>
          <w:tcPr>
            <w:tcW w:w="13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2,647,017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bottom w:val="single" w:sz="8" w:color="CCEEFF"/>
            </w:tcBorders>
            <w:gridSpan w:val="2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10,005,748</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2,927,814</w:t>
            </w:r>
          </w:p>
        </w:tc>
        <w:tc>
          <w:tcPr>
            <w:tcW w:w="30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34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PayJoy, Inc.</w:t>
            </w:r>
          </w:p>
        </w:tc>
        <w:tc>
          <w:tcPr>
            <w:tcW w:w="2140" w:type="dxa"/>
            <w:vAlign w:val="bottom"/>
            <w:gridSpan w:val="2"/>
            <w:shd w:val="clear" w:color="auto" w:fill="CCEEFF"/>
          </w:tcPr>
          <w:p>
            <w:pPr>
              <w:jc w:val="center"/>
              <w:ind w:right="180"/>
              <w:spacing w:after="0" w:line="176" w:lineRule="exact"/>
              <w:rPr>
                <w:sz w:val="20"/>
                <w:szCs w:val="20"/>
                <w:color w:val="auto"/>
              </w:rPr>
            </w:pPr>
            <w:r>
              <w:rPr>
                <w:rFonts w:ascii="Times New Roman" w:cs="Times New Roman" w:eastAsia="Times New Roman" w:hAnsi="Times New Roman"/>
                <w:sz w:val="18"/>
                <w:szCs w:val="18"/>
                <w:color w:val="auto"/>
              </w:rPr>
              <w:t>San Francisco, CA</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140" w:type="dxa"/>
            <w:vAlign w:val="bottom"/>
            <w:tcBorders>
              <w:top w:val="single" w:sz="8" w:color="CCEEFF"/>
            </w:tcBorders>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rPr>
              <w:t>Mobile Access</w:t>
            </w:r>
          </w:p>
        </w:tc>
        <w:tc>
          <w:tcPr>
            <w:tcW w:w="9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Technology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7/23/2021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244,117</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2,501,570</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2,500,002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auto"/>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Aventine Property Group, Inc.</w:t>
            </w:r>
          </w:p>
        </w:tc>
        <w:tc>
          <w:tcPr>
            <w:tcW w:w="1040" w:type="dxa"/>
            <w:vAlign w:val="bottom"/>
            <w:tcBorders>
              <w:bottom w:val="single" w:sz="8" w:color="CCEEFF"/>
            </w:tcBorders>
            <w:gridSpan w:val="9"/>
            <w:shd w:val="clear" w:color="auto" w:fill="CCEEFF"/>
          </w:tcPr>
          <w:p>
            <w:pPr>
              <w:spacing w:after="0"/>
              <w:rPr>
                <w:sz w:val="17"/>
                <w:szCs w:val="17"/>
                <w:color w:val="auto"/>
              </w:rPr>
            </w:pPr>
          </w:p>
        </w:tc>
        <w:tc>
          <w:tcPr>
            <w:tcW w:w="2140" w:type="dxa"/>
            <w:vAlign w:val="bottom"/>
            <w:tcBorders>
              <w:bottom w:val="single" w:sz="8" w:color="CCEEFF"/>
            </w:tcBorders>
            <w:gridSpan w:val="2"/>
            <w:shd w:val="clear" w:color="auto" w:fill="CCEEFF"/>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w w:val="99"/>
              </w:rPr>
              <w:t>Chicago, IL</w:t>
            </w: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Cannabis REIT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9/11/2019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312,500</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2,580,750</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1,917,521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196"/>
        </w:trPr>
        <w:tc>
          <w:tcPr>
            <w:tcW w:w="34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Varo Money, Inc.**</w:t>
            </w:r>
          </w:p>
        </w:tc>
        <w:tc>
          <w:tcPr>
            <w:tcW w:w="2140" w:type="dxa"/>
            <w:vAlign w:val="bottom"/>
            <w:gridSpan w:val="2"/>
            <w:shd w:val="clear" w:color="auto" w:fill="CCEEFF"/>
          </w:tcPr>
          <w:p>
            <w:pPr>
              <w:jc w:val="center"/>
              <w:ind w:right="180"/>
              <w:spacing w:after="0" w:line="176" w:lineRule="exact"/>
              <w:rPr>
                <w:sz w:val="20"/>
                <w:szCs w:val="20"/>
                <w:color w:val="auto"/>
              </w:rPr>
            </w:pPr>
            <w:r>
              <w:rPr>
                <w:rFonts w:ascii="Times New Roman" w:cs="Times New Roman" w:eastAsia="Times New Roman" w:hAnsi="Times New Roman"/>
                <w:sz w:val="18"/>
                <w:szCs w:val="18"/>
                <w:color w:val="auto"/>
              </w:rPr>
              <w:t>San Francisco, CA</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0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900" w:type="dxa"/>
            <w:vAlign w:val="bottom"/>
            <w:tcBorders>
              <w:top w:val="single" w:sz="8" w:color="CCEEFF"/>
            </w:tcBorders>
            <w:gridSpan w:val="15"/>
          </w:tcPr>
          <w:p>
            <w:pPr>
              <w:spacing w:after="0"/>
              <w:rPr>
                <w:sz w:val="20"/>
                <w:szCs w:val="20"/>
                <w:color w:val="auto"/>
              </w:rPr>
            </w:pPr>
          </w:p>
        </w:tc>
        <w:tc>
          <w:tcPr>
            <w:tcW w:w="2140" w:type="dxa"/>
            <w:vAlign w:val="bottom"/>
            <w:tcBorders>
              <w:top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Financial Services</w:t>
            </w:r>
          </w:p>
        </w:tc>
        <w:tc>
          <w:tcPr>
            <w:tcW w:w="9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8/11/2021</w:t>
            </w:r>
          </w:p>
        </w:tc>
        <w:tc>
          <w:tcPr>
            <w:tcW w:w="2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120" w:type="dxa"/>
            <w:vAlign w:val="bottom"/>
            <w:tcBorders>
              <w:top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1,079,266</w:t>
            </w:r>
          </w:p>
        </w:tc>
        <w:tc>
          <w:tcPr>
            <w:tcW w:w="100" w:type="dxa"/>
            <w:vAlign w:val="bottom"/>
            <w:tcBorders>
              <w:top w:val="single" w:sz="8" w:color="CCEEFF"/>
            </w:tcBorders>
          </w:tcPr>
          <w:p>
            <w:pPr>
              <w:spacing w:after="0"/>
              <w:rPr>
                <w:sz w:val="20"/>
                <w:szCs w:val="20"/>
                <w:color w:val="auto"/>
              </w:rPr>
            </w:pPr>
          </w:p>
        </w:tc>
        <w:tc>
          <w:tcPr>
            <w:tcW w:w="98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10,005,548</w:t>
            </w:r>
          </w:p>
        </w:tc>
        <w:tc>
          <w:tcPr>
            <w:tcW w:w="1380" w:type="dxa"/>
            <w:vAlign w:val="bottom"/>
            <w:tcBorders>
              <w:top w:val="single" w:sz="8" w:color="CCEEFF"/>
            </w:tcBorders>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1,286,783</w:t>
            </w: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229" w:right="339" w:bottom="335"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335"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0" w:type="dxa"/>
            <w:vAlign w:val="bottom"/>
          </w:tcPr>
          <w:p>
            <w:pPr>
              <w:spacing w:after="0"/>
              <w:rPr>
                <w:sz w:val="1"/>
                <w:szCs w:val="1"/>
                <w:color w:val="auto"/>
              </w:rPr>
            </w:pPr>
          </w:p>
        </w:tc>
      </w:tr>
      <w:tr>
        <w:trPr>
          <w:trHeight w:val="245"/>
        </w:trPr>
        <w:tc>
          <w:tcPr>
            <w:tcW w:w="344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Industry</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00" w:type="dxa"/>
            <w:vAlign w:val="bottom"/>
          </w:tcPr>
          <w:p>
            <w:pPr>
              <w:spacing w:after="0"/>
              <w:rPr>
                <w:sz w:val="21"/>
                <w:szCs w:val="21"/>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60" w:type="dxa"/>
            <w:vAlign w:val="bottom"/>
          </w:tcPr>
          <w:p>
            <w:pPr>
              <w:spacing w:after="0"/>
              <w:rPr>
                <w:sz w:val="21"/>
                <w:szCs w:val="21"/>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1"/>
                <w:szCs w:val="21"/>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176"/>
        </w:trPr>
        <w:tc>
          <w:tcPr>
            <w:tcW w:w="3240" w:type="dxa"/>
            <w:vAlign w:val="bottom"/>
            <w:tcBorders>
              <w:top w:val="single" w:sz="8" w:color="auto"/>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Skillsoft Corp.**</w:t>
            </w:r>
          </w:p>
        </w:tc>
        <w:tc>
          <w:tcPr>
            <w:tcW w:w="2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Nashua, NH</w:t>
            </w: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440" w:type="dxa"/>
            <w:vAlign w:val="bottom"/>
            <w:gridSpan w:val="29"/>
          </w:tcPr>
          <w:p>
            <w:pPr>
              <w:spacing w:after="0" w:line="256" w:lineRule="exact"/>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Online Education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6/8/2021</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981,843</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9,818,430</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1,276,396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175"/>
        </w:trPr>
        <w:tc>
          <w:tcPr>
            <w:tcW w:w="2900" w:type="dxa"/>
            <w:vAlign w:val="bottom"/>
            <w:tcBorders>
              <w:bottom w:val="single" w:sz="8" w:color="auto"/>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Commercial Streaming Solutions Inc.</w:t>
            </w:r>
          </w:p>
        </w:tc>
        <w:tc>
          <w:tcPr>
            <w:tcW w:w="540" w:type="dxa"/>
            <w:vAlign w:val="bottom"/>
            <w:tcBorders>
              <w:bottom w:val="single" w:sz="8" w:color="CCEEFF"/>
            </w:tcBorders>
            <w:gridSpan w:val="3"/>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40" w:type="dxa"/>
            <w:vAlign w:val="bottom"/>
            <w:tcBorders>
              <w:bottom w:val="single" w:sz="8" w:color="CCEEFF"/>
            </w:tcBorders>
            <w:gridSpan w:val="9"/>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(d/b/a BettorView)</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1"/>
              </w:rPr>
              <w:t>(7)</w:t>
            </w: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14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10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340" w:type="dxa"/>
            <w:vAlign w:val="bottom"/>
            <w:tcBorders>
              <w:bottom w:val="single" w:sz="8" w:color="CCEEFF"/>
            </w:tcBorders>
            <w:vMerge w:val="restart"/>
            <w:shd w:val="clear" w:color="auto" w:fill="CCEEFF"/>
          </w:tcPr>
          <w:p>
            <w:pPr>
              <w:spacing w:after="0"/>
              <w:rPr>
                <w:sz w:val="14"/>
                <w:szCs w:val="14"/>
                <w:color w:val="auto"/>
              </w:rPr>
            </w:pPr>
          </w:p>
        </w:tc>
        <w:tc>
          <w:tcPr>
            <w:tcW w:w="60" w:type="dxa"/>
            <w:vAlign w:val="bottom"/>
            <w:tcBorders>
              <w:bottom w:val="single" w:sz="8" w:color="CCEEFF"/>
            </w:tcBorders>
            <w:vMerge w:val="restart"/>
            <w:shd w:val="clear" w:color="auto" w:fill="CCEEFF"/>
          </w:tcPr>
          <w:p>
            <w:pPr>
              <w:spacing w:after="0"/>
              <w:rPr>
                <w:sz w:val="14"/>
                <w:szCs w:val="14"/>
                <w:color w:val="auto"/>
              </w:rPr>
            </w:pPr>
          </w:p>
        </w:tc>
        <w:tc>
          <w:tcPr>
            <w:tcW w:w="40" w:type="dxa"/>
            <w:vAlign w:val="bottom"/>
            <w:tcBorders>
              <w:bottom w:val="single" w:sz="8" w:color="CCEEFF"/>
            </w:tcBorders>
            <w:vMerge w:val="restart"/>
            <w:shd w:val="clear" w:color="auto" w:fill="CCEEFF"/>
          </w:tcPr>
          <w:p>
            <w:pPr>
              <w:spacing w:after="0"/>
              <w:rPr>
                <w:sz w:val="14"/>
                <w:szCs w:val="14"/>
                <w:color w:val="auto"/>
              </w:rPr>
            </w:pPr>
          </w:p>
        </w:tc>
        <w:tc>
          <w:tcPr>
            <w:tcW w:w="40" w:type="dxa"/>
            <w:vAlign w:val="bottom"/>
            <w:tcBorders>
              <w:bottom w:val="single" w:sz="8" w:color="CCEEFF"/>
            </w:tcBorders>
            <w:vMerge w:val="restart"/>
            <w:shd w:val="clear" w:color="auto" w:fill="CCEEFF"/>
          </w:tcPr>
          <w:p>
            <w:pPr>
              <w:spacing w:after="0"/>
              <w:rPr>
                <w:sz w:val="14"/>
                <w:szCs w:val="14"/>
                <w:color w:val="auto"/>
              </w:rPr>
            </w:pPr>
          </w:p>
        </w:tc>
        <w:tc>
          <w:tcPr>
            <w:tcW w:w="8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8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20" w:type="dxa"/>
            <w:vAlign w:val="bottom"/>
            <w:tcBorders>
              <w:bottom w:val="single" w:sz="8" w:color="CCEEFF"/>
            </w:tcBorders>
            <w:vMerge w:val="restart"/>
            <w:shd w:val="clear" w:color="auto" w:fill="CCEEFF"/>
          </w:tcPr>
          <w:p>
            <w:pPr>
              <w:spacing w:after="0"/>
              <w:rPr>
                <w:sz w:val="14"/>
                <w:szCs w:val="14"/>
                <w:color w:val="auto"/>
              </w:rPr>
            </w:pPr>
          </w:p>
        </w:tc>
        <w:tc>
          <w:tcPr>
            <w:tcW w:w="300" w:type="dxa"/>
            <w:vAlign w:val="bottom"/>
            <w:tcBorders>
              <w:bottom w:val="single" w:sz="8" w:color="CCEEFF"/>
            </w:tcBorders>
            <w:gridSpan w:val="2"/>
            <w:vMerge w:val="restart"/>
            <w:shd w:val="clear" w:color="auto" w:fill="CCEEFF"/>
          </w:tcPr>
          <w:p>
            <w:pPr>
              <w:spacing w:after="0"/>
              <w:rPr>
                <w:sz w:val="14"/>
                <w:szCs w:val="14"/>
                <w:color w:val="auto"/>
              </w:rPr>
            </w:pPr>
          </w:p>
        </w:tc>
        <w:tc>
          <w:tcPr>
            <w:tcW w:w="320" w:type="dxa"/>
            <w:vAlign w:val="bottom"/>
            <w:tcBorders>
              <w:bottom w:val="single" w:sz="8" w:color="CCEEFF"/>
            </w:tcBorders>
            <w:gridSpan w:val="2"/>
            <w:vMerge w:val="restart"/>
            <w:shd w:val="clear" w:color="auto" w:fill="CCEEFF"/>
          </w:tcPr>
          <w:p>
            <w:pPr>
              <w:spacing w:after="0"/>
              <w:rPr>
                <w:sz w:val="14"/>
                <w:szCs w:val="14"/>
                <w:color w:val="auto"/>
              </w:rPr>
            </w:pPr>
          </w:p>
        </w:tc>
        <w:tc>
          <w:tcPr>
            <w:tcW w:w="1900" w:type="dxa"/>
            <w:vAlign w:val="bottom"/>
            <w:tcBorders>
              <w:bottom w:val="single" w:sz="8" w:color="CCEEFF"/>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Las Vegas, NV</w:t>
            </w:r>
          </w:p>
        </w:tc>
        <w:tc>
          <w:tcPr>
            <w:tcW w:w="9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440" w:type="dxa"/>
            <w:vAlign w:val="bottom"/>
            <w:tcBorders>
              <w:bottom w:val="single" w:sz="8" w:color="auto"/>
            </w:tcBorders>
            <w:gridSpan w:val="9"/>
            <w:vMerge w:val="continue"/>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300" w:type="dxa"/>
            <w:vAlign w:val="bottom"/>
            <w:tcBorders>
              <w:bottom w:val="single" w:sz="8" w:color="CCEEFF"/>
            </w:tcBorders>
            <w:gridSpan w:val="2"/>
            <w:vMerge w:val="continue"/>
            <w:shd w:val="clear" w:color="auto" w:fill="CCEEFF"/>
          </w:tcPr>
          <w:p>
            <w:pPr>
              <w:spacing w:after="0"/>
              <w:rPr>
                <w:sz w:val="5"/>
                <w:szCs w:val="5"/>
                <w:color w:val="auto"/>
              </w:rPr>
            </w:pPr>
          </w:p>
        </w:tc>
        <w:tc>
          <w:tcPr>
            <w:tcW w:w="320" w:type="dxa"/>
            <w:vAlign w:val="bottom"/>
            <w:tcBorders>
              <w:bottom w:val="single" w:sz="8" w:color="CCEEFF"/>
            </w:tcBorders>
            <w:gridSpan w:val="2"/>
            <w:vMerge w:val="continue"/>
            <w:shd w:val="clear" w:color="auto" w:fill="CCEEFF"/>
          </w:tcPr>
          <w:p>
            <w:pPr>
              <w:spacing w:after="0"/>
              <w:rPr>
                <w:sz w:val="5"/>
                <w:szCs w:val="5"/>
                <w:color w:val="auto"/>
              </w:rPr>
            </w:pPr>
          </w:p>
        </w:tc>
        <w:tc>
          <w:tcPr>
            <w:tcW w:w="190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Interactive Media &amp;</w:t>
            </w:r>
          </w:p>
        </w:tc>
        <w:tc>
          <w:tcPr>
            <w:tcW w:w="9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Simple Agreement for Future Equity</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Services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3/26/2021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1,004,240</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1,000,000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148"/>
        </w:trPr>
        <w:tc>
          <w:tcPr>
            <w:tcW w:w="2400" w:type="dxa"/>
            <w:vAlign w:val="bottom"/>
            <w:tcBorders>
              <w:bottom w:val="single" w:sz="8" w:color="CCEEFF"/>
            </w:tcBorders>
            <w:gridSpan w:val="20"/>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Rebric, Inc. (d/b/a Compliable)</w:t>
            </w:r>
          </w:p>
        </w:tc>
        <w:tc>
          <w:tcPr>
            <w:tcW w:w="180" w:type="dxa"/>
            <w:vAlign w:val="bottom"/>
            <w:tcBorders>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7"/>
              </w:rPr>
              <w:t>(7)</w:t>
            </w: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20" w:type="dxa"/>
            <w:vAlign w:val="bottom"/>
            <w:tcBorders>
              <w:bottom w:val="single" w:sz="8" w:color="CCEEFF"/>
            </w:tcBorders>
            <w:vMerge w:val="restart"/>
            <w:shd w:val="clear" w:color="auto" w:fill="CCEEFF"/>
          </w:tcPr>
          <w:p>
            <w:pPr>
              <w:spacing w:after="0"/>
              <w:rPr>
                <w:sz w:val="12"/>
                <w:szCs w:val="12"/>
                <w:color w:val="auto"/>
              </w:rPr>
            </w:pPr>
          </w:p>
        </w:tc>
        <w:tc>
          <w:tcPr>
            <w:tcW w:w="300" w:type="dxa"/>
            <w:vAlign w:val="bottom"/>
            <w:tcBorders>
              <w:bottom w:val="single" w:sz="8" w:color="CCEEFF"/>
            </w:tcBorders>
            <w:gridSpan w:val="2"/>
            <w:vMerge w:val="restart"/>
            <w:shd w:val="clear" w:color="auto" w:fill="CCEEFF"/>
          </w:tcPr>
          <w:p>
            <w:pPr>
              <w:spacing w:after="0"/>
              <w:rPr>
                <w:sz w:val="12"/>
                <w:szCs w:val="12"/>
                <w:color w:val="auto"/>
              </w:rPr>
            </w:pPr>
          </w:p>
        </w:tc>
        <w:tc>
          <w:tcPr>
            <w:tcW w:w="320" w:type="dxa"/>
            <w:vAlign w:val="bottom"/>
            <w:tcBorders>
              <w:bottom w:val="single" w:sz="8" w:color="CCEEFF"/>
            </w:tcBorders>
            <w:gridSpan w:val="2"/>
            <w:vMerge w:val="restart"/>
            <w:shd w:val="clear" w:color="auto" w:fill="CCEEFF"/>
          </w:tcPr>
          <w:p>
            <w:pPr>
              <w:spacing w:after="0"/>
              <w:rPr>
                <w:sz w:val="12"/>
                <w:szCs w:val="12"/>
                <w:color w:val="auto"/>
              </w:rPr>
            </w:pPr>
          </w:p>
        </w:tc>
        <w:tc>
          <w:tcPr>
            <w:tcW w:w="1900" w:type="dxa"/>
            <w:vAlign w:val="bottom"/>
            <w:tcBorders>
              <w:bottom w:val="single" w:sz="8" w:color="CCEEFF"/>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Denver, CO</w:t>
            </w:r>
          </w:p>
        </w:tc>
        <w:tc>
          <w:tcPr>
            <w:tcW w:w="9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400" w:type="dxa"/>
            <w:vAlign w:val="bottom"/>
            <w:tcBorders>
              <w:bottom w:val="single" w:sz="8" w:color="auto"/>
            </w:tcBorders>
            <w:gridSpan w:val="20"/>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300" w:type="dxa"/>
            <w:vAlign w:val="bottom"/>
            <w:tcBorders>
              <w:bottom w:val="single" w:sz="8" w:color="CCEEFF"/>
            </w:tcBorders>
            <w:gridSpan w:val="2"/>
            <w:vMerge w:val="continue"/>
            <w:shd w:val="clear" w:color="auto" w:fill="CCEEFF"/>
          </w:tcPr>
          <w:p>
            <w:pPr>
              <w:spacing w:after="0"/>
              <w:rPr>
                <w:sz w:val="5"/>
                <w:szCs w:val="5"/>
                <w:color w:val="auto"/>
              </w:rPr>
            </w:pPr>
          </w:p>
        </w:tc>
        <w:tc>
          <w:tcPr>
            <w:tcW w:w="320" w:type="dxa"/>
            <w:vAlign w:val="bottom"/>
            <w:tcBorders>
              <w:bottom w:val="single" w:sz="8" w:color="CCEEFF"/>
            </w:tcBorders>
            <w:gridSpan w:val="2"/>
            <w:vMerge w:val="continue"/>
            <w:shd w:val="clear" w:color="auto" w:fill="CCEEFF"/>
          </w:tcPr>
          <w:p>
            <w:pPr>
              <w:spacing w:after="0"/>
              <w:rPr>
                <w:sz w:val="5"/>
                <w:szCs w:val="5"/>
                <w:color w:val="auto"/>
              </w:rPr>
            </w:pPr>
          </w:p>
        </w:tc>
        <w:tc>
          <w:tcPr>
            <w:tcW w:w="190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tcBorders>
              <w:top w:val="single" w:sz="8" w:color="CCEEFF"/>
            </w:tcBorders>
            <w:gridSpan w:val="29"/>
          </w:tcPr>
          <w:p>
            <w:pPr>
              <w:spacing w:after="0"/>
              <w:rPr>
                <w:sz w:val="20"/>
                <w:szCs w:val="20"/>
                <w:color w:val="auto"/>
              </w:rPr>
            </w:pPr>
            <w:r>
              <w:rPr>
                <w:rFonts w:ascii="Times New Roman" w:cs="Times New Roman" w:eastAsia="Times New Roman" w:hAnsi="Times New Roman"/>
                <w:sz w:val="18"/>
                <w:szCs w:val="18"/>
                <w:color w:val="auto"/>
              </w:rPr>
              <w:t>Preferred shares, Series Seed-4</w:t>
            </w:r>
          </w:p>
        </w:tc>
        <w:tc>
          <w:tcPr>
            <w:tcW w:w="1900" w:type="dxa"/>
            <w:vAlign w:val="bottom"/>
            <w:tcBorders>
              <w:top w:val="single" w:sz="8" w:color="CCEEFF"/>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Gaming Licensing</w:t>
            </w:r>
          </w:p>
        </w:tc>
        <w:tc>
          <w:tcPr>
            <w:tcW w:w="9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10/12/2021</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2,064,409</w:t>
            </w:r>
          </w:p>
        </w:tc>
        <w:tc>
          <w:tcPr>
            <w:tcW w:w="1340" w:type="dxa"/>
            <w:vAlign w:val="bottom"/>
            <w:tcBorders>
              <w:top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1,002,755</w:t>
            </w:r>
          </w:p>
        </w:tc>
        <w:tc>
          <w:tcPr>
            <w:tcW w:w="1460" w:type="dxa"/>
            <w:vAlign w:val="bottom"/>
            <w:tcBorders>
              <w:top w:val="single" w:sz="8" w:color="CCEEFF"/>
            </w:tcBorders>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1,000,000</w:t>
            </w:r>
          </w:p>
        </w:tc>
        <w:tc>
          <w:tcPr>
            <w:tcW w:w="9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175"/>
        </w:trPr>
        <w:tc>
          <w:tcPr>
            <w:tcW w:w="2480" w:type="dxa"/>
            <w:vAlign w:val="bottom"/>
            <w:tcBorders>
              <w:bottom w:val="single" w:sz="8" w:color="auto"/>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Xgroup Holdings Limited (d/b/a</w:t>
            </w:r>
          </w:p>
        </w:tc>
        <w:tc>
          <w:tcPr>
            <w:tcW w:w="960" w:type="dxa"/>
            <w:vAlign w:val="bottom"/>
            <w:tcBorders>
              <w:bottom w:val="single" w:sz="8" w:color="CCEEFF"/>
            </w:tcBorders>
            <w:gridSpan w:val="8"/>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Xpoint)**</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1"/>
              </w:rPr>
              <w:t>(7)</w:t>
            </w:r>
          </w:p>
        </w:tc>
        <w:tc>
          <w:tcPr>
            <w:tcW w:w="80" w:type="dxa"/>
            <w:vAlign w:val="bottom"/>
            <w:tcBorders>
              <w:bottom w:val="single" w:sz="8" w:color="CCEEFF"/>
            </w:tcBorders>
            <w:vMerge w:val="restart"/>
            <w:shd w:val="clear" w:color="auto" w:fill="CCEEFF"/>
          </w:tcPr>
          <w:p>
            <w:pPr>
              <w:spacing w:after="0"/>
              <w:rPr>
                <w:sz w:val="14"/>
                <w:szCs w:val="14"/>
                <w:color w:val="auto"/>
              </w:rPr>
            </w:pPr>
          </w:p>
        </w:tc>
        <w:tc>
          <w:tcPr>
            <w:tcW w:w="16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380" w:type="dxa"/>
            <w:vAlign w:val="bottom"/>
            <w:tcBorders>
              <w:bottom w:val="single" w:sz="8" w:color="CCEEFF"/>
            </w:tcBorders>
            <w:gridSpan w:val="3"/>
            <w:vMerge w:val="restart"/>
            <w:shd w:val="clear" w:color="auto" w:fill="CCEEFF"/>
          </w:tcPr>
          <w:p>
            <w:pPr>
              <w:spacing w:after="0"/>
              <w:rPr>
                <w:sz w:val="14"/>
                <w:szCs w:val="14"/>
                <w:color w:val="auto"/>
              </w:rPr>
            </w:pPr>
          </w:p>
        </w:tc>
        <w:tc>
          <w:tcPr>
            <w:tcW w:w="40" w:type="dxa"/>
            <w:vAlign w:val="bottom"/>
            <w:tcBorders>
              <w:bottom w:val="single" w:sz="8" w:color="CCEEFF"/>
            </w:tcBorders>
            <w:gridSpan w:val="2"/>
            <w:vMerge w:val="restart"/>
            <w:shd w:val="clear" w:color="auto" w:fill="CCEEFF"/>
          </w:tcPr>
          <w:p>
            <w:pPr>
              <w:spacing w:after="0"/>
              <w:rPr>
                <w:sz w:val="14"/>
                <w:szCs w:val="14"/>
                <w:color w:val="auto"/>
              </w:rPr>
            </w:pPr>
          </w:p>
        </w:tc>
        <w:tc>
          <w:tcPr>
            <w:tcW w:w="14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10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340" w:type="dxa"/>
            <w:vAlign w:val="bottom"/>
            <w:tcBorders>
              <w:bottom w:val="single" w:sz="8" w:color="CCEEFF"/>
            </w:tcBorders>
            <w:vMerge w:val="restart"/>
            <w:shd w:val="clear" w:color="auto" w:fill="CCEEFF"/>
          </w:tcPr>
          <w:p>
            <w:pPr>
              <w:spacing w:after="0"/>
              <w:rPr>
                <w:sz w:val="14"/>
                <w:szCs w:val="14"/>
                <w:color w:val="auto"/>
              </w:rPr>
            </w:pPr>
          </w:p>
        </w:tc>
        <w:tc>
          <w:tcPr>
            <w:tcW w:w="60" w:type="dxa"/>
            <w:vAlign w:val="bottom"/>
            <w:tcBorders>
              <w:bottom w:val="single" w:sz="8" w:color="CCEEFF"/>
            </w:tcBorders>
            <w:vMerge w:val="restart"/>
            <w:shd w:val="clear" w:color="auto" w:fill="CCEEFF"/>
          </w:tcPr>
          <w:p>
            <w:pPr>
              <w:spacing w:after="0"/>
              <w:rPr>
                <w:sz w:val="14"/>
                <w:szCs w:val="14"/>
                <w:color w:val="auto"/>
              </w:rPr>
            </w:pPr>
          </w:p>
        </w:tc>
        <w:tc>
          <w:tcPr>
            <w:tcW w:w="40" w:type="dxa"/>
            <w:vAlign w:val="bottom"/>
            <w:tcBorders>
              <w:bottom w:val="single" w:sz="8" w:color="CCEEFF"/>
            </w:tcBorders>
            <w:vMerge w:val="restart"/>
            <w:shd w:val="clear" w:color="auto" w:fill="CCEEFF"/>
          </w:tcPr>
          <w:p>
            <w:pPr>
              <w:spacing w:after="0"/>
              <w:rPr>
                <w:sz w:val="14"/>
                <w:szCs w:val="14"/>
                <w:color w:val="auto"/>
              </w:rPr>
            </w:pPr>
          </w:p>
        </w:tc>
        <w:tc>
          <w:tcPr>
            <w:tcW w:w="140" w:type="dxa"/>
            <w:vAlign w:val="bottom"/>
            <w:tcBorders>
              <w:bottom w:val="single" w:sz="8" w:color="CCEEFF"/>
            </w:tcBorders>
            <w:gridSpan w:val="3"/>
            <w:vMerge w:val="restart"/>
            <w:shd w:val="clear" w:color="auto" w:fill="CCEEFF"/>
          </w:tcPr>
          <w:p>
            <w:pPr>
              <w:spacing w:after="0"/>
              <w:rPr>
                <w:sz w:val="14"/>
                <w:szCs w:val="14"/>
                <w:color w:val="auto"/>
              </w:rPr>
            </w:pPr>
          </w:p>
        </w:tc>
        <w:tc>
          <w:tcPr>
            <w:tcW w:w="100" w:type="dxa"/>
            <w:vAlign w:val="bottom"/>
            <w:tcBorders>
              <w:bottom w:val="single" w:sz="8" w:color="CCEEFF"/>
            </w:tcBorders>
            <w:gridSpan w:val="2"/>
            <w:vMerge w:val="restart"/>
            <w:shd w:val="clear" w:color="auto" w:fill="CCEEFF"/>
          </w:tcPr>
          <w:p>
            <w:pPr>
              <w:spacing w:after="0"/>
              <w:rPr>
                <w:sz w:val="14"/>
                <w:szCs w:val="14"/>
                <w:color w:val="auto"/>
              </w:rPr>
            </w:pPr>
          </w:p>
        </w:tc>
        <w:tc>
          <w:tcPr>
            <w:tcW w:w="220" w:type="dxa"/>
            <w:vAlign w:val="bottom"/>
            <w:tcBorders>
              <w:bottom w:val="single" w:sz="8" w:color="CCEEFF"/>
            </w:tcBorders>
            <w:vMerge w:val="restart"/>
            <w:shd w:val="clear" w:color="auto" w:fill="CCEEFF"/>
          </w:tcPr>
          <w:p>
            <w:pPr>
              <w:spacing w:after="0"/>
              <w:rPr>
                <w:sz w:val="14"/>
                <w:szCs w:val="14"/>
                <w:color w:val="auto"/>
              </w:rPr>
            </w:pPr>
          </w:p>
        </w:tc>
        <w:tc>
          <w:tcPr>
            <w:tcW w:w="300" w:type="dxa"/>
            <w:vAlign w:val="bottom"/>
            <w:tcBorders>
              <w:bottom w:val="single" w:sz="8" w:color="CCEEFF"/>
            </w:tcBorders>
            <w:gridSpan w:val="2"/>
            <w:vMerge w:val="restart"/>
            <w:shd w:val="clear" w:color="auto" w:fill="CCEEFF"/>
          </w:tcPr>
          <w:p>
            <w:pPr>
              <w:spacing w:after="0"/>
              <w:rPr>
                <w:sz w:val="14"/>
                <w:szCs w:val="14"/>
                <w:color w:val="auto"/>
              </w:rPr>
            </w:pPr>
          </w:p>
        </w:tc>
        <w:tc>
          <w:tcPr>
            <w:tcW w:w="320" w:type="dxa"/>
            <w:vAlign w:val="bottom"/>
            <w:tcBorders>
              <w:bottom w:val="single" w:sz="8" w:color="CCEEFF"/>
            </w:tcBorders>
            <w:gridSpan w:val="2"/>
            <w:vMerge w:val="restart"/>
            <w:shd w:val="clear" w:color="auto" w:fill="CCEEFF"/>
          </w:tcPr>
          <w:p>
            <w:pPr>
              <w:spacing w:after="0"/>
              <w:rPr>
                <w:sz w:val="14"/>
                <w:szCs w:val="14"/>
                <w:color w:val="auto"/>
              </w:rPr>
            </w:pPr>
          </w:p>
        </w:tc>
        <w:tc>
          <w:tcPr>
            <w:tcW w:w="1900" w:type="dxa"/>
            <w:vAlign w:val="bottom"/>
            <w:tcBorders>
              <w:bottom w:val="single" w:sz="8" w:color="CCEEFF"/>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Dubai, UAE</w:t>
            </w:r>
          </w:p>
        </w:tc>
        <w:tc>
          <w:tcPr>
            <w:tcW w:w="9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780" w:type="dxa"/>
            <w:vAlign w:val="bottom"/>
            <w:tcBorders>
              <w:bottom w:val="single" w:sz="8" w:color="auto"/>
            </w:tcBorders>
            <w:gridSpan w:val="2"/>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380" w:type="dxa"/>
            <w:vAlign w:val="bottom"/>
            <w:tcBorders>
              <w:bottom w:val="single" w:sz="8" w:color="CCEEFF"/>
            </w:tcBorders>
            <w:gridSpan w:val="3"/>
            <w:vMerge w:val="continue"/>
            <w:shd w:val="clear" w:color="auto" w:fill="CCEEFF"/>
          </w:tcPr>
          <w:p>
            <w:pPr>
              <w:spacing w:after="0"/>
              <w:rPr>
                <w:sz w:val="5"/>
                <w:szCs w:val="5"/>
                <w:color w:val="auto"/>
              </w:rPr>
            </w:pPr>
          </w:p>
        </w:tc>
        <w:tc>
          <w:tcPr>
            <w:tcW w:w="40" w:type="dxa"/>
            <w:vAlign w:val="bottom"/>
            <w:tcBorders>
              <w:bottom w:val="single" w:sz="8" w:color="CCEEFF"/>
            </w:tcBorders>
            <w:gridSpan w:val="2"/>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gridSpan w:val="3"/>
            <w:vMerge w:val="continue"/>
            <w:shd w:val="clear" w:color="auto" w:fill="CCEEFF"/>
          </w:tcPr>
          <w:p>
            <w:pPr>
              <w:spacing w:after="0"/>
              <w:rPr>
                <w:sz w:val="5"/>
                <w:szCs w:val="5"/>
                <w:color w:val="auto"/>
              </w:rPr>
            </w:pPr>
          </w:p>
        </w:tc>
        <w:tc>
          <w:tcPr>
            <w:tcW w:w="100" w:type="dxa"/>
            <w:vAlign w:val="bottom"/>
            <w:tcBorders>
              <w:bottom w:val="single" w:sz="8" w:color="CCEEFF"/>
            </w:tcBorders>
            <w:gridSpan w:val="2"/>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300" w:type="dxa"/>
            <w:vAlign w:val="bottom"/>
            <w:tcBorders>
              <w:bottom w:val="single" w:sz="8" w:color="CCEEFF"/>
            </w:tcBorders>
            <w:gridSpan w:val="2"/>
            <w:vMerge w:val="continue"/>
            <w:shd w:val="clear" w:color="auto" w:fill="CCEEFF"/>
          </w:tcPr>
          <w:p>
            <w:pPr>
              <w:spacing w:after="0"/>
              <w:rPr>
                <w:sz w:val="5"/>
                <w:szCs w:val="5"/>
                <w:color w:val="auto"/>
              </w:rPr>
            </w:pPr>
          </w:p>
        </w:tc>
        <w:tc>
          <w:tcPr>
            <w:tcW w:w="320" w:type="dxa"/>
            <w:vAlign w:val="bottom"/>
            <w:tcBorders>
              <w:bottom w:val="single" w:sz="8" w:color="CCEEFF"/>
            </w:tcBorders>
            <w:gridSpan w:val="2"/>
            <w:vMerge w:val="continue"/>
            <w:shd w:val="clear" w:color="auto" w:fill="CCEEFF"/>
          </w:tcPr>
          <w:p>
            <w:pPr>
              <w:spacing w:after="0"/>
              <w:rPr>
                <w:sz w:val="5"/>
                <w:szCs w:val="5"/>
                <w:color w:val="auto"/>
              </w:rPr>
            </w:pPr>
          </w:p>
        </w:tc>
        <w:tc>
          <w:tcPr>
            <w:tcW w:w="190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Geolocation</w:t>
            </w:r>
          </w:p>
        </w:tc>
        <w:tc>
          <w:tcPr>
            <w:tcW w:w="9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Convertible Note 6%, Due 8/17/2023***</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Technology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8/17/2022</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1,000,000</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1,009,093</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1,000,000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175"/>
        </w:trPr>
        <w:tc>
          <w:tcPr>
            <w:tcW w:w="2360" w:type="dxa"/>
            <w:vAlign w:val="bottom"/>
            <w:tcBorders>
              <w:bottom w:val="single" w:sz="8" w:color="auto"/>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7"/>
              </w:rPr>
              <w:t>YouBet Technology, Inc. (d/b/a</w:t>
            </w:r>
          </w:p>
        </w:tc>
        <w:tc>
          <w:tcPr>
            <w:tcW w:w="1080" w:type="dxa"/>
            <w:vAlign w:val="bottom"/>
            <w:tcBorders>
              <w:bottom w:val="single" w:sz="8" w:color="CCEEFF"/>
            </w:tcBorders>
            <w:gridSpan w:val="10"/>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60" w:type="dxa"/>
            <w:vAlign w:val="bottom"/>
            <w:tcBorders>
              <w:bottom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FanPower)</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1"/>
              </w:rPr>
              <w:t>(7)</w:t>
            </w:r>
          </w:p>
        </w:tc>
        <w:tc>
          <w:tcPr>
            <w:tcW w:w="16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380" w:type="dxa"/>
            <w:vAlign w:val="bottom"/>
            <w:tcBorders>
              <w:bottom w:val="single" w:sz="8" w:color="CCEEFF"/>
            </w:tcBorders>
            <w:gridSpan w:val="3"/>
            <w:vMerge w:val="restart"/>
            <w:shd w:val="clear" w:color="auto" w:fill="CCEEFF"/>
          </w:tcPr>
          <w:p>
            <w:pPr>
              <w:spacing w:after="0"/>
              <w:rPr>
                <w:sz w:val="14"/>
                <w:szCs w:val="14"/>
                <w:color w:val="auto"/>
              </w:rPr>
            </w:pPr>
          </w:p>
        </w:tc>
        <w:tc>
          <w:tcPr>
            <w:tcW w:w="40" w:type="dxa"/>
            <w:vAlign w:val="bottom"/>
            <w:tcBorders>
              <w:bottom w:val="single" w:sz="8" w:color="CCEEFF"/>
            </w:tcBorders>
            <w:gridSpan w:val="2"/>
            <w:vMerge w:val="restart"/>
            <w:shd w:val="clear" w:color="auto" w:fill="CCEEFF"/>
          </w:tcPr>
          <w:p>
            <w:pPr>
              <w:spacing w:after="0"/>
              <w:rPr>
                <w:sz w:val="14"/>
                <w:szCs w:val="14"/>
                <w:color w:val="auto"/>
              </w:rPr>
            </w:pPr>
          </w:p>
        </w:tc>
        <w:tc>
          <w:tcPr>
            <w:tcW w:w="14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10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340" w:type="dxa"/>
            <w:vAlign w:val="bottom"/>
            <w:tcBorders>
              <w:bottom w:val="single" w:sz="8" w:color="CCEEFF"/>
            </w:tcBorders>
            <w:vMerge w:val="restart"/>
            <w:shd w:val="clear" w:color="auto" w:fill="CCEEFF"/>
          </w:tcPr>
          <w:p>
            <w:pPr>
              <w:spacing w:after="0"/>
              <w:rPr>
                <w:sz w:val="14"/>
                <w:szCs w:val="14"/>
                <w:color w:val="auto"/>
              </w:rPr>
            </w:pPr>
          </w:p>
        </w:tc>
        <w:tc>
          <w:tcPr>
            <w:tcW w:w="60" w:type="dxa"/>
            <w:vAlign w:val="bottom"/>
            <w:tcBorders>
              <w:bottom w:val="single" w:sz="8" w:color="CCEEFF"/>
            </w:tcBorders>
            <w:vMerge w:val="restart"/>
            <w:shd w:val="clear" w:color="auto" w:fill="CCEEFF"/>
          </w:tcPr>
          <w:p>
            <w:pPr>
              <w:spacing w:after="0"/>
              <w:rPr>
                <w:sz w:val="14"/>
                <w:szCs w:val="14"/>
                <w:color w:val="auto"/>
              </w:rPr>
            </w:pPr>
          </w:p>
        </w:tc>
        <w:tc>
          <w:tcPr>
            <w:tcW w:w="180" w:type="dxa"/>
            <w:vAlign w:val="bottom"/>
            <w:tcBorders>
              <w:bottom w:val="single" w:sz="8" w:color="CCEEFF"/>
            </w:tcBorders>
            <w:gridSpan w:val="4"/>
            <w:vMerge w:val="restart"/>
            <w:shd w:val="clear" w:color="auto" w:fill="CCEEFF"/>
          </w:tcPr>
          <w:p>
            <w:pPr>
              <w:spacing w:after="0"/>
              <w:rPr>
                <w:sz w:val="14"/>
                <w:szCs w:val="14"/>
                <w:color w:val="auto"/>
              </w:rPr>
            </w:pPr>
          </w:p>
        </w:tc>
        <w:tc>
          <w:tcPr>
            <w:tcW w:w="100" w:type="dxa"/>
            <w:vAlign w:val="bottom"/>
            <w:tcBorders>
              <w:bottom w:val="single" w:sz="8" w:color="CCEEFF"/>
            </w:tcBorders>
            <w:gridSpan w:val="2"/>
            <w:vMerge w:val="restart"/>
            <w:shd w:val="clear" w:color="auto" w:fill="CCEEFF"/>
          </w:tcPr>
          <w:p>
            <w:pPr>
              <w:spacing w:after="0"/>
              <w:rPr>
                <w:sz w:val="14"/>
                <w:szCs w:val="14"/>
                <w:color w:val="auto"/>
              </w:rPr>
            </w:pPr>
          </w:p>
        </w:tc>
        <w:tc>
          <w:tcPr>
            <w:tcW w:w="220" w:type="dxa"/>
            <w:vAlign w:val="bottom"/>
            <w:tcBorders>
              <w:bottom w:val="single" w:sz="8" w:color="CCEEFF"/>
            </w:tcBorders>
            <w:vMerge w:val="restart"/>
            <w:shd w:val="clear" w:color="auto" w:fill="CCEEFF"/>
          </w:tcPr>
          <w:p>
            <w:pPr>
              <w:spacing w:after="0"/>
              <w:rPr>
                <w:sz w:val="14"/>
                <w:szCs w:val="14"/>
                <w:color w:val="auto"/>
              </w:rPr>
            </w:pPr>
          </w:p>
        </w:tc>
        <w:tc>
          <w:tcPr>
            <w:tcW w:w="300" w:type="dxa"/>
            <w:vAlign w:val="bottom"/>
            <w:tcBorders>
              <w:bottom w:val="single" w:sz="8" w:color="CCEEFF"/>
            </w:tcBorders>
            <w:gridSpan w:val="2"/>
            <w:vMerge w:val="restart"/>
            <w:shd w:val="clear" w:color="auto" w:fill="CCEEFF"/>
          </w:tcPr>
          <w:p>
            <w:pPr>
              <w:spacing w:after="0"/>
              <w:rPr>
                <w:sz w:val="14"/>
                <w:szCs w:val="14"/>
                <w:color w:val="auto"/>
              </w:rPr>
            </w:pPr>
          </w:p>
        </w:tc>
        <w:tc>
          <w:tcPr>
            <w:tcW w:w="320" w:type="dxa"/>
            <w:vAlign w:val="bottom"/>
            <w:tcBorders>
              <w:bottom w:val="single" w:sz="8" w:color="CCEEFF"/>
            </w:tcBorders>
            <w:gridSpan w:val="2"/>
            <w:vMerge w:val="restart"/>
            <w:shd w:val="clear" w:color="auto" w:fill="CCEEFF"/>
          </w:tcPr>
          <w:p>
            <w:pPr>
              <w:spacing w:after="0"/>
              <w:rPr>
                <w:sz w:val="14"/>
                <w:szCs w:val="14"/>
                <w:color w:val="auto"/>
              </w:rPr>
            </w:pPr>
          </w:p>
        </w:tc>
        <w:tc>
          <w:tcPr>
            <w:tcW w:w="1900" w:type="dxa"/>
            <w:vAlign w:val="bottom"/>
            <w:tcBorders>
              <w:bottom w:val="single" w:sz="8" w:color="CCEEFF"/>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New York, NY</w:t>
            </w:r>
          </w:p>
        </w:tc>
        <w:tc>
          <w:tcPr>
            <w:tcW w:w="9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860" w:type="dxa"/>
            <w:vAlign w:val="bottom"/>
            <w:tcBorders>
              <w:bottom w:val="single" w:sz="8" w:color="auto"/>
            </w:tcBorders>
            <w:gridSpan w:val="3"/>
            <w:vMerge w:val="continue"/>
            <w:shd w:val="clear" w:color="auto" w:fill="CCEEFF"/>
          </w:tcPr>
          <w:p>
            <w:pPr>
              <w:spacing w:after="0"/>
              <w:rPr>
                <w:sz w:val="5"/>
                <w:szCs w:val="5"/>
                <w:color w:val="auto"/>
              </w:rPr>
            </w:pPr>
          </w:p>
        </w:tc>
        <w:tc>
          <w:tcPr>
            <w:tcW w:w="180" w:type="dxa"/>
            <w:vAlign w:val="bottom"/>
            <w:tcBorders>
              <w:bottom w:val="single" w:sz="8" w:color="CCEEFF"/>
            </w:tcBorders>
            <w:gridSpan w:val="2"/>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380" w:type="dxa"/>
            <w:vAlign w:val="bottom"/>
            <w:tcBorders>
              <w:bottom w:val="single" w:sz="8" w:color="CCEEFF"/>
            </w:tcBorders>
            <w:gridSpan w:val="3"/>
            <w:vMerge w:val="continue"/>
            <w:shd w:val="clear" w:color="auto" w:fill="CCEEFF"/>
          </w:tcPr>
          <w:p>
            <w:pPr>
              <w:spacing w:after="0"/>
              <w:rPr>
                <w:sz w:val="5"/>
                <w:szCs w:val="5"/>
                <w:color w:val="auto"/>
              </w:rPr>
            </w:pPr>
          </w:p>
        </w:tc>
        <w:tc>
          <w:tcPr>
            <w:tcW w:w="40" w:type="dxa"/>
            <w:vAlign w:val="bottom"/>
            <w:tcBorders>
              <w:bottom w:val="single" w:sz="8" w:color="CCEEFF"/>
            </w:tcBorders>
            <w:gridSpan w:val="2"/>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gridSpan w:val="4"/>
            <w:vMerge w:val="continue"/>
            <w:shd w:val="clear" w:color="auto" w:fill="CCEEFF"/>
          </w:tcPr>
          <w:p>
            <w:pPr>
              <w:spacing w:after="0"/>
              <w:rPr>
                <w:sz w:val="5"/>
                <w:szCs w:val="5"/>
                <w:color w:val="auto"/>
              </w:rPr>
            </w:pPr>
          </w:p>
        </w:tc>
        <w:tc>
          <w:tcPr>
            <w:tcW w:w="100" w:type="dxa"/>
            <w:vAlign w:val="bottom"/>
            <w:tcBorders>
              <w:bottom w:val="single" w:sz="8" w:color="CCEEFF"/>
            </w:tcBorders>
            <w:gridSpan w:val="2"/>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300" w:type="dxa"/>
            <w:vAlign w:val="bottom"/>
            <w:tcBorders>
              <w:bottom w:val="single" w:sz="8" w:color="CCEEFF"/>
            </w:tcBorders>
            <w:gridSpan w:val="2"/>
            <w:vMerge w:val="continue"/>
            <w:shd w:val="clear" w:color="auto" w:fill="CCEEFF"/>
          </w:tcPr>
          <w:p>
            <w:pPr>
              <w:spacing w:after="0"/>
              <w:rPr>
                <w:sz w:val="5"/>
                <w:szCs w:val="5"/>
                <w:color w:val="auto"/>
              </w:rPr>
            </w:pPr>
          </w:p>
        </w:tc>
        <w:tc>
          <w:tcPr>
            <w:tcW w:w="320" w:type="dxa"/>
            <w:vAlign w:val="bottom"/>
            <w:tcBorders>
              <w:bottom w:val="single" w:sz="8" w:color="CCEEFF"/>
            </w:tcBorders>
            <w:gridSpan w:val="2"/>
            <w:vMerge w:val="continue"/>
            <w:shd w:val="clear" w:color="auto" w:fill="CCEEFF"/>
          </w:tcPr>
          <w:p>
            <w:pPr>
              <w:spacing w:after="0"/>
              <w:rPr>
                <w:sz w:val="5"/>
                <w:szCs w:val="5"/>
                <w:color w:val="auto"/>
              </w:rPr>
            </w:pPr>
          </w:p>
        </w:tc>
        <w:tc>
          <w:tcPr>
            <w:tcW w:w="190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Digital Media</w:t>
            </w:r>
          </w:p>
        </w:tc>
        <w:tc>
          <w:tcPr>
            <w:tcW w:w="9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Preferred shares, Series Seed-2</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Technology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8/26/2021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578,029</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752,943</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749,998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148"/>
        </w:trPr>
        <w:tc>
          <w:tcPr>
            <w:tcW w:w="1600" w:type="dxa"/>
            <w:vAlign w:val="bottom"/>
            <w:tcBorders>
              <w:bottom w:val="single" w:sz="8" w:color="CCEEFF"/>
            </w:tcBorders>
            <w:gridSpan w:val="10"/>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EDGE Markets, Inc.</w:t>
            </w:r>
          </w:p>
        </w:tc>
        <w:tc>
          <w:tcPr>
            <w:tcW w:w="180" w:type="dxa"/>
            <w:vAlign w:val="bottom"/>
            <w:tcBorders>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7"/>
              </w:rPr>
              <w:t>(7)</w:t>
            </w: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34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80" w:type="dxa"/>
            <w:vAlign w:val="bottom"/>
            <w:tcBorders>
              <w:bottom w:val="single" w:sz="8" w:color="CCEEFF"/>
            </w:tcBorders>
            <w:gridSpan w:val="4"/>
            <w:vMerge w:val="restart"/>
            <w:shd w:val="clear" w:color="auto" w:fill="CCEEFF"/>
          </w:tcPr>
          <w:p>
            <w:pPr>
              <w:spacing w:after="0"/>
              <w:rPr>
                <w:sz w:val="12"/>
                <w:szCs w:val="12"/>
                <w:color w:val="auto"/>
              </w:rPr>
            </w:pPr>
          </w:p>
        </w:tc>
        <w:tc>
          <w:tcPr>
            <w:tcW w:w="100" w:type="dxa"/>
            <w:vAlign w:val="bottom"/>
            <w:tcBorders>
              <w:bottom w:val="single" w:sz="8" w:color="CCEEFF"/>
            </w:tcBorders>
            <w:gridSpan w:val="2"/>
            <w:vMerge w:val="restart"/>
            <w:shd w:val="clear" w:color="auto" w:fill="CCEEFF"/>
          </w:tcPr>
          <w:p>
            <w:pPr>
              <w:spacing w:after="0"/>
              <w:rPr>
                <w:sz w:val="12"/>
                <w:szCs w:val="12"/>
                <w:color w:val="auto"/>
              </w:rPr>
            </w:pPr>
          </w:p>
        </w:tc>
        <w:tc>
          <w:tcPr>
            <w:tcW w:w="220" w:type="dxa"/>
            <w:vAlign w:val="bottom"/>
            <w:tcBorders>
              <w:bottom w:val="single" w:sz="8" w:color="CCEEFF"/>
            </w:tcBorders>
            <w:vMerge w:val="restart"/>
            <w:shd w:val="clear" w:color="auto" w:fill="CCEEFF"/>
          </w:tcPr>
          <w:p>
            <w:pPr>
              <w:spacing w:after="0"/>
              <w:rPr>
                <w:sz w:val="12"/>
                <w:szCs w:val="12"/>
                <w:color w:val="auto"/>
              </w:rPr>
            </w:pPr>
          </w:p>
        </w:tc>
        <w:tc>
          <w:tcPr>
            <w:tcW w:w="300" w:type="dxa"/>
            <w:vAlign w:val="bottom"/>
            <w:tcBorders>
              <w:bottom w:val="single" w:sz="8" w:color="CCEEFF"/>
            </w:tcBorders>
            <w:gridSpan w:val="2"/>
            <w:vMerge w:val="restart"/>
            <w:shd w:val="clear" w:color="auto" w:fill="CCEEFF"/>
          </w:tcPr>
          <w:p>
            <w:pPr>
              <w:spacing w:after="0"/>
              <w:rPr>
                <w:sz w:val="12"/>
                <w:szCs w:val="12"/>
                <w:color w:val="auto"/>
              </w:rPr>
            </w:pPr>
          </w:p>
        </w:tc>
        <w:tc>
          <w:tcPr>
            <w:tcW w:w="320" w:type="dxa"/>
            <w:vAlign w:val="bottom"/>
            <w:tcBorders>
              <w:bottom w:val="single" w:sz="8" w:color="CCEEFF"/>
            </w:tcBorders>
            <w:gridSpan w:val="2"/>
            <w:vMerge w:val="restart"/>
            <w:shd w:val="clear" w:color="auto" w:fill="CCEEFF"/>
          </w:tcPr>
          <w:p>
            <w:pPr>
              <w:spacing w:after="0"/>
              <w:rPr>
                <w:sz w:val="12"/>
                <w:szCs w:val="12"/>
                <w:color w:val="auto"/>
              </w:rPr>
            </w:pPr>
          </w:p>
        </w:tc>
        <w:tc>
          <w:tcPr>
            <w:tcW w:w="1900" w:type="dxa"/>
            <w:vAlign w:val="bottom"/>
            <w:tcBorders>
              <w:bottom w:val="single" w:sz="8" w:color="CCEEFF"/>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San Diego, CA</w:t>
            </w:r>
          </w:p>
        </w:tc>
        <w:tc>
          <w:tcPr>
            <w:tcW w:w="9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600" w:type="dxa"/>
            <w:vAlign w:val="bottom"/>
            <w:tcBorders>
              <w:bottom w:val="single" w:sz="8" w:color="auto"/>
            </w:tcBorders>
            <w:gridSpan w:val="10"/>
            <w:vMerge w:val="continue"/>
            <w:shd w:val="clear" w:color="auto" w:fill="CCEEFF"/>
          </w:tcPr>
          <w:p>
            <w:pPr>
              <w:spacing w:after="0"/>
              <w:rPr>
                <w:sz w:val="5"/>
                <w:szCs w:val="5"/>
                <w:color w:val="auto"/>
              </w:rPr>
            </w:pPr>
          </w:p>
        </w:tc>
        <w:tc>
          <w:tcPr>
            <w:tcW w:w="40" w:type="dxa"/>
            <w:vAlign w:val="bottom"/>
            <w:tcBorders>
              <w:bottom w:val="single" w:sz="8" w:color="CCEEFF"/>
            </w:tcBorders>
            <w:gridSpan w:val="2"/>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gridSpan w:val="4"/>
            <w:vMerge w:val="continue"/>
            <w:shd w:val="clear" w:color="auto" w:fill="CCEEFF"/>
          </w:tcPr>
          <w:p>
            <w:pPr>
              <w:spacing w:after="0"/>
              <w:rPr>
                <w:sz w:val="5"/>
                <w:szCs w:val="5"/>
                <w:color w:val="auto"/>
              </w:rPr>
            </w:pPr>
          </w:p>
        </w:tc>
        <w:tc>
          <w:tcPr>
            <w:tcW w:w="100" w:type="dxa"/>
            <w:vAlign w:val="bottom"/>
            <w:tcBorders>
              <w:bottom w:val="single" w:sz="8" w:color="CCEEFF"/>
            </w:tcBorders>
            <w:gridSpan w:val="2"/>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300" w:type="dxa"/>
            <w:vAlign w:val="bottom"/>
            <w:tcBorders>
              <w:bottom w:val="single" w:sz="8" w:color="CCEEFF"/>
            </w:tcBorders>
            <w:gridSpan w:val="2"/>
            <w:vMerge w:val="continue"/>
            <w:shd w:val="clear" w:color="auto" w:fill="CCEEFF"/>
          </w:tcPr>
          <w:p>
            <w:pPr>
              <w:spacing w:after="0"/>
              <w:rPr>
                <w:sz w:val="5"/>
                <w:szCs w:val="5"/>
                <w:color w:val="auto"/>
              </w:rPr>
            </w:pPr>
          </w:p>
        </w:tc>
        <w:tc>
          <w:tcPr>
            <w:tcW w:w="320" w:type="dxa"/>
            <w:vAlign w:val="bottom"/>
            <w:tcBorders>
              <w:bottom w:val="single" w:sz="8" w:color="CCEEFF"/>
            </w:tcBorders>
            <w:gridSpan w:val="2"/>
            <w:vMerge w:val="continue"/>
            <w:shd w:val="clear" w:color="auto" w:fill="CCEEFF"/>
          </w:tcPr>
          <w:p>
            <w:pPr>
              <w:spacing w:after="0"/>
              <w:rPr>
                <w:sz w:val="5"/>
                <w:szCs w:val="5"/>
                <w:color w:val="auto"/>
              </w:rPr>
            </w:pPr>
          </w:p>
        </w:tc>
        <w:tc>
          <w:tcPr>
            <w:tcW w:w="190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tcBorders>
              <w:top w:val="single" w:sz="8" w:color="CCEEFF"/>
            </w:tcBorders>
            <w:gridSpan w:val="29"/>
          </w:tcPr>
          <w:p>
            <w:pPr>
              <w:spacing w:after="0"/>
              <w:rPr>
                <w:sz w:val="20"/>
                <w:szCs w:val="20"/>
                <w:color w:val="auto"/>
              </w:rPr>
            </w:pPr>
            <w:r>
              <w:rPr>
                <w:rFonts w:ascii="Times New Roman" w:cs="Times New Roman" w:eastAsia="Times New Roman" w:hAnsi="Times New Roman"/>
                <w:sz w:val="18"/>
                <w:szCs w:val="18"/>
                <w:color w:val="auto"/>
              </w:rPr>
              <w:t>Preferred shares, Series Seed</w:t>
            </w:r>
          </w:p>
        </w:tc>
        <w:tc>
          <w:tcPr>
            <w:tcW w:w="1900" w:type="dxa"/>
            <w:vAlign w:val="bottom"/>
            <w:tcBorders>
              <w:top w:val="single" w:sz="8" w:color="CCEEFF"/>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Gaming Technology</w:t>
            </w:r>
          </w:p>
        </w:tc>
        <w:tc>
          <w:tcPr>
            <w:tcW w:w="9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5/18/2022</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456,704</w:t>
            </w:r>
          </w:p>
        </w:tc>
        <w:tc>
          <w:tcPr>
            <w:tcW w:w="1340" w:type="dxa"/>
            <w:vAlign w:val="bottom"/>
            <w:tcBorders>
              <w:top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501,330</w:t>
            </w:r>
          </w:p>
        </w:tc>
        <w:tc>
          <w:tcPr>
            <w:tcW w:w="1460" w:type="dxa"/>
            <w:vAlign w:val="bottom"/>
            <w:tcBorders>
              <w:top w:val="single" w:sz="8" w:color="CCEEFF"/>
            </w:tcBorders>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500,000</w:t>
            </w:r>
          </w:p>
        </w:tc>
        <w:tc>
          <w:tcPr>
            <w:tcW w:w="9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148"/>
        </w:trPr>
        <w:tc>
          <w:tcPr>
            <w:tcW w:w="2320" w:type="dxa"/>
            <w:vAlign w:val="bottom"/>
            <w:tcBorders>
              <w:bottom w:val="single" w:sz="8" w:color="CCEEFF"/>
            </w:tcBorders>
            <w:gridSpan w:val="18"/>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Churchill Sponsor VII LLC**</w:t>
            </w:r>
          </w:p>
        </w:tc>
        <w:tc>
          <w:tcPr>
            <w:tcW w:w="280" w:type="dxa"/>
            <w:vAlign w:val="bottom"/>
            <w:tcBorders>
              <w:bottom w:val="single" w:sz="8" w:color="auto"/>
            </w:tcBorders>
            <w:gridSpan w:val="6"/>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(12)</w:t>
            </w:r>
          </w:p>
        </w:tc>
        <w:tc>
          <w:tcPr>
            <w:tcW w:w="220" w:type="dxa"/>
            <w:vAlign w:val="bottom"/>
            <w:tcBorders>
              <w:bottom w:val="single" w:sz="8" w:color="CCEEFF"/>
            </w:tcBorders>
            <w:vMerge w:val="restart"/>
            <w:shd w:val="clear" w:color="auto" w:fill="CCEEFF"/>
          </w:tcPr>
          <w:p>
            <w:pPr>
              <w:spacing w:after="0"/>
              <w:rPr>
                <w:sz w:val="12"/>
                <w:szCs w:val="12"/>
                <w:color w:val="auto"/>
              </w:rPr>
            </w:pPr>
          </w:p>
        </w:tc>
        <w:tc>
          <w:tcPr>
            <w:tcW w:w="300" w:type="dxa"/>
            <w:vAlign w:val="bottom"/>
            <w:tcBorders>
              <w:bottom w:val="single" w:sz="8" w:color="CCEEFF"/>
            </w:tcBorders>
            <w:gridSpan w:val="2"/>
            <w:vMerge w:val="restart"/>
            <w:shd w:val="clear" w:color="auto" w:fill="CCEEFF"/>
          </w:tcPr>
          <w:p>
            <w:pPr>
              <w:spacing w:after="0"/>
              <w:rPr>
                <w:sz w:val="12"/>
                <w:szCs w:val="12"/>
                <w:color w:val="auto"/>
              </w:rPr>
            </w:pPr>
          </w:p>
        </w:tc>
        <w:tc>
          <w:tcPr>
            <w:tcW w:w="320" w:type="dxa"/>
            <w:vAlign w:val="bottom"/>
            <w:tcBorders>
              <w:bottom w:val="single" w:sz="8" w:color="CCEEFF"/>
            </w:tcBorders>
            <w:gridSpan w:val="2"/>
            <w:vMerge w:val="restart"/>
            <w:shd w:val="clear" w:color="auto" w:fill="CCEEFF"/>
          </w:tcPr>
          <w:p>
            <w:pPr>
              <w:spacing w:after="0"/>
              <w:rPr>
                <w:sz w:val="12"/>
                <w:szCs w:val="12"/>
                <w:color w:val="auto"/>
              </w:rPr>
            </w:pPr>
          </w:p>
        </w:tc>
        <w:tc>
          <w:tcPr>
            <w:tcW w:w="1900" w:type="dxa"/>
            <w:vAlign w:val="bottom"/>
            <w:tcBorders>
              <w:bottom w:val="single" w:sz="8" w:color="CCEEFF"/>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New York, NY</w:t>
            </w:r>
          </w:p>
        </w:tc>
        <w:tc>
          <w:tcPr>
            <w:tcW w:w="9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320" w:type="dxa"/>
            <w:vAlign w:val="bottom"/>
            <w:tcBorders>
              <w:bottom w:val="single" w:sz="8" w:color="auto"/>
            </w:tcBorders>
            <w:gridSpan w:val="18"/>
            <w:vMerge w:val="continue"/>
            <w:shd w:val="clear" w:color="auto" w:fill="CCEEFF"/>
          </w:tcPr>
          <w:p>
            <w:pPr>
              <w:spacing w:after="0"/>
              <w:rPr>
                <w:sz w:val="5"/>
                <w:szCs w:val="5"/>
                <w:color w:val="auto"/>
              </w:rPr>
            </w:pPr>
          </w:p>
        </w:tc>
        <w:tc>
          <w:tcPr>
            <w:tcW w:w="180" w:type="dxa"/>
            <w:vAlign w:val="bottom"/>
            <w:tcBorders>
              <w:bottom w:val="single" w:sz="8" w:color="CCEEFF"/>
            </w:tcBorders>
            <w:gridSpan w:val="4"/>
            <w:shd w:val="clear" w:color="auto" w:fill="CCEEFF"/>
          </w:tcPr>
          <w:p>
            <w:pPr>
              <w:spacing w:after="0"/>
              <w:rPr>
                <w:sz w:val="5"/>
                <w:szCs w:val="5"/>
                <w:color w:val="auto"/>
              </w:rPr>
            </w:pPr>
          </w:p>
        </w:tc>
        <w:tc>
          <w:tcPr>
            <w:tcW w:w="100" w:type="dxa"/>
            <w:vAlign w:val="bottom"/>
            <w:tcBorders>
              <w:bottom w:val="single" w:sz="8" w:color="CCEEFF"/>
            </w:tcBorders>
            <w:gridSpan w:val="2"/>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300" w:type="dxa"/>
            <w:vAlign w:val="bottom"/>
            <w:tcBorders>
              <w:bottom w:val="single" w:sz="8" w:color="CCEEFF"/>
            </w:tcBorders>
            <w:gridSpan w:val="2"/>
            <w:vMerge w:val="continue"/>
            <w:shd w:val="clear" w:color="auto" w:fill="CCEEFF"/>
          </w:tcPr>
          <w:p>
            <w:pPr>
              <w:spacing w:after="0"/>
              <w:rPr>
                <w:sz w:val="5"/>
                <w:szCs w:val="5"/>
                <w:color w:val="auto"/>
              </w:rPr>
            </w:pPr>
          </w:p>
        </w:tc>
        <w:tc>
          <w:tcPr>
            <w:tcW w:w="320" w:type="dxa"/>
            <w:vAlign w:val="bottom"/>
            <w:tcBorders>
              <w:bottom w:val="single" w:sz="8" w:color="CCEEFF"/>
            </w:tcBorders>
            <w:gridSpan w:val="2"/>
            <w:vMerge w:val="continue"/>
            <w:shd w:val="clear" w:color="auto" w:fill="CCEEFF"/>
          </w:tcPr>
          <w:p>
            <w:pPr>
              <w:spacing w:after="0"/>
              <w:rPr>
                <w:sz w:val="5"/>
                <w:szCs w:val="5"/>
                <w:color w:val="auto"/>
              </w:rPr>
            </w:pPr>
          </w:p>
        </w:tc>
        <w:tc>
          <w:tcPr>
            <w:tcW w:w="190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8"/>
              </w:rPr>
              <w:t>Special Purpose</w:t>
            </w:r>
          </w:p>
        </w:tc>
        <w:tc>
          <w:tcPr>
            <w:tcW w:w="9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Common share units</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Acquisition Company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292,100</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205,820</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205,820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50"/>
        </w:trPr>
        <w:tc>
          <w:tcPr>
            <w:tcW w:w="344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units</w:t>
            </w:r>
          </w:p>
        </w:tc>
        <w:tc>
          <w:tcPr>
            <w:tcW w:w="1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2/25/2021</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277,000</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94,180</w:t>
            </w:r>
          </w:p>
        </w:tc>
        <w:tc>
          <w:tcPr>
            <w:tcW w:w="14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94,180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bottom w:val="single" w:sz="8" w:color="CCEEFF"/>
            </w:tcBorders>
            <w:gridSpan w:val="29"/>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w:t>
            </w:r>
          </w:p>
        </w:tc>
        <w:tc>
          <w:tcPr>
            <w:tcW w:w="1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w:t>
            </w:r>
          </w:p>
        </w:tc>
        <w:tc>
          <w:tcPr>
            <w:tcW w:w="30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0.14</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35"/>
        </w:trPr>
        <w:tc>
          <w:tcPr>
            <w:tcW w:w="1640" w:type="dxa"/>
            <w:vAlign w:val="bottom"/>
            <w:tcBorders>
              <w:bottom w:val="single" w:sz="8" w:color="CCEEFF"/>
            </w:tcBorders>
            <w:gridSpan w:val="12"/>
            <w:vMerge w:val="restart"/>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8"/>
              </w:rPr>
              <w:t>AltC Sponsor LLC**</w:t>
            </w:r>
          </w:p>
        </w:tc>
        <w:tc>
          <w:tcPr>
            <w:tcW w:w="260" w:type="dxa"/>
            <w:vAlign w:val="bottom"/>
            <w:tcBorders>
              <w:bottom w:val="single" w:sz="8" w:color="auto"/>
            </w:tcBorders>
            <w:gridSpan w:val="3"/>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(12)</w:t>
            </w: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340" w:type="dxa"/>
            <w:vAlign w:val="bottom"/>
            <w:tcBorders>
              <w:bottom w:val="single" w:sz="8" w:color="CCEEFF"/>
            </w:tcBorders>
            <w:vMerge w:val="restart"/>
            <w:shd w:val="clear" w:color="auto" w:fill="CCEEFF"/>
          </w:tcPr>
          <w:p>
            <w:pPr>
              <w:spacing w:after="0"/>
              <w:rPr>
                <w:sz w:val="11"/>
                <w:szCs w:val="11"/>
                <w:color w:val="auto"/>
              </w:rPr>
            </w:pPr>
          </w:p>
        </w:tc>
        <w:tc>
          <w:tcPr>
            <w:tcW w:w="240" w:type="dxa"/>
            <w:vAlign w:val="bottom"/>
            <w:tcBorders>
              <w:bottom w:val="single" w:sz="8" w:color="CCEEFF"/>
            </w:tcBorders>
            <w:gridSpan w:val="5"/>
            <w:vMerge w:val="restart"/>
            <w:shd w:val="clear" w:color="auto" w:fill="CCEEFF"/>
          </w:tcPr>
          <w:p>
            <w:pPr>
              <w:spacing w:after="0"/>
              <w:rPr>
                <w:sz w:val="11"/>
                <w:szCs w:val="11"/>
                <w:color w:val="auto"/>
              </w:rPr>
            </w:pPr>
          </w:p>
        </w:tc>
        <w:tc>
          <w:tcPr>
            <w:tcW w:w="320" w:type="dxa"/>
            <w:vAlign w:val="bottom"/>
            <w:tcBorders>
              <w:bottom w:val="single" w:sz="8" w:color="CCEEFF"/>
            </w:tcBorders>
            <w:gridSpan w:val="3"/>
            <w:vMerge w:val="restart"/>
            <w:shd w:val="clear" w:color="auto" w:fill="CCEEFF"/>
          </w:tcPr>
          <w:p>
            <w:pPr>
              <w:spacing w:after="0"/>
              <w:rPr>
                <w:sz w:val="11"/>
                <w:szCs w:val="11"/>
                <w:color w:val="auto"/>
              </w:rPr>
            </w:pPr>
          </w:p>
        </w:tc>
        <w:tc>
          <w:tcPr>
            <w:tcW w:w="300" w:type="dxa"/>
            <w:vAlign w:val="bottom"/>
            <w:tcBorders>
              <w:bottom w:val="single" w:sz="8" w:color="CCEEFF"/>
            </w:tcBorders>
            <w:gridSpan w:val="2"/>
            <w:vMerge w:val="restart"/>
            <w:shd w:val="clear" w:color="auto" w:fill="CCEEFF"/>
          </w:tcPr>
          <w:p>
            <w:pPr>
              <w:spacing w:after="0"/>
              <w:rPr>
                <w:sz w:val="11"/>
                <w:szCs w:val="11"/>
                <w:color w:val="auto"/>
              </w:rPr>
            </w:pPr>
          </w:p>
        </w:tc>
        <w:tc>
          <w:tcPr>
            <w:tcW w:w="320" w:type="dxa"/>
            <w:vAlign w:val="bottom"/>
            <w:tcBorders>
              <w:bottom w:val="single" w:sz="8" w:color="CCEEFF"/>
            </w:tcBorders>
            <w:gridSpan w:val="2"/>
            <w:vMerge w:val="restart"/>
            <w:shd w:val="clear" w:color="auto" w:fill="CCEEFF"/>
          </w:tcPr>
          <w:p>
            <w:pPr>
              <w:spacing w:after="0"/>
              <w:rPr>
                <w:sz w:val="11"/>
                <w:szCs w:val="11"/>
                <w:color w:val="auto"/>
              </w:rPr>
            </w:pPr>
          </w:p>
        </w:tc>
        <w:tc>
          <w:tcPr>
            <w:tcW w:w="1900" w:type="dxa"/>
            <w:vAlign w:val="bottom"/>
            <w:tcBorders>
              <w:bottom w:val="single" w:sz="8" w:color="CCEEFF"/>
            </w:tcBorders>
            <w:gridSpan w:val="2"/>
            <w:vMerge w:val="restart"/>
            <w:shd w:val="clear" w:color="auto" w:fill="CCEEFF"/>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9"/>
              </w:rPr>
              <w:t>New York, NY</w:t>
            </w:r>
          </w:p>
        </w:tc>
        <w:tc>
          <w:tcPr>
            <w:tcW w:w="9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640" w:type="dxa"/>
            <w:vAlign w:val="bottom"/>
            <w:tcBorders>
              <w:bottom w:val="single" w:sz="8" w:color="auto"/>
            </w:tcBorders>
            <w:gridSpan w:val="12"/>
            <w:vMerge w:val="continue"/>
            <w:shd w:val="clear" w:color="auto" w:fill="CCEEFF"/>
          </w:tcPr>
          <w:p>
            <w:pPr>
              <w:spacing w:after="0"/>
              <w:rPr>
                <w:sz w:val="5"/>
                <w:szCs w:val="5"/>
                <w:color w:val="auto"/>
              </w:rPr>
            </w:pPr>
          </w:p>
        </w:tc>
        <w:tc>
          <w:tcPr>
            <w:tcW w:w="160" w:type="dxa"/>
            <w:vAlign w:val="bottom"/>
            <w:tcBorders>
              <w:bottom w:val="single" w:sz="8" w:color="CCEEFF"/>
            </w:tcBorders>
            <w:gridSpan w:val="2"/>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240" w:type="dxa"/>
            <w:vAlign w:val="bottom"/>
            <w:tcBorders>
              <w:bottom w:val="single" w:sz="8" w:color="CCEEFF"/>
            </w:tcBorders>
            <w:gridSpan w:val="5"/>
            <w:vMerge w:val="continue"/>
            <w:shd w:val="clear" w:color="auto" w:fill="CCEEFF"/>
          </w:tcPr>
          <w:p>
            <w:pPr>
              <w:spacing w:after="0"/>
              <w:rPr>
                <w:sz w:val="5"/>
                <w:szCs w:val="5"/>
                <w:color w:val="auto"/>
              </w:rPr>
            </w:pPr>
          </w:p>
        </w:tc>
        <w:tc>
          <w:tcPr>
            <w:tcW w:w="320" w:type="dxa"/>
            <w:vAlign w:val="bottom"/>
            <w:tcBorders>
              <w:bottom w:val="single" w:sz="8" w:color="CCEEFF"/>
            </w:tcBorders>
            <w:gridSpan w:val="3"/>
            <w:vMerge w:val="continue"/>
            <w:shd w:val="clear" w:color="auto" w:fill="CCEEFF"/>
          </w:tcPr>
          <w:p>
            <w:pPr>
              <w:spacing w:after="0"/>
              <w:rPr>
                <w:sz w:val="5"/>
                <w:szCs w:val="5"/>
                <w:color w:val="auto"/>
              </w:rPr>
            </w:pPr>
          </w:p>
        </w:tc>
        <w:tc>
          <w:tcPr>
            <w:tcW w:w="300" w:type="dxa"/>
            <w:vAlign w:val="bottom"/>
            <w:tcBorders>
              <w:bottom w:val="single" w:sz="8" w:color="CCEEFF"/>
            </w:tcBorders>
            <w:gridSpan w:val="2"/>
            <w:vMerge w:val="continue"/>
            <w:shd w:val="clear" w:color="auto" w:fill="CCEEFF"/>
          </w:tcPr>
          <w:p>
            <w:pPr>
              <w:spacing w:after="0"/>
              <w:rPr>
                <w:sz w:val="5"/>
                <w:szCs w:val="5"/>
                <w:color w:val="auto"/>
              </w:rPr>
            </w:pPr>
          </w:p>
        </w:tc>
        <w:tc>
          <w:tcPr>
            <w:tcW w:w="320" w:type="dxa"/>
            <w:vAlign w:val="bottom"/>
            <w:tcBorders>
              <w:bottom w:val="single" w:sz="8" w:color="CCEEFF"/>
            </w:tcBorders>
            <w:gridSpan w:val="2"/>
            <w:vMerge w:val="continue"/>
            <w:shd w:val="clear" w:color="auto" w:fill="CCEEFF"/>
          </w:tcPr>
          <w:p>
            <w:pPr>
              <w:spacing w:after="0"/>
              <w:rPr>
                <w:sz w:val="5"/>
                <w:szCs w:val="5"/>
                <w:color w:val="auto"/>
              </w:rPr>
            </w:pPr>
          </w:p>
        </w:tc>
        <w:tc>
          <w:tcPr>
            <w:tcW w:w="190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8"/>
              </w:rPr>
              <w:t>Special Purpose</w:t>
            </w:r>
          </w:p>
        </w:tc>
        <w:tc>
          <w:tcPr>
            <w:tcW w:w="9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Share units</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Acquisition Company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7/21/2021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239,300</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250,855</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250,000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23"/>
        </w:trPr>
        <w:tc>
          <w:tcPr>
            <w:tcW w:w="1920" w:type="dxa"/>
            <w:vAlign w:val="bottom"/>
            <w:tcBorders>
              <w:bottom w:val="single" w:sz="8" w:color="auto"/>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1520" w:type="dxa"/>
            <w:vAlign w:val="bottom"/>
            <w:tcBorders>
              <w:bottom w:val="single" w:sz="8" w:color="CCEEFF"/>
            </w:tcBorders>
            <w:gridSpan w:val="13"/>
            <w:shd w:val="clear" w:color="auto" w:fill="CCEEFF"/>
          </w:tcPr>
          <w:p>
            <w:pPr>
              <w:spacing w:after="0"/>
              <w:rPr>
                <w:sz w:val="19"/>
                <w:szCs w:val="19"/>
                <w:color w:val="auto"/>
              </w:rPr>
            </w:pPr>
          </w:p>
        </w:tc>
        <w:tc>
          <w:tcPr>
            <w:tcW w:w="1900" w:type="dxa"/>
            <w:vAlign w:val="bottom"/>
            <w:tcBorders>
              <w:bottom w:val="single" w:sz="8" w:color="CCEEFF"/>
            </w:tcBorders>
            <w:gridSpan w:val="2"/>
            <w:shd w:val="clear" w:color="auto" w:fill="CCEEFF"/>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w w:val="99"/>
              </w:rPr>
              <w:t>New York, NY</w:t>
            </w:r>
          </w:p>
        </w:tc>
        <w:tc>
          <w:tcPr>
            <w:tcW w:w="9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4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19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Subscription Fashion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9"/>
            <w:vMerge w:val="continue"/>
          </w:tcPr>
          <w:p>
            <w:pPr>
              <w:spacing w:after="0"/>
              <w:rPr>
                <w:sz w:val="20"/>
                <w:szCs w:val="20"/>
                <w:color w:val="auto"/>
              </w:rPr>
            </w:pP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Rental</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6/17/2020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79,191</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1,203,293</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241,533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149"/>
        </w:trPr>
        <w:tc>
          <w:tcPr>
            <w:tcW w:w="2260" w:type="dxa"/>
            <w:vAlign w:val="bottom"/>
            <w:tcBorders>
              <w:bottom w:val="single" w:sz="8" w:color="CCEEFF"/>
            </w:tcBorders>
            <w:gridSpan w:val="17"/>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Churchill Sponsor VI LLC**</w:t>
            </w:r>
          </w:p>
        </w:tc>
        <w:tc>
          <w:tcPr>
            <w:tcW w:w="240" w:type="dxa"/>
            <w:vAlign w:val="bottom"/>
            <w:tcBorders>
              <w:bottom w:val="single" w:sz="8" w:color="auto"/>
            </w:tcBorders>
            <w:gridSpan w:val="5"/>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(12)</w:t>
            </w:r>
          </w:p>
        </w:tc>
        <w:tc>
          <w:tcPr>
            <w:tcW w:w="320" w:type="dxa"/>
            <w:vAlign w:val="bottom"/>
            <w:tcBorders>
              <w:bottom w:val="single" w:sz="8" w:color="CCEEFF"/>
            </w:tcBorders>
            <w:gridSpan w:val="3"/>
            <w:vMerge w:val="restart"/>
            <w:shd w:val="clear" w:color="auto" w:fill="CCEEFF"/>
          </w:tcPr>
          <w:p>
            <w:pPr>
              <w:spacing w:after="0"/>
              <w:rPr>
                <w:sz w:val="12"/>
                <w:szCs w:val="12"/>
                <w:color w:val="auto"/>
              </w:rPr>
            </w:pPr>
          </w:p>
        </w:tc>
        <w:tc>
          <w:tcPr>
            <w:tcW w:w="300" w:type="dxa"/>
            <w:vAlign w:val="bottom"/>
            <w:tcBorders>
              <w:bottom w:val="single" w:sz="8" w:color="CCEEFF"/>
            </w:tcBorders>
            <w:gridSpan w:val="2"/>
            <w:vMerge w:val="restart"/>
            <w:shd w:val="clear" w:color="auto" w:fill="CCEEFF"/>
          </w:tcPr>
          <w:p>
            <w:pPr>
              <w:spacing w:after="0"/>
              <w:rPr>
                <w:sz w:val="12"/>
                <w:szCs w:val="12"/>
                <w:color w:val="auto"/>
              </w:rPr>
            </w:pPr>
          </w:p>
        </w:tc>
        <w:tc>
          <w:tcPr>
            <w:tcW w:w="320" w:type="dxa"/>
            <w:vAlign w:val="bottom"/>
            <w:tcBorders>
              <w:bottom w:val="single" w:sz="8" w:color="CCEEFF"/>
            </w:tcBorders>
            <w:gridSpan w:val="2"/>
            <w:vMerge w:val="restart"/>
            <w:shd w:val="clear" w:color="auto" w:fill="CCEEFF"/>
          </w:tcPr>
          <w:p>
            <w:pPr>
              <w:spacing w:after="0"/>
              <w:rPr>
                <w:sz w:val="12"/>
                <w:szCs w:val="12"/>
                <w:color w:val="auto"/>
              </w:rPr>
            </w:pPr>
          </w:p>
        </w:tc>
        <w:tc>
          <w:tcPr>
            <w:tcW w:w="1900" w:type="dxa"/>
            <w:vAlign w:val="bottom"/>
            <w:tcBorders>
              <w:bottom w:val="single" w:sz="8" w:color="CCEEFF"/>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New York, NY</w:t>
            </w:r>
          </w:p>
        </w:tc>
        <w:tc>
          <w:tcPr>
            <w:tcW w:w="9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260" w:type="dxa"/>
            <w:vAlign w:val="bottom"/>
            <w:tcBorders>
              <w:bottom w:val="single" w:sz="8" w:color="auto"/>
            </w:tcBorders>
            <w:gridSpan w:val="17"/>
            <w:vMerge w:val="continue"/>
            <w:shd w:val="clear" w:color="auto" w:fill="CCEEFF"/>
          </w:tcPr>
          <w:p>
            <w:pPr>
              <w:spacing w:after="0"/>
              <w:rPr>
                <w:sz w:val="5"/>
                <w:szCs w:val="5"/>
                <w:color w:val="auto"/>
              </w:rPr>
            </w:pPr>
          </w:p>
        </w:tc>
        <w:tc>
          <w:tcPr>
            <w:tcW w:w="240" w:type="dxa"/>
            <w:vAlign w:val="bottom"/>
            <w:tcBorders>
              <w:bottom w:val="single" w:sz="8" w:color="CCEEFF"/>
            </w:tcBorders>
            <w:gridSpan w:val="5"/>
            <w:shd w:val="clear" w:color="auto" w:fill="CCEEFF"/>
          </w:tcPr>
          <w:p>
            <w:pPr>
              <w:spacing w:after="0"/>
              <w:rPr>
                <w:sz w:val="5"/>
                <w:szCs w:val="5"/>
                <w:color w:val="auto"/>
              </w:rPr>
            </w:pPr>
          </w:p>
        </w:tc>
        <w:tc>
          <w:tcPr>
            <w:tcW w:w="320" w:type="dxa"/>
            <w:vAlign w:val="bottom"/>
            <w:tcBorders>
              <w:bottom w:val="single" w:sz="8" w:color="CCEEFF"/>
            </w:tcBorders>
            <w:gridSpan w:val="3"/>
            <w:vMerge w:val="continue"/>
            <w:shd w:val="clear" w:color="auto" w:fill="CCEEFF"/>
          </w:tcPr>
          <w:p>
            <w:pPr>
              <w:spacing w:after="0"/>
              <w:rPr>
                <w:sz w:val="5"/>
                <w:szCs w:val="5"/>
                <w:color w:val="auto"/>
              </w:rPr>
            </w:pPr>
          </w:p>
        </w:tc>
        <w:tc>
          <w:tcPr>
            <w:tcW w:w="300" w:type="dxa"/>
            <w:vAlign w:val="bottom"/>
            <w:tcBorders>
              <w:bottom w:val="single" w:sz="8" w:color="CCEEFF"/>
            </w:tcBorders>
            <w:gridSpan w:val="2"/>
            <w:vMerge w:val="continue"/>
            <w:shd w:val="clear" w:color="auto" w:fill="CCEEFF"/>
          </w:tcPr>
          <w:p>
            <w:pPr>
              <w:spacing w:after="0"/>
              <w:rPr>
                <w:sz w:val="5"/>
                <w:szCs w:val="5"/>
                <w:color w:val="auto"/>
              </w:rPr>
            </w:pPr>
          </w:p>
        </w:tc>
        <w:tc>
          <w:tcPr>
            <w:tcW w:w="320" w:type="dxa"/>
            <w:vAlign w:val="bottom"/>
            <w:tcBorders>
              <w:bottom w:val="single" w:sz="8" w:color="CCEEFF"/>
            </w:tcBorders>
            <w:gridSpan w:val="2"/>
            <w:vMerge w:val="continue"/>
            <w:shd w:val="clear" w:color="auto" w:fill="CCEEFF"/>
          </w:tcPr>
          <w:p>
            <w:pPr>
              <w:spacing w:after="0"/>
              <w:rPr>
                <w:sz w:val="5"/>
                <w:szCs w:val="5"/>
                <w:color w:val="auto"/>
              </w:rPr>
            </w:pPr>
          </w:p>
        </w:tc>
        <w:tc>
          <w:tcPr>
            <w:tcW w:w="190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8"/>
              </w:rPr>
              <w:t>Special Purpose</w:t>
            </w:r>
          </w:p>
        </w:tc>
        <w:tc>
          <w:tcPr>
            <w:tcW w:w="9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Common share units</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Acquisition Company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195,000</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134,297</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134,297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49"/>
        </w:trPr>
        <w:tc>
          <w:tcPr>
            <w:tcW w:w="344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units</w:t>
            </w:r>
          </w:p>
        </w:tc>
        <w:tc>
          <w:tcPr>
            <w:tcW w:w="1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2/25/2021</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199,100</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65,703</w:t>
            </w:r>
          </w:p>
        </w:tc>
        <w:tc>
          <w:tcPr>
            <w:tcW w:w="14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65,703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bottom w:val="single" w:sz="8" w:color="CCEEFF"/>
            </w:tcBorders>
            <w:gridSpan w:val="29"/>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w:t>
            </w:r>
          </w:p>
        </w:tc>
        <w:tc>
          <w:tcPr>
            <w:tcW w:w="1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w:t>
            </w:r>
          </w:p>
        </w:tc>
        <w:tc>
          <w:tcPr>
            <w:tcW w:w="30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0.10</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76"/>
        </w:trPr>
        <w:tc>
          <w:tcPr>
            <w:tcW w:w="34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Kahoot! ASA**</w:t>
            </w:r>
          </w:p>
        </w:tc>
        <w:tc>
          <w:tcPr>
            <w:tcW w:w="1900" w:type="dxa"/>
            <w:vAlign w:val="bottom"/>
            <w:gridSpan w:val="2"/>
            <w:shd w:val="clear" w:color="auto" w:fill="CCEEFF"/>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rPr>
              <w:t>Oslo, Norway</w:t>
            </w: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0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440" w:type="dxa"/>
            <w:vAlign w:val="bottom"/>
            <w:gridSpan w:val="29"/>
          </w:tcPr>
          <w:p>
            <w:pPr>
              <w:spacing w:after="0" w:line="256" w:lineRule="exact"/>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Education Software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12/5/2014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38,305</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176,067</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72,888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auto"/>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Neutron Holdings, Inc. (d/b/a/ Lime)</w:t>
            </w:r>
          </w:p>
        </w:tc>
        <w:tc>
          <w:tcPr>
            <w:tcW w:w="620" w:type="dxa"/>
            <w:vAlign w:val="bottom"/>
            <w:tcBorders>
              <w:bottom w:val="single" w:sz="8" w:color="CCEEFF"/>
            </w:tcBorders>
            <w:gridSpan w:val="4"/>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w w:val="98"/>
              </w:rPr>
              <w:t>San Francisco, CA</w:t>
            </w: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Junior Preferred shares, Series 1-D</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Micromobility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1/25/2019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41,237,113</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10,007,322</w:t>
            </w: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440" w:type="dxa"/>
            <w:vAlign w:val="bottom"/>
            <w:gridSpan w:val="29"/>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Junior Preferred Convertible Note 4% Due</w:t>
            </w: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960" w:type="dxa"/>
            <w:vAlign w:val="bottom"/>
            <w:gridSpan w:val="4"/>
            <w:shd w:val="clear" w:color="auto" w:fill="CCEEFF"/>
          </w:tcPr>
          <w:p>
            <w:pPr>
              <w:spacing w:after="0" w:line="298" w:lineRule="exact"/>
              <w:rPr>
                <w:sz w:val="20"/>
                <w:szCs w:val="20"/>
                <w:color w:val="auto"/>
              </w:rPr>
            </w:pPr>
            <w:r>
              <w:rPr>
                <w:rFonts w:ascii="Times New Roman" w:cs="Times New Roman" w:eastAsia="Times New Roman" w:hAnsi="Times New Roman"/>
                <w:sz w:val="18"/>
                <w:szCs w:val="18"/>
                <w:color w:val="auto"/>
                <w:w w:val="98"/>
              </w:rPr>
              <w:t>5/11/2027</w:t>
            </w:r>
            <w:r>
              <w:rPr>
                <w:rFonts w:ascii="Times New Roman" w:cs="Times New Roman" w:eastAsia="Times New Roman" w:hAnsi="Times New Roman"/>
                <w:sz w:val="29"/>
                <w:szCs w:val="29"/>
                <w:color w:val="auto"/>
                <w:w w:val="98"/>
                <w:vertAlign w:val="superscript"/>
              </w:rPr>
              <w:t>(4)</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5/11/2020</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506,339</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506,339</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40" w:type="dxa"/>
            <w:vAlign w:val="bottom"/>
            <w:gridSpan w:val="29"/>
          </w:tcPr>
          <w:p>
            <w:pPr>
              <w:spacing w:after="0" w:line="198" w:lineRule="exact"/>
              <w:rPr>
                <w:sz w:val="20"/>
                <w:szCs w:val="20"/>
                <w:color w:val="auto"/>
              </w:rPr>
            </w:pPr>
            <w:r>
              <w:rPr>
                <w:rFonts w:ascii="Times New Roman" w:cs="Times New Roman" w:eastAsia="Times New Roman" w:hAnsi="Times New Roman"/>
                <w:sz w:val="18"/>
                <w:szCs w:val="18"/>
                <w:color w:val="auto"/>
              </w:rPr>
              <w:t>Common Warrants, Strike Price $0.01,</w:t>
            </w: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4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Expiration Date 5/11/2027</w:t>
            </w:r>
          </w:p>
        </w:tc>
        <w:tc>
          <w:tcPr>
            <w:tcW w:w="1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5/11/2020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2,032,967</w:t>
            </w:r>
          </w:p>
        </w:tc>
        <w:tc>
          <w:tcPr>
            <w:tcW w:w="16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440" w:type="dxa"/>
            <w:vAlign w:val="bottom"/>
            <w:tcBorders>
              <w:top w:val="single" w:sz="8" w:color="CCEEFF"/>
              <w:bottom w:val="single" w:sz="8" w:color="CCEEFF"/>
            </w:tcBorders>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10,513,661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3440" w:type="dxa"/>
            <w:vAlign w:val="bottom"/>
            <w:gridSpan w:val="29"/>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Fullbridge, Inc.</w:t>
            </w:r>
          </w:p>
        </w:tc>
        <w:tc>
          <w:tcPr>
            <w:tcW w:w="1900" w:type="dxa"/>
            <w:vAlign w:val="bottom"/>
            <w:gridSpan w:val="2"/>
          </w:tcPr>
          <w:p>
            <w:pPr>
              <w:jc w:val="center"/>
              <w:ind w:right="200"/>
              <w:spacing w:after="0" w:line="163" w:lineRule="exact"/>
              <w:rPr>
                <w:sz w:val="20"/>
                <w:szCs w:val="20"/>
                <w:color w:val="auto"/>
              </w:rPr>
            </w:pPr>
            <w:r>
              <w:rPr>
                <w:rFonts w:ascii="Times New Roman" w:cs="Times New Roman" w:eastAsia="Times New Roman" w:hAnsi="Times New Roman"/>
                <w:sz w:val="18"/>
                <w:szCs w:val="18"/>
                <w:color w:val="auto"/>
                <w:w w:val="99"/>
              </w:rPr>
              <w:t>Cambridge, MA</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9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Business Education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5/13/2012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517,917</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6,150,506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3440" w:type="dxa"/>
            <w:vAlign w:val="bottom"/>
            <w:gridSpan w:val="29"/>
          </w:tcPr>
          <w:p>
            <w:pPr>
              <w:spacing w:after="0" w:line="242" w:lineRule="exact"/>
              <w:rPr>
                <w:sz w:val="20"/>
                <w:szCs w:val="20"/>
                <w:color w:val="auto"/>
              </w:rPr>
            </w:pPr>
            <w:r>
              <w:rPr>
                <w:rFonts w:ascii="Times New Roman" w:cs="Times New Roman" w:eastAsia="Times New Roman" w:hAnsi="Times New Roman"/>
                <w:sz w:val="17"/>
                <w:szCs w:val="17"/>
                <w:color w:val="auto"/>
              </w:rPr>
              <w:t>Promissory Note 1.47%, Due 11/9/2021</w:t>
            </w:r>
            <w:r>
              <w:rPr>
                <w:rFonts w:ascii="Times New Roman" w:cs="Times New Roman" w:eastAsia="Times New Roman" w:hAnsi="Times New Roman"/>
                <w:sz w:val="28"/>
                <w:szCs w:val="28"/>
                <w:color w:val="auto"/>
                <w:vertAlign w:val="superscript"/>
              </w:rPr>
              <w:t>(4)</w:t>
            </w: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3/3/2016</w:t>
            </w:r>
          </w:p>
        </w:tc>
        <w:tc>
          <w:tcPr>
            <w:tcW w:w="200" w:type="dxa"/>
            <w:vAlign w:val="bottom"/>
          </w:tcPr>
          <w:p>
            <w:pPr>
              <w:spacing w:after="0"/>
              <w:rPr>
                <w:sz w:val="21"/>
                <w:szCs w:val="2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2,270,458</w:t>
            </w:r>
          </w:p>
        </w:tc>
        <w:tc>
          <w:tcPr>
            <w:tcW w:w="13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2,270,858</w:t>
            </w:r>
          </w:p>
        </w:tc>
        <w:tc>
          <w:tcPr>
            <w:tcW w:w="140" w:type="dxa"/>
            <w:vAlign w:val="bottom"/>
          </w:tcPr>
          <w:p>
            <w:pPr>
              <w:spacing w:after="0"/>
              <w:rPr>
                <w:sz w:val="21"/>
                <w:szCs w:val="21"/>
                <w:color w:val="auto"/>
              </w:rPr>
            </w:pPr>
          </w:p>
        </w:tc>
        <w:tc>
          <w:tcPr>
            <w:tcW w:w="13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(13)</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40" w:type="dxa"/>
            <w:vAlign w:val="bottom"/>
            <w:tcBorders>
              <w:top w:val="single" w:sz="8" w:color="CCEEFF"/>
              <w:bottom w:val="single" w:sz="8" w:color="CCEEFF"/>
            </w:tcBorders>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8,421,364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49"/>
        </w:trPr>
        <w:tc>
          <w:tcPr>
            <w:tcW w:w="3440" w:type="dxa"/>
            <w:vAlign w:val="bottom"/>
            <w:gridSpan w:val="29"/>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Treehouse Real Estate Investment Trust,</w:t>
            </w:r>
          </w:p>
        </w:tc>
        <w:tc>
          <w:tcPr>
            <w:tcW w:w="1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20" w:type="dxa"/>
            <w:vAlign w:val="bottom"/>
            <w:tcBorders>
              <w:top w:val="single" w:sz="8" w:color="auto"/>
            </w:tcBorders>
            <w:gridSpan w:val="27"/>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w:t>
            </w:r>
          </w:p>
        </w:tc>
        <w:tc>
          <w:tcPr>
            <w:tcW w:w="320" w:type="dxa"/>
            <w:vAlign w:val="bottom"/>
            <w:gridSpan w:val="2"/>
          </w:tcPr>
          <w:p>
            <w:pPr>
              <w:spacing w:after="0"/>
              <w:rPr>
                <w:sz w:val="17"/>
                <w:szCs w:val="17"/>
                <w:color w:val="auto"/>
              </w:rPr>
            </w:pPr>
          </w:p>
        </w:tc>
        <w:tc>
          <w:tcPr>
            <w:tcW w:w="190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Chicago, IL</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9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Cannabis REIT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9/11/2019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312,500</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4,919,250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4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Kinetiq Holdings, LLC</w:t>
            </w:r>
          </w:p>
        </w:tc>
        <w:tc>
          <w:tcPr>
            <w:tcW w:w="19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8"/>
              </w:rPr>
              <w:t>Philadelphia, PA</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Class A</w:t>
            </w:r>
          </w:p>
        </w:tc>
        <w:tc>
          <w:tcPr>
            <w:tcW w:w="19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Social Data Platform</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3/30/2012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112,374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Non-controlled/Non-affiliate</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$ 155,103,810</w:t>
            </w:r>
          </w:p>
        </w:tc>
        <w:tc>
          <w:tcPr>
            <w:tcW w:w="14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$ 130,901,546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62.33%</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229" w:right="339" w:bottom="542"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542"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2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0" w:type="dxa"/>
            <w:vAlign w:val="bottom"/>
          </w:tcPr>
          <w:p>
            <w:pPr>
              <w:spacing w:after="0"/>
              <w:rPr>
                <w:sz w:val="1"/>
                <w:szCs w:val="1"/>
                <w:color w:val="auto"/>
              </w:rPr>
            </w:pPr>
          </w:p>
        </w:tc>
      </w:tr>
      <w:tr>
        <w:trPr>
          <w:trHeight w:val="245"/>
        </w:trPr>
        <w:tc>
          <w:tcPr>
            <w:tcW w:w="33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Industry</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200" w:type="dxa"/>
            <w:vAlign w:val="bottom"/>
          </w:tcPr>
          <w:p>
            <w:pPr>
              <w:spacing w:after="0"/>
              <w:rPr>
                <w:sz w:val="21"/>
                <w:szCs w:val="21"/>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257"/>
        </w:trPr>
        <w:tc>
          <w:tcPr>
            <w:tcW w:w="3180" w:type="dxa"/>
            <w:vAlign w:val="bottom"/>
            <w:tcBorders>
              <w:top w:val="single" w:sz="8" w:color="auto"/>
            </w:tcBorders>
            <w:gridSpan w:val="7"/>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NON-CONTROLLED/AFFILIATE</w:t>
            </w:r>
            <w:r>
              <w:rPr>
                <w:rFonts w:ascii="Times New Roman" w:cs="Times New Roman" w:eastAsia="Times New Roman" w:hAnsi="Times New Roman"/>
                <w:sz w:val="29"/>
                <w:szCs w:val="29"/>
                <w:b w:val="1"/>
                <w:bCs w:val="1"/>
                <w:color w:val="auto"/>
                <w:vertAlign w:val="superscript"/>
              </w:rPr>
              <w:t>(1)</w:t>
            </w:r>
          </w:p>
        </w:tc>
        <w:tc>
          <w:tcPr>
            <w:tcW w:w="180" w:type="dxa"/>
            <w:vAlign w:val="bottom"/>
            <w:tcBorders>
              <w:top w:val="single" w:sz="8" w:color="CCEEFF"/>
            </w:tcBorders>
            <w:shd w:val="clear" w:color="auto" w:fill="CCEEFF"/>
          </w:tcPr>
          <w:p>
            <w:pPr>
              <w:spacing w:after="0"/>
              <w:rPr>
                <w:sz w:val="22"/>
                <w:szCs w:val="22"/>
                <w:color w:val="auto"/>
              </w:rPr>
            </w:pPr>
          </w:p>
        </w:tc>
        <w:tc>
          <w:tcPr>
            <w:tcW w:w="184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StormWind, LLC</w:t>
            </w:r>
          </w:p>
        </w:tc>
        <w:tc>
          <w:tcPr>
            <w:tcW w:w="16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(5)</w:t>
            </w:r>
          </w:p>
        </w:tc>
        <w:tc>
          <w:tcPr>
            <w:tcW w:w="140" w:type="dxa"/>
            <w:vAlign w:val="bottom"/>
            <w:vMerge w:val="restart"/>
          </w:tcPr>
          <w:p>
            <w:pPr>
              <w:spacing w:after="0"/>
              <w:rPr>
                <w:sz w:val="12"/>
                <w:szCs w:val="12"/>
                <w:color w:val="auto"/>
              </w:rPr>
            </w:pPr>
          </w:p>
        </w:tc>
        <w:tc>
          <w:tcPr>
            <w:tcW w:w="1120" w:type="dxa"/>
            <w:vAlign w:val="bottom"/>
            <w:vMerge w:val="restart"/>
          </w:tcPr>
          <w:p>
            <w:pPr>
              <w:spacing w:after="0"/>
              <w:rPr>
                <w:sz w:val="12"/>
                <w:szCs w:val="12"/>
                <w:color w:val="auto"/>
              </w:rPr>
            </w:pPr>
          </w:p>
        </w:tc>
        <w:tc>
          <w:tcPr>
            <w:tcW w:w="560" w:type="dxa"/>
            <w:vAlign w:val="bottom"/>
            <w:gridSpan w:val="2"/>
            <w:vMerge w:val="restart"/>
          </w:tcPr>
          <w:p>
            <w:pPr>
              <w:spacing w:after="0"/>
              <w:rPr>
                <w:sz w:val="12"/>
                <w:szCs w:val="12"/>
                <w:color w:val="auto"/>
              </w:rPr>
            </w:pPr>
          </w:p>
        </w:tc>
        <w:tc>
          <w:tcPr>
            <w:tcW w:w="2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Scottsdale, AZ</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380" w:type="dxa"/>
            <w:vAlign w:val="bottom"/>
            <w:tcBorders>
              <w:bottom w:val="single" w:sz="8" w:color="auto"/>
            </w:tcBorders>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D 8%</w:t>
            </w:r>
          </w:p>
        </w:tc>
        <w:tc>
          <w:tcPr>
            <w:tcW w:w="2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Interactive Learning</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11/26/2019</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329,337</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257,267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533,429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3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C 8%</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1/7/2014</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2,779,134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4,000,787</w:t>
            </w: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5,675,081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33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 8%</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12/16/2011</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3,279,629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2,019,687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3,550,631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7"/>
        </w:trPr>
        <w:tc>
          <w:tcPr>
            <w:tcW w:w="3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A 8%</w:t>
            </w: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2/25/2014</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366,666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191,694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36"/>
        </w:trPr>
        <w:tc>
          <w:tcPr>
            <w:tcW w:w="3360" w:type="dxa"/>
            <w:vAlign w:val="bottom"/>
            <w:tcBorders>
              <w:top w:val="single" w:sz="8" w:color="CCEEFF"/>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6,387,741</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9,950,835</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3360" w:type="dxa"/>
            <w:vAlign w:val="bottom"/>
            <w:gridSpan w:val="8"/>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OneValley, Inc. (f/k/a NestGSV, Inc.)</w:t>
            </w:r>
          </w:p>
        </w:tc>
        <w:tc>
          <w:tcPr>
            <w:tcW w:w="2040" w:type="dxa"/>
            <w:vAlign w:val="bottom"/>
            <w:gridSpan w:val="2"/>
          </w:tcPr>
          <w:p>
            <w:pPr>
              <w:jc w:val="center"/>
              <w:ind w:right="180"/>
              <w:spacing w:after="0" w:line="163" w:lineRule="exact"/>
              <w:rPr>
                <w:sz w:val="20"/>
                <w:szCs w:val="20"/>
                <w:color w:val="auto"/>
              </w:rPr>
            </w:pPr>
            <w:r>
              <w:rPr>
                <w:rFonts w:ascii="Times New Roman" w:cs="Times New Roman" w:eastAsia="Times New Roman" w:hAnsi="Times New Roman"/>
                <w:sz w:val="18"/>
                <w:szCs w:val="18"/>
                <w:color w:val="auto"/>
                <w:w w:val="98"/>
              </w:rPr>
              <w:t>San Mateo, CA</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Derivative Security, Expiration Date</w:t>
            </w:r>
          </w:p>
        </w:tc>
        <w:tc>
          <w:tcPr>
            <w:tcW w:w="2040" w:type="dxa"/>
            <w:vAlign w:val="bottom"/>
            <w:gridSpan w:val="2"/>
            <w:shd w:val="clear" w:color="auto" w:fill="CCEEFF"/>
          </w:tcPr>
          <w:p>
            <w:pPr>
              <w:jc w:val="center"/>
              <w:ind w:right="180"/>
              <w:spacing w:after="0" w:line="202" w:lineRule="exact"/>
              <w:rPr>
                <w:sz w:val="20"/>
                <w:szCs w:val="20"/>
                <w:color w:val="auto"/>
              </w:rPr>
            </w:pPr>
            <w:r>
              <w:rPr>
                <w:rFonts w:ascii="Times New Roman" w:cs="Times New Roman" w:eastAsia="Times New Roman" w:hAnsi="Times New Roman"/>
                <w:sz w:val="18"/>
                <w:szCs w:val="18"/>
                <w:color w:val="auto"/>
                <w:w w:val="98"/>
              </w:rPr>
              <w:t>Global Innovation</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24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8/23/2024</w:t>
            </w:r>
            <w:r>
              <w:rPr>
                <w:rFonts w:ascii="Times New Roman" w:cs="Times New Roman" w:eastAsia="Times New Roman" w:hAnsi="Times New Roman"/>
                <w:sz w:val="29"/>
                <w:szCs w:val="29"/>
                <w:color w:val="auto"/>
                <w:vertAlign w:val="superscript"/>
              </w:rPr>
              <w:t>(10)</w:t>
            </w: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Platform</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8/23/2019</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8,555,124</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652,127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1"/>
        </w:trPr>
        <w:tc>
          <w:tcPr>
            <w:tcW w:w="336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auto"/>
              </w:rPr>
              <w:t>Convertible Promissory Note 8% Due</w:t>
            </w: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w w:val="95"/>
              </w:rPr>
              <w:t>8/23/2024</w:t>
            </w:r>
            <w:r>
              <w:rPr>
                <w:rFonts w:ascii="Times New Roman" w:cs="Times New Roman" w:eastAsia="Times New Roman" w:hAnsi="Times New Roman"/>
                <w:sz w:val="29"/>
                <w:szCs w:val="29"/>
                <w:color w:val="auto"/>
                <w:w w:val="95"/>
                <w:vertAlign w:val="superscript"/>
              </w:rPr>
              <w:t>(4)(10)</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2/17/2016</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$ 1,010,198</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1,030,176</w:t>
            </w:r>
          </w:p>
        </w:tc>
        <w:tc>
          <w:tcPr>
            <w:tcW w:w="100" w:type="dxa"/>
            <w:vAlign w:val="bottom"/>
          </w:tcPr>
          <w:p>
            <w:pPr>
              <w:spacing w:after="0"/>
              <w:rPr>
                <w:sz w:val="23"/>
                <w:szCs w:val="23"/>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1,988,200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198"/>
        </w:trPr>
        <w:tc>
          <w:tcPr>
            <w:tcW w:w="3360" w:type="dxa"/>
            <w:vAlign w:val="bottom"/>
            <w:gridSpan w:val="8"/>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Warrant Series B, Strike Price</w:t>
            </w:r>
          </w:p>
        </w:tc>
        <w:tc>
          <w:tcPr>
            <w:tcW w:w="1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3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$2.31, Expiration Date 12/31/2023</w:t>
            </w:r>
          </w:p>
        </w:tc>
        <w:tc>
          <w:tcPr>
            <w:tcW w:w="18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12/31/2018</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bottom w:val="single" w:sz="8" w:color="CCEEFF"/>
            </w:tcBorders>
            <w:gridSpan w:val="8"/>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9,590,380</w:t>
            </w:r>
          </w:p>
        </w:tc>
        <w:tc>
          <w:tcPr>
            <w:tcW w:w="3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2,640,327</w:t>
            </w:r>
          </w:p>
        </w:tc>
        <w:tc>
          <w:tcPr>
            <w:tcW w:w="28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12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Ozy Media, Inc.</w:t>
            </w:r>
          </w:p>
        </w:tc>
        <w:tc>
          <w:tcPr>
            <w:tcW w:w="2120" w:type="dxa"/>
            <w:vAlign w:val="bottom"/>
            <w:tcBorders>
              <w:bottom w:val="single" w:sz="8" w:color="CCEEFF"/>
            </w:tcBorders>
            <w:gridSpan w:val="7"/>
            <w:shd w:val="clear" w:color="auto" w:fill="CCEEFF"/>
          </w:tcPr>
          <w:p>
            <w:pPr>
              <w:spacing w:after="0"/>
              <w:rPr>
                <w:sz w:val="17"/>
                <w:szCs w:val="17"/>
                <w:color w:val="auto"/>
              </w:rPr>
            </w:pPr>
          </w:p>
        </w:tc>
        <w:tc>
          <w:tcPr>
            <w:tcW w:w="2040" w:type="dxa"/>
            <w:vAlign w:val="bottom"/>
            <w:tcBorders>
              <w:bottom w:val="single" w:sz="8" w:color="CCEEFF"/>
            </w:tcBorders>
            <w:gridSpan w:val="2"/>
            <w:shd w:val="clear" w:color="auto" w:fill="CCEEFF"/>
          </w:tcPr>
          <w:p>
            <w:pPr>
              <w:jc w:val="center"/>
              <w:ind w:right="180"/>
              <w:spacing w:after="0" w:line="176" w:lineRule="exact"/>
              <w:rPr>
                <w:sz w:val="20"/>
                <w:szCs w:val="20"/>
                <w:color w:val="auto"/>
              </w:rPr>
            </w:pPr>
            <w:r>
              <w:rPr>
                <w:rFonts w:ascii="Times New Roman" w:cs="Times New Roman" w:eastAsia="Times New Roman" w:hAnsi="Times New Roman"/>
                <w:sz w:val="18"/>
                <w:szCs w:val="18"/>
                <w:color w:val="auto"/>
                <w:w w:val="98"/>
              </w:rPr>
              <w:t>Mountain View, CA</w:t>
            </w:r>
          </w:p>
        </w:tc>
        <w:tc>
          <w:tcPr>
            <w:tcW w:w="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C-2 6%</w:t>
            </w: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Digital Media Platform</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8/31/2016</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683,482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2,414,178</w:t>
            </w: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 6%</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10/3/2014</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922,509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4,999,999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A 6%</w:t>
            </w: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12/11/2013</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1,090,909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3,000,200</w:t>
            </w:r>
          </w:p>
        </w:tc>
        <w:tc>
          <w:tcPr>
            <w:tcW w:w="1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3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Seed 6%</w:t>
            </w:r>
          </w:p>
        </w:tc>
        <w:tc>
          <w:tcPr>
            <w:tcW w:w="1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11/2/2012</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36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Common Warrants, Strike Price $0.01,</w:t>
            </w: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Expiration Date 4/9/2028</w:t>
            </w:r>
          </w:p>
        </w:tc>
        <w:tc>
          <w:tcPr>
            <w:tcW w:w="1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4/9/2018</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295,565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30,647</w:t>
            </w:r>
          </w:p>
        </w:tc>
        <w:tc>
          <w:tcPr>
            <w:tcW w:w="100" w:type="dxa"/>
            <w:vAlign w:val="bottom"/>
          </w:tcPr>
          <w:p>
            <w:pPr>
              <w:spacing w:after="0"/>
              <w:rPr>
                <w:sz w:val="22"/>
                <w:szCs w:val="22"/>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360" w:type="dxa"/>
            <w:vAlign w:val="bottom"/>
            <w:tcBorders>
              <w:top w:val="single" w:sz="8" w:color="CCEEFF"/>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10,945,024</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3360" w:type="dxa"/>
            <w:vAlign w:val="bottom"/>
            <w:gridSpan w:val="8"/>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Maven Research, Inc.</w:t>
            </w:r>
          </w:p>
        </w:tc>
        <w:tc>
          <w:tcPr>
            <w:tcW w:w="2040" w:type="dxa"/>
            <w:vAlign w:val="bottom"/>
            <w:gridSpan w:val="2"/>
          </w:tcPr>
          <w:p>
            <w:pPr>
              <w:jc w:val="center"/>
              <w:ind w:right="180"/>
              <w:spacing w:after="0" w:line="163" w:lineRule="exact"/>
              <w:rPr>
                <w:sz w:val="20"/>
                <w:szCs w:val="20"/>
                <w:color w:val="auto"/>
              </w:rPr>
            </w:pPr>
            <w:r>
              <w:rPr>
                <w:rFonts w:ascii="Times New Roman" w:cs="Times New Roman" w:eastAsia="Times New Roman" w:hAnsi="Times New Roman"/>
                <w:sz w:val="18"/>
                <w:szCs w:val="18"/>
                <w:color w:val="auto"/>
                <w:w w:val="98"/>
              </w:rPr>
              <w:t>San Francisco, CA</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C</w:t>
            </w:r>
          </w:p>
        </w:tc>
        <w:tc>
          <w:tcPr>
            <w:tcW w:w="2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Knowledge Networks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7/2/2012</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318,979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2,000,447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B</w:t>
            </w: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2/28/2012</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49,505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217,206</w:t>
            </w:r>
          </w:p>
        </w:tc>
        <w:tc>
          <w:tcPr>
            <w:tcW w:w="1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360" w:type="dxa"/>
            <w:vAlign w:val="bottom"/>
            <w:tcBorders>
              <w:top w:val="single" w:sz="8" w:color="CCEEFF"/>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2,217,653</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3360" w:type="dxa"/>
            <w:vAlign w:val="bottom"/>
            <w:gridSpan w:val="8"/>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Curious.com, Inc.</w:t>
            </w:r>
          </w:p>
        </w:tc>
        <w:tc>
          <w:tcPr>
            <w:tcW w:w="2040" w:type="dxa"/>
            <w:vAlign w:val="bottom"/>
            <w:gridSpan w:val="2"/>
          </w:tcPr>
          <w:p>
            <w:pPr>
              <w:jc w:val="center"/>
              <w:ind w:right="180"/>
              <w:spacing w:after="0" w:line="163" w:lineRule="exact"/>
              <w:rPr>
                <w:sz w:val="20"/>
                <w:szCs w:val="20"/>
                <w:color w:val="auto"/>
              </w:rPr>
            </w:pPr>
            <w:r>
              <w:rPr>
                <w:rFonts w:ascii="Times New Roman" w:cs="Times New Roman" w:eastAsia="Times New Roman" w:hAnsi="Times New Roman"/>
                <w:sz w:val="18"/>
                <w:szCs w:val="18"/>
                <w:color w:val="auto"/>
                <w:w w:val="99"/>
              </w:rPr>
              <w:t>Menlo Park, CA</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Online Education</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11/22/2013</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1,135,944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12,000,006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Non-controlled/Affiliate</w:t>
            </w: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41,140,804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12,591,162</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60" w:type="dxa"/>
            <w:vAlign w:val="bottom"/>
            <w:gridSpan w:val="7"/>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29"/>
                <w:szCs w:val="29"/>
                <w:b w:val="1"/>
                <w:bCs w:val="1"/>
                <w:color w:val="auto"/>
                <w:vertAlign w:val="superscript"/>
              </w:rPr>
              <w:t>(2)</w:t>
            </w:r>
          </w:p>
        </w:tc>
        <w:tc>
          <w:tcPr>
            <w:tcW w:w="20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2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Architect Capital PayJoy SPV, LLC**</w:t>
            </w:r>
          </w:p>
        </w:tc>
        <w:tc>
          <w:tcPr>
            <w:tcW w:w="2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San Francisco, CA</w:t>
            </w: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Mobile Finance</w:t>
            </w: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Membership Interest in Lending SPV***</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Technology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3/24/2021</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10,006,745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10,000,000</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148"/>
        </w:trPr>
        <w:tc>
          <w:tcPr>
            <w:tcW w:w="2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Colombier Sponsor LLC**</w:t>
            </w:r>
          </w:p>
        </w:tc>
        <w:tc>
          <w:tcPr>
            <w:tcW w:w="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(12)</w:t>
            </w:r>
          </w:p>
        </w:tc>
        <w:tc>
          <w:tcPr>
            <w:tcW w:w="700" w:type="dxa"/>
            <w:vAlign w:val="bottom"/>
            <w:gridSpan w:val="2"/>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New York, NY</w:t>
            </w: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100" w:type="dxa"/>
            <w:vAlign w:val="bottom"/>
            <w:tcBorders>
              <w:bottom w:val="single" w:sz="8" w:color="auto"/>
            </w:tcBorders>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0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Special Purpose</w:t>
            </w: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Units</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Acquisition Company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4/1/2021</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1,976,033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1,556,587</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1,554,355</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37"/>
        </w:trPr>
        <w:tc>
          <w:tcPr>
            <w:tcW w:w="3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Class W Units</w:t>
            </w:r>
          </w:p>
        </w:tc>
        <w:tc>
          <w:tcPr>
            <w:tcW w:w="20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4/1/2021</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2,700,000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1,159,150</w:t>
            </w:r>
          </w:p>
        </w:tc>
        <w:tc>
          <w:tcPr>
            <w:tcW w:w="1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1,157,487</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36"/>
        </w:trPr>
        <w:tc>
          <w:tcPr>
            <w:tcW w:w="3260" w:type="dxa"/>
            <w:vAlign w:val="bottom"/>
            <w:tcBorders>
              <w:top w:val="single" w:sz="8" w:color="CCEEFF"/>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2,715,737</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2,711,842</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49"/>
        </w:trPr>
        <w:tc>
          <w:tcPr>
            <w:tcW w:w="3040" w:type="dxa"/>
            <w:vAlign w:val="bottom"/>
            <w:tcBorders>
              <w:bottom w:val="single" w:sz="8" w:color="auto"/>
            </w:tcBorders>
            <w:gridSpan w:val="6"/>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SPBRX, INC. (f/k/a GSV Sustainability</w:t>
            </w:r>
          </w:p>
        </w:tc>
        <w:tc>
          <w:tcPr>
            <w:tcW w:w="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Partners, Inc.)</w:t>
            </w:r>
          </w:p>
        </w:tc>
        <w:tc>
          <w:tcPr>
            <w:tcW w:w="2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Cupertino, CA</w:t>
            </w: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260" w:type="dxa"/>
            <w:vAlign w:val="bottom"/>
            <w:gridSpan w:val="7"/>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Preferred shares, Class A</w:t>
            </w:r>
            <w:r>
              <w:rPr>
                <w:rFonts w:ascii="Times New Roman" w:cs="Times New Roman" w:eastAsia="Times New Roman" w:hAnsi="Times New Roman"/>
                <w:sz w:val="29"/>
                <w:szCs w:val="29"/>
                <w:color w:val="auto"/>
                <w:vertAlign w:val="superscript"/>
              </w:rPr>
              <w:t>(9)</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Clean Technology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4/15/2014</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14,300,000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7,151,412</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984,028</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36"/>
        </w:trPr>
        <w:tc>
          <w:tcPr>
            <w:tcW w:w="3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0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4/15/2014</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60" w:type="dxa"/>
            <w:vAlign w:val="bottom"/>
            <w:tcBorders>
              <w:top w:val="single" w:sz="8" w:color="CCEEFF"/>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7,161,412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984,028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Controlled</w:t>
            </w:r>
          </w:p>
        </w:tc>
        <w:tc>
          <w:tcPr>
            <w:tcW w:w="20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19,883,894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13,695,870</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0" w:type="dxa"/>
            <w:vAlign w:val="bottom"/>
          </w:tcPr>
          <w:p>
            <w:pPr>
              <w:spacing w:after="0"/>
              <w:rPr>
                <w:sz w:val="1"/>
                <w:szCs w:val="1"/>
                <w:color w:val="auto"/>
              </w:rPr>
            </w:pPr>
          </w:p>
        </w:tc>
      </w:tr>
      <w:tr>
        <w:trPr>
          <w:trHeight w:val="243"/>
        </w:trPr>
        <w:tc>
          <w:tcPr>
            <w:tcW w:w="10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0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1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216,128,508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157,188,578</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74.84%</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2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U.S. Treasury</w:t>
            </w:r>
          </w:p>
        </w:tc>
        <w:tc>
          <w:tcPr>
            <w:tcW w:w="20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260" w:type="dxa"/>
            <w:vAlign w:val="bottom"/>
            <w:gridSpan w:val="7"/>
          </w:tcPr>
          <w:p>
            <w:pPr>
              <w:spacing w:after="0" w:line="201" w:lineRule="exact"/>
              <w:rPr>
                <w:sz w:val="20"/>
                <w:szCs w:val="20"/>
                <w:color w:val="auto"/>
              </w:rPr>
            </w:pPr>
            <w:r>
              <w:rPr>
                <w:rFonts w:ascii="Times New Roman" w:cs="Times New Roman" w:eastAsia="Times New Roman" w:hAnsi="Times New Roman"/>
                <w:sz w:val="18"/>
                <w:szCs w:val="18"/>
                <w:color w:val="auto"/>
              </w:rPr>
              <w:t>U.S. Treasury bill, 0%, due 3/30/2023***</w:t>
            </w:r>
          </w:p>
        </w:tc>
        <w:tc>
          <w:tcPr>
            <w:tcW w:w="200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12/29/2022</w:t>
            </w:r>
          </w:p>
        </w:tc>
        <w:tc>
          <w:tcPr>
            <w:tcW w:w="11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$45,492,000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45,000,118</w:t>
            </w:r>
          </w:p>
        </w:tc>
        <w:tc>
          <w:tcPr>
            <w:tcW w:w="100" w:type="dxa"/>
            <w:vAlign w:val="bottom"/>
          </w:tcPr>
          <w:p>
            <w:pPr>
              <w:spacing w:after="0"/>
              <w:rPr>
                <w:sz w:val="17"/>
                <w:szCs w:val="17"/>
                <w:color w:val="auto"/>
              </w:rPr>
            </w:pPr>
          </w:p>
        </w:tc>
        <w:tc>
          <w:tcPr>
            <w:tcW w:w="12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45,026,162</w:t>
            </w:r>
          </w:p>
        </w:tc>
        <w:tc>
          <w:tcPr>
            <w:tcW w:w="9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r>
        <w:trPr>
          <w:trHeight w:val="217"/>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auto"/>
              </w:rPr>
              <w:t>(3)</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60" w:type="dxa"/>
            <w:vAlign w:val="bottom"/>
            <w:gridSpan w:val="7"/>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U.S. Treasury bill, 0%, due 6/29/2023***</w:t>
            </w:r>
          </w:p>
        </w:tc>
        <w:tc>
          <w:tcPr>
            <w:tcW w:w="20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12/29/2022</w:t>
            </w:r>
          </w:p>
        </w:tc>
        <w:tc>
          <w:tcPr>
            <w:tcW w:w="11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$40,937,000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39,999,480</w:t>
            </w:r>
          </w:p>
        </w:tc>
        <w:tc>
          <w:tcPr>
            <w:tcW w:w="10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40,030,655</w:t>
            </w:r>
          </w:p>
        </w:tc>
        <w:tc>
          <w:tcPr>
            <w:tcW w:w="9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19.06%</w:t>
            </w:r>
          </w:p>
        </w:tc>
        <w:tc>
          <w:tcPr>
            <w:tcW w:w="0" w:type="dxa"/>
            <w:vAlign w:val="bottom"/>
          </w:tcPr>
          <w:p>
            <w:pPr>
              <w:spacing w:after="0"/>
              <w:rPr>
                <w:sz w:val="1"/>
                <w:szCs w:val="1"/>
                <w:color w:val="auto"/>
              </w:rPr>
            </w:pPr>
          </w:p>
        </w:tc>
      </w:tr>
      <w:tr>
        <w:trPr>
          <w:trHeight w:val="251"/>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940" w:type="dxa"/>
            <w:vAlign w:val="bottom"/>
            <w:gridSpan w:val="3"/>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bottom w:val="single" w:sz="8" w:color="CCEEFF"/>
            </w:tcBorders>
            <w:gridSpan w:val="7"/>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CCEEFF"/>
              <w:bottom w:val="single" w:sz="8" w:color="CCEEFF"/>
            </w:tcBorders>
          </w:tcPr>
          <w:p>
            <w:pPr>
              <w:spacing w:after="0"/>
              <w:rPr>
                <w:sz w:val="18"/>
                <w:szCs w:val="18"/>
                <w:color w:val="auto"/>
              </w:rPr>
            </w:pPr>
          </w:p>
        </w:tc>
        <w:tc>
          <w:tcPr>
            <w:tcW w:w="1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84,999,598</w:t>
            </w:r>
          </w:p>
        </w:tc>
        <w:tc>
          <w:tcPr>
            <w:tcW w:w="3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85,056,817</w:t>
            </w:r>
          </w:p>
        </w:tc>
        <w:tc>
          <w:tcPr>
            <w:tcW w:w="28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40.50</w:t>
            </w:r>
          </w:p>
        </w:tc>
        <w:tc>
          <w:tcPr>
            <w:tcW w:w="180" w:type="dxa"/>
            <w:vAlign w:val="bottom"/>
            <w:tcBorders>
              <w:top w:val="single" w:sz="8" w:color="CCEEFF"/>
              <w:bottom w:val="single" w:sz="8" w:color="CCEEFF"/>
            </w:tcBorders>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43"/>
        </w:trPr>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301,128,106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242,245,395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115.34%</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229" w:right="339" w:bottom="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1431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27" w:lineRule="exact"/>
        <w:rPr>
          <w:sz w:val="20"/>
          <w:szCs w:val="20"/>
          <w:color w:val="auto"/>
        </w:rPr>
      </w:pPr>
    </w:p>
    <w:p>
      <w:pPr>
        <w:jc w:val="both"/>
        <w:ind w:left="660" w:hanging="652"/>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w:t>
      </w: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left="660" w:hanging="652"/>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SuRo Capital Corp. believes do not represent “qualifying assets” under Section 55(a) of the Investment Company Act of 1940, as amended (the “1940 Act”). Of the Company’s total investments as of December 31, 2022, 14.47% of its total investments are non-qualifying assets.</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income-producing.</w:t>
      </w:r>
    </w:p>
    <w:p>
      <w:pPr>
        <w:spacing w:after="0" w:line="207" w:lineRule="exact"/>
        <w:rPr>
          <w:sz w:val="20"/>
          <w:szCs w:val="20"/>
          <w:color w:val="auto"/>
        </w:rPr>
      </w:pPr>
    </w:p>
    <w:p>
      <w:pPr>
        <w:jc w:val="both"/>
        <w:ind w:left="660" w:hanging="652"/>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securities with the right to elect directors) of such company. For the Schedule of Investments In, and Advances To, Affiliates, as required by SEC Regulation S-X, Rule 12-14, refer to “Note 4—Investments at Fair Value”.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investment considered Level 1 or Level 2 and valued using observable inputs. Refer to “Note 4—Investments at Fair Value”.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investments noted had been placed on non-accrual status.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StormWind, LLC are held through SuRo Capital Corp.’s wholly owned subsidiary, GSVC SW Holdings, Inc.</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preferred shares of Residential Homes for Rent, LLC (d/b/a Second Avenue) are held through SuRo Capital Corp.’s wholly owned subsidiary, GSVC AV Holdings, Inc.</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Commercial Streaming Solutions Inc. (d/b/a BettorView), YouBet Technology, Inc. (d/b/a FanPower), Rebric, Inc. (d/b/a Compliable), EDGE Markets, Inc., and Xgroup Holdings Limited (d/b/a Xpoint) are held through SuRo Capital Corp.’s wholly owned subsidiary, SuRo Capital Sports, LLC (“SuRo Sports”).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True Global Ventures 4 Plus Pte Ltd are held through SuRo Capital Corp.’s wholly owned subsidiary, GSVC SVDS Holdings, Inc. As of December 31, 2022, $0.7 million of a $2.0 million capital commitment to True Global Ventures 4 Plus Fund LP had been called and funded.</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SPBRX, INC. (f/k/a GSV Sustainability Partners, Inc.) preferred shares held by SuRo Capital Corp. do not entitle SuRo Capital Corp. to a preferred dividend. SuRo Capital Corp. does not anticipate that SPBRX, INC. will pay distributions on a quarterly or regular basis or become a predictable distributor of distributions.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2022, approximately $1.2 million has been received from Residential Homes for Rent, LLC (d/b/a Second Avenue) related to the 15% term loan due December 23, 2023. Of the proceeds received, approximately $1.0 million repaid a portion of the outstanding principal and the remaining was attributed to interest.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9, 2021, Fullbridge, Inc.’s obligations under its financing arrangements with the Company became past due.</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22, 2022, Forge Global Holdings, Inc., completed its business combination with Motive Capital Corp. As a result of the transaction, each share of Forge Global, Inc.’s capital stock outstanding prior to the business combination was exchanged at the designated exchange ratio of approximately 3.123. In addition, each warrant of Forge Global, Inc. was exchanged into warrants exercisable into common stock based on the exchange ratio of 3.123. The exercise price of each converted warrant was determined by dividing the exercise price of the respective Forge Global, Inc. warrants by the exchange ratio, rounded to the nearest whole cent. On and effective August 5, 2022, SuRo Capital Corp. notified Forge Global, Inc. of its intent to net exercise via cashless settlement its 230,144 common warrants in Forge Global, Inc. into 53,283 shares of Forge Global, Inc.’s public common stock, pursuant to the net exercise formula in the warrant agreement. The exercise was effectuated on September 30, 2022.</w:t>
      </w:r>
    </w:p>
    <w:p>
      <w:pPr>
        <w:sectPr>
          <w:pgSz w:w="11900" w:h="16838" w:orient="portrait"/>
          <w:cols w:equalWidth="0" w:num="1">
            <w:col w:w="11240"/>
          </w:cols>
          <w:pgMar w:left="320" w:top="229" w:right="339" w:bottom="29"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29"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1—NATURE OF OPERATIONS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SuRo Capital Corp. (“we”, “us”, “our”, “Company” or “SuRo Capital”), formerly known as Sutter Rock Capital Corp. and as GSV Capital Corp. and formed in September 2010 as a Maryland corporation, is an internally-managed,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date of inception was January 6, 2011, which is the date we commenced development stage activities. The Company’s common stock is currently listed on the Nasdaq Global Select Market under the symbol “SSSS” (formerly “GSVC”). Prior to November 24, 2021, our common stock traded on the Nasdaq Capital Market under the same symbol (“SSSS”). The Company began its investment operations during the second quarter of 2011.</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table below displays the Company’s subsidiaries as of March 31, 2023, which, other than GSV Capital Lending, LLC (“GCL”) and SuRo Capital Sports, LLC, are collectively referred to as the “Taxable Subsidiaries.” The Taxable Subsidiaries were formed to hold certain portfolio investments. The Taxable Subsidiaries,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Times New Roman" w:cs="Times New Roman" w:eastAsia="Times New Roman" w:hAnsi="Times New Roman"/>
          <w:sz w:val="18"/>
          <w:szCs w:val="18"/>
          <w:i w:val="1"/>
          <w:iCs w:val="1"/>
          <w:color w:val="auto"/>
        </w:rPr>
        <w:t>Basis of Consolidation</w:t>
      </w:r>
      <w:r>
        <w:rPr>
          <w:rFonts w:ascii="Times New Roman" w:cs="Times New Roman" w:eastAsia="Times New Roman" w:hAnsi="Times New Roman"/>
          <w:sz w:val="18"/>
          <w:szCs w:val="18"/>
          <w:color w:val="auto"/>
        </w:rPr>
        <w:t>” below for further detail.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Formation</w:t>
            </w: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45"/>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22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Borders>
              <w:bottom w:val="single" w:sz="8" w:color="CCEEFF"/>
            </w:tcBorders>
          </w:tcPr>
          <w:p>
            <w:pPr>
              <w:spacing w:after="0"/>
              <w:rPr>
                <w:sz w:val="21"/>
                <w:szCs w:val="2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GCL</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13, 2012</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SuRo Capital Sports, LLC (“SuRo Sports”)</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March 19, 2021</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194"/>
        </w:trPr>
        <w:tc>
          <w:tcPr>
            <w:tcW w:w="53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Subsidiaries below are referred to collectively, as the “Taxable</w:t>
            </w: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8"/>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GSVC AE Holdings, Inc. (“GAE”)</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November 28, 2012</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GSVC AV Holdings, Inc. (“GAV”)</w:t>
            </w:r>
          </w:p>
        </w:tc>
        <w:tc>
          <w:tcPr>
            <w:tcW w:w="1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November 28, 2012</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GSVC SW Holdings, Inc. (“GSW”)</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November 28, 2012</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GSVC SVDS Holdings, Inc. (“SVDS”)</w:t>
            </w:r>
          </w:p>
        </w:tc>
        <w:tc>
          <w:tcPr>
            <w:tcW w:w="1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August 13, 2013</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venture-capital-backed emerging companies. The Company may invest in these portfolio companies through offerings of the prospective portfolio companies, transactions on secondary marketplaces for private companies, or negotiations with selling stockholders. In addition, the Company may invest in private credit and in founders equity, founders warrants, forward purchase agreements, and private investment in public equity transactions of special purpose acquisition companies. The Company may also invest on an opportunistic basis in select publicly traded equity securities or certain non-U.S. companies that otherwise meet its investment criteria, subject to any applicable limitations under the 1940 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Services—Investment Companies</w:t>
      </w:r>
      <w:r>
        <w:rPr>
          <w:rFonts w:ascii="Times New Roman" w:cs="Times New Roman" w:eastAsia="Times New Roman" w:hAnsi="Times New Roman"/>
          <w:sz w:val="18"/>
          <w:szCs w:val="18"/>
          <w:color w:val="auto"/>
        </w:rPr>
        <w:t>. In the opinion of management, all adjustments, all of which were of a normal recurring nature, were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for the fair presentation of consolidated financial statements for the period have been included.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results of operations for the current interim period are not necessarily indicative of results that ultimately may be achieved for any other interim period or for the year ending December 31, 2023. The interim unaudited condensed consolidated financial statements and notes hereto should be read in conjunction with the audited consolidated financial statements and notes thereto contained in the Company’s annual report on Form 10-K for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condensed consolidated financial statements include its accounts and the accounts of the Taxable Subsidiaries, GCL, and SuRo Sports, its wholly-owned subsidiaries. All intercompany balances and transactions have been eliminated in consolidation.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reporting period. It is likely that changes in these estimates may occur in the near term. The Company’s estimates are inherently subjective in nature and actual results could differ materially from such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Uncertainties and Risk Factors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in the nature of its operations, as well as vulnerability due to certain concentrations. Refer to “Risk Factors” in Part II, Item 1A of this Form 10-Q for a detailed discussion of the risks and uncertainties inherent in the nature of the Company’s operations. Refer to “Note 4—Investments at Fair Value” for an overview of the Company’s industry and geographic concentrations.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at Fair Value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7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—Valuations based on unadjusted quoted prices for identical assets or liabilities in an active market that the Company has the ability to access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measurement date.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—Valuations based on observable inputs other than Level 1 prices, such as quoted prices for similar assets or liabilities; quoted prices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 at the measurement date for substantially the full term of the assets or liabilities.</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—Valuations based on unobservable inputs that reflect management’s best estimate of what market participants would use in pricing the asset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Securities for which reliable market quotations are not readily available or for which the pricing source does not provide a valuation or methodology, or provides a valuation or methodology that, in the judgment of management, our Board of Directors or the valuation committee of the Company’s Board of Directors (the “Valuation Committee”), does not reliably represent fair value, shall each be valued as follows:</w:t>
      </w:r>
    </w:p>
    <w:p>
      <w:pPr>
        <w:spacing w:after="0" w:line="176" w:lineRule="exact"/>
        <w:rPr>
          <w:sz w:val="20"/>
          <w:szCs w:val="20"/>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valuation process begins with each portfolio company or investment being initially valued by the internal investment professionals responsible for the portfolio investment;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senior management;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investments for which there are no readily available market quotations, the Valuation Committee engages an independent third-party valuation firm to conduct independent appraisals, review management’s preliminary valuations and make its own independent assessment;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Committee applies the appropriate valuation methodology to each portfolio asset in a consistent manner, considers the inputs provided by management and the independent third-party valuation firm, discusses the valuations and recommends to the Company’s Board of Directors a fair value for each investment in the portfolio;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then discusses the valuations recommended by the Valuation Committee and determines in good faith the fair value of each investment in the portfolio.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valuing the Company’s investments in venture investment funds (“Venture Investment Funds”), the Company applies the practical expedient provided by the ASC Topic 820 relating to investments in certain entities that calculate net asset value (“NAV”) per share (or its equivalent). ASC Topic 820 permits an entity holding investments in certain entities that either are investment companies, or have attributes similar to an investment company, and calculate NAV per share or its equivalent for which the fair value is not readily determinable, to measure the fair value of such investments on the basis of that NAV per share, or its equivalent, without adjustment.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making a good faith determination of the fair value of investments, the Board applies valuation methodologies consistent with industry practice. Valuation methods utilized include, but are not limited to, the following: comparisons to prices from secondary market transactions; venture capital financings; public offerings; purchase or sales transactions; analysis of financial ratios and valuation metrics of portfolio companies that issued such private equity securities to peer companies that are public; analysis of the portfolio company’s most recent financial statements, forecasts and the markets in which the portfolio company does business, and other relevant factors. The Company assigns a weighting based upon the relevance of each method to assist the Board in determining the fair value of each investment.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Board applies the appropriate respective valuation methodology for the asset class or portfolio holding, which may involve analyzing the relevant portfolio company’s most recently available historical and projected financial results, public market comparables, and other factors. The Board may also consider other events, including the transaction in which the Company acquired its securities, subsequent equity sales by the portfolio company, and mergers or acquisitions affecting the portfolio company. In addition, the Board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determining the fair value of equity or equity-linked securities (including warrants to purchase common or preferred stock) in a portfolio company, the Board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Investments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in good faith by the Company’s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Board of Directors determines the fair value of options based on methodologies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options are valued at estimated fair value as determined by the Company’s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Purpose Acquisition Companies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Board of Directors measures its Special Purpose Acquisition Company (“SPAC”) investments at fair value, which is equivalent to cost until a SPAC transaction is announced. After a SPAC transaction is announced, the Company’s Board of Directors will determine the fair value of SPAC investments based on fair value analyses that can include option pricing models, probability-weighted expected return method analyses and other techniques as deemed appropriate. Upon completion of the SPAC transaction, the Board utilizes the public share price of the entity, less a DLOM if there are restrictions on selling. The Company’s SPAC investments are valued at estimated fair value as determined in good faith by the Company’s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Investment Classification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a non-diversified company within the meaning of the 1940 Act. The Company classifies its investments by level of control. As defined in the 1940 Act, control investments are those where the investor retains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Consolidated Schedules of Investments as of March 31, 2023 and December 31, 2022, for details regarding the nature and composition of the Company’s investment portfolio.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Levelling Policy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Transactions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Securities transactions are accounted for on the date the transaction for the purchase or sale of the securities is entered into by the Company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Other Financial Instruments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other, non-investment financial instruments, consisting of cash, receivables, accounts payable, and accrued expenses, approximate fair value due to their short-term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places its cash primarily with U.S. Bank Trust Company, National Association, and may place cash with other high-quality financial institutions. The cash held in these accounts may exceed the Federal Deposit Insurance Corporation insured limit. The Company believes the risk of loss associated with any uninsured balance is remote.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Escrow Proceeds Receivable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portion of the proceeds from the sale of portfolio investments are held in escrow as a recourse for indemnity claims that may arise under the sale agreement or other related transaction contingencies. Amounts held in escrow are held at estimated realizable value and included in net realized gains (losses) on investments in the Condensed Consolidated Statements of Operations for the period in which they occurred and are adjusted as needed. Any remaining escrow proceeds balances from these transactions reasonably expected to be received are reflected on the Condensed Consolidated Statement of Assets and Liabilities as escrow proceeds receivable. Escrow proceeds receivable resulting from contingent consideration are to be recognized when the amount of the contingent consideration becomes realized or realizable. As of March 31, 2023 and December 31, 2022, the Company had $609,685 and $628,332, respectively, in escrow proceeds receivable.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until the shelf registration statement expires. For equity capital raised, the offering costs reduce paid-in capital resulting from the offering. For debt capital raised, the associated offering costs are amortized over the life of the debt instrument. As of March 31, 2023 and December 31, 2022, the Company had deferred financing costs of $539,120 and $555,761, respectively, on the Condensed Consolidated Statement of Assets and Liabilities.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&amp; Related Deposits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its operating leases as prescribed by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lessees to recognize a right-of-use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June 3, 2019, the Company entered a 5-year operating lease for office space for which the Company has recorded a right-of-use asset and a corresponding lease liability for the operating lease obligation. These amounts have been discounted using the rate implicit in the lease. Refer to “Note 7—Commitments and Contingencies—</w:t>
      </w:r>
      <w:r>
        <w:rPr>
          <w:rFonts w:ascii="Times New Roman" w:cs="Times New Roman" w:eastAsia="Times New Roman" w:hAnsi="Times New Roman"/>
          <w:sz w:val="18"/>
          <w:szCs w:val="18"/>
          <w:i w:val="1"/>
          <w:iCs w:val="1"/>
          <w:color w:val="auto"/>
        </w:rPr>
        <w:t>Operating Leases and Related Deposits</w:t>
      </w:r>
      <w:r>
        <w:rPr>
          <w:rFonts w:ascii="Times New Roman" w:cs="Times New Roman" w:eastAsia="Times New Roman" w:hAnsi="Times New Roman"/>
          <w:sz w:val="18"/>
          <w:szCs w:val="18"/>
          <w:color w:val="auto"/>
        </w:rPr>
        <w:t>” for further detail.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Using the fair value recognition provisions as prescribed by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stock-based compensation cost is measured at the grant date based on the fair value of the award and is recognized as expense over the appropriate service period. Determining the fair value of stock-based awards requires considerable judgment, including estimating the expected term of stock options and the expected volatility of our stock price. Differences between actual results and these estimates could have a material effect on our financial results. Forfeitures are accounted for as they occur. Refer to “Note 11— Stock-Based Compensation” for further detail.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Transaction Costs and Escrow Deposits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As of March 31, 2023 and December 31, 2022, the Company had no escrow deposits.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Appreciation or Depreciation of Investments</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Unrealized appreciation or depreciation is calculated as the difference between the fair value of the investment and the cost basis of such investment.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and State 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elected to be treated as a RIC under Subchapter M of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the sum of 90% of our investment company taxable income (“ICTI”), including payment-in-kind interest income, as defined by the Code, and 90% of our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the Company meets the Annual Distribution Requirement, but does not distribute (or is not deemed to have distributed) each calendar year a sum of</w:t>
      </w:r>
    </w:p>
    <w:p>
      <w:pPr>
        <w:spacing w:after="0" w:line="27" w:lineRule="exact"/>
        <w:rPr>
          <w:sz w:val="20"/>
          <w:szCs w:val="20"/>
          <w:color w:val="auto"/>
        </w:rPr>
      </w:pPr>
    </w:p>
    <w:p>
      <w:pPr>
        <w:jc w:val="both"/>
        <w:ind w:firstLine="8"/>
        <w:spacing w:after="0" w:line="252" w:lineRule="auto"/>
        <w:tabs>
          <w:tab w:leader="none" w:pos="2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 long as the Company qualifies and maintains its tax treatment as a RIC, it generally will not be subject to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Taxable Subsidiaries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adjusted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as a C Corporation for its 2012 and 2013 taxable years. Refer to “Note 9—Income Taxes” for further details.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 Share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FASB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xml:space="preserve"> (“ASC 260”) to determine the number of potentially dilutive shares outstanding. Refer to “Note 6—Net Increase in Net Assets Resulting from Operations per Common Share—Basic and Diluted” for further detail.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or Adopted Accounting Standards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does not anticipate the new standard will have a material impact to the condensed consolidated financial statements and related disclosures.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June 2022, the FASB issued ASU No. 2022-03 “Fair Value Measurements (Topic 820): Fair Value Measurement of Equity Securities Subject to Contractual Sale Restrictions.” This change prohibits entities from taking into account contractual restrictions on the sale of equity securities when estimating fair value and introduces required disclosures for such transactions. The standard is effective for annual periods beginning after December 15, 2023, and should be applied prospectively. Early adoption is permitted. The adoption of ASU 2022-03 is not expected to have a material impact on the Company’s future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December 2021, the SEC published Staff Accounting Bulletin No. 120 (“SAB 120”) to provide accounting and disclosure guidance for stock compensation awards made to executives and conforming amendments to the Staff Accounting Bulletin Series to align with the current authoritative accounting guidance in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In part, SAB 120 requires that an entity disclose how it determines the current price of underlying shares for grant-date fair value, the policy for when an adjustment to the share price is required, how it determines the amount of an adjustment to the share price and any significant assumptions used in determining an adjustment to the share price. SAB 120 is effective for all stock compensation awards issued after December 1, 2021. The Company is in compliance with the guidance pursuant to SAB 120 for any share-based compensation disclosures. See “Note 11 – Stock-Based Compensation” for further discussion of the Company’s policies and procedures regarding share-based compensation. The Company does not expect the impact of SAB 120 to be material to the condensed consolidated financial statements and the notes thereto.</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consolidated financial statements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3—RELATED-PARTY ARRANGEMENTS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executive officers and directors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investment in Churchill Sponsor VI LLC, the sponsor of Churchill Capital Corp. VI, a special purpose acquisition company, constituted a “remote-affiliate” transaction for purposes of the 1940 Act in light of the fact that Mark D. Klein, the Company’s Chairman, Chief Executive Officer and President, has a non-controlling interest in the entity that controls Churchill Sponsor VI LLC, and is a non-controlling member of the board of directors of Churchill Capital Corp VI. The Company’s investment in Churchill Sponsor VII LLC, the sponsor of Churchill Capital Corp. VII, a special purpose acquisition company, also constituted a “remote-affiliate” transaction for purposes of the 1940 Act in light of the fact that Mr. Klein has a non-controlling interest in the entity that controls Churchill Sponsor VII LLC, and is a non-controlling member of the board of directors of Churchill Capital Corp. VII. In addition, Mr. Klein’s brother, Michael Klein, is a control person of such Churchill entities. As of March 31, 2023, the fair values of the Company’s investments in Churchill Sponsor VI LLC and Churchill Sponsor VII LLC were $200,000 and $300,000,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investment in Skillsoft Corp. (f/k/a Software Luxembourg Holding S.A.) (“Skillsoft”) constituted a “remote-affiliate” transaction for purposes of the 1940 Act in light of the fact that Mr. Klein has a non-controlling interest in the entity that controls Churchill Sponsor II LLC, the sponsor of Churchill Capital Corp. II, a special purpose acquisition company, and is a non-controlling member of the board of directors of Churchill Capital Corp. II, through which the Company executed a private investment in public equity transaction in order to acquire common shares of Skillsoft alongside the merger of Skillsoft and Churchill Capital Corp II. In addition, Mr. Klein’s brother, Michael Klein, is a control person of such Churchill entities. As of March 31, 2023, the fair value of the Company’s investment in Skillsoft Corp. was $1,963,686.</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initial investment in Shogun Enterprises, Inc. on February 26, 2021 constituted a “remote-affiliate” transaction for purposes of the 1940 Act in light of the fact that Keri Findley, a former senior managing director of the Company until her departure on March 9, 2022, was at the time of investment, a non-controlling member of the board of directors of Shogun Enterprises, Inc., and held a minority equity interest in such portfolio company. The Company’s investment in Architect Capital PayJoy SPV, LLC also constituted a “remote-affiliate” transaction for purposes of the 1940 Act in light of the fact that Ms. Findley, at the time of investment, was a non-controlling member of the board of directors of the investment manager to Architect Capital PayJoy SPV, LLC, and held a minority equity interest in such investment manager. As of March 31, 2023, the fair values of the Company’s remote-affiliate investments in Shogun Enterprises, Inc. (d/b/a Hearth) and Architect Capital PayJoy SPV, LLC were $3,604,260 and $10,000,000, respectively.</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Ms. Findley and Claire Councill, a former investment professional of the Company until her departure on April 15, 2022, are non-controlling members of the board of directors of Colombier Acquisition Corp., a special purpose acquisition company, which is sponsored by Colombier Sponsor LLC, one of the Company’s portfolio companies. The Company’s investment in AltC Sponsor LLC, the sponsor of AltC Acquisition Corp, a special purpose acquisition company, constituted a “remote-affiliate” transaction for purposes of the 1940 Act in light of the fact that Mr. Klein has a non-controlling interest in one of the entities that controls AltC Sponsor LLC, and Allison Green, the Company’s Chief Financial Officer, Chief Compliance Officer, Treasurer and Secretary, is a non-controlling member of the board of directors of AltC Acquisition Corp. As of March 31, 2023, the fair values of the Company’s aggregate investments in each of Colombier Sponsor LLC and AltC Sponsor LLC were $14,794,714 and $250,000,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4—INVESTMENTS AT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 Composition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investments in portfolio companies consist primarily of equity securities (such as common stock, preferred stock and options to purchase common and preferred stock) and to a lesser extent, debt securities, issued by private and publicly traded companies. The Company may also, from time to time, invest in U.S. Treasury securities. Non-portfolio investments represent investments in U.S. Treasury securities. As of March 31, 2023, the Company had 64 positions in 37 portfolio companies. As of December 31, 2022, the Company had 64 positions in 39 portfolio companies.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composition of the Company’s investment portfolio by security type at cost and fair value as of March 31, 2023 and December 31,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8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Borders>
              <w:bottom w:val="single" w:sz="8" w:color="auto"/>
            </w:tcBorders>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94"/>
        </w:trPr>
        <w:tc>
          <w:tcPr>
            <w:tcW w:w="3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gridSpan w:val="2"/>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45"/>
        </w:trPr>
        <w:tc>
          <w:tcPr>
            <w:tcW w:w="3820" w:type="dxa"/>
            <w:vAlign w:val="bottom"/>
          </w:tcPr>
          <w:p>
            <w:pPr>
              <w:spacing w:after="0"/>
              <w:rPr>
                <w:sz w:val="21"/>
                <w:szCs w:val="21"/>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0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Net Assets</w:t>
            </w:r>
          </w:p>
        </w:tc>
        <w:tc>
          <w:tcPr>
            <w:tcW w:w="100" w:type="dxa"/>
            <w:vAlign w:val="bottom"/>
          </w:tcPr>
          <w:p>
            <w:pPr>
              <w:spacing w:after="0"/>
              <w:rPr>
                <w:sz w:val="21"/>
                <w:szCs w:val="21"/>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16"/>
        </w:trPr>
        <w:tc>
          <w:tcPr>
            <w:tcW w:w="38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$ 117,225,959</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$ 112,693,622</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52.4%</w:t>
            </w: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$ 118,472,118</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$ 117,214,465</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55.8%</w:t>
            </w: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55,683,030</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34,964,456</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14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50,601,512</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18,692,931</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6,066,466</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4,141,191</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6,316,466</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4,488,200</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4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10,914,124</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1,753,883</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4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11,415,787</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3,469,497</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38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Private Portfolio Companies</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189,889,579</w:t>
            </w:r>
          </w:p>
        </w:tc>
        <w:tc>
          <w:tcPr>
            <w:tcW w:w="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153,553,152</w:t>
            </w:r>
          </w:p>
        </w:tc>
        <w:tc>
          <w:tcPr>
            <w:tcW w:w="30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71.4</w:t>
            </w:r>
          </w:p>
        </w:tc>
        <w:tc>
          <w:tcPr>
            <w:tcW w:w="240" w:type="dxa"/>
            <w:vAlign w:val="bottom"/>
            <w:tcBorders>
              <w:top w:val="single" w:sz="8" w:color="CCEEFF"/>
              <w:bottom w:val="single" w:sz="8" w:color="CCEEFF"/>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186,805,883</w:t>
            </w:r>
          </w:p>
        </w:tc>
        <w:tc>
          <w:tcPr>
            <w:tcW w:w="30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143,865,093</w:t>
            </w:r>
          </w:p>
        </w:tc>
        <w:tc>
          <w:tcPr>
            <w:tcW w:w="28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68.5</w:t>
            </w:r>
          </w:p>
        </w:tc>
        <w:tc>
          <w:tcPr>
            <w:tcW w:w="16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7"/>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25,463,415</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11,534,888</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29,322,625</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13,323,485</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r>
      <w:tr>
        <w:trPr>
          <w:trHeight w:val="236"/>
        </w:trPr>
        <w:tc>
          <w:tcPr>
            <w:tcW w:w="3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215,352,994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165,088,040</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216,128,508</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157,188,578</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3"/>
        </w:trPr>
        <w:tc>
          <w:tcPr>
            <w:tcW w:w="382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Non-Portfolio Investments</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75,497,157</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75,986,912</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c>
          <w:tcPr>
            <w:tcW w:w="14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84,999,598</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85,056,817</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w:t>
            </w:r>
          </w:p>
        </w:tc>
      </w:tr>
      <w:tr>
        <w:trPr>
          <w:trHeight w:val="217"/>
        </w:trPr>
        <w:tc>
          <w:tcPr>
            <w:tcW w:w="3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290,850,151</w:t>
            </w: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241,074,952</w:t>
            </w: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24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301,128,106</w:t>
            </w:r>
          </w:p>
        </w:tc>
        <w:tc>
          <w:tcPr>
            <w:tcW w:w="3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242,245,395</w:t>
            </w:r>
          </w:p>
        </w:tc>
        <w:tc>
          <w:tcPr>
            <w:tcW w:w="28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geographic and industrial compositions of the Company’s portfolio at fair value as of March 31, 2023 and December 31, 2022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March 31, 2023</w:t>
            </w: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6"/>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r>
      <w:tr>
        <w:trPr>
          <w:trHeight w:val="194"/>
        </w:trPr>
        <w:tc>
          <w:tcPr>
            <w:tcW w:w="40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8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8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of</w:t>
            </w:r>
          </w:p>
        </w:tc>
        <w:tc>
          <w:tcPr>
            <w:tcW w:w="11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45"/>
        </w:trPr>
        <w:tc>
          <w:tcPr>
            <w:tcW w:w="4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1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02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Geographic Region</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West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94,490,362</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57.2%</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94,996,805</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60.4%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Northeast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54,146,222</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32.8%</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46,944,432</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Midwest</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8,527,740</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5.2%</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8,183,281</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7,923,716</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7,064,060</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165,088,040</w:t>
            </w: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6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157,188,578</w:t>
            </w: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3"/>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March 31, 2023</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6"/>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r>
      <w:tr>
        <w:trPr>
          <w:trHeight w:val="194"/>
        </w:trPr>
        <w:tc>
          <w:tcPr>
            <w:tcW w:w="40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8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8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of</w:t>
            </w:r>
          </w:p>
        </w:tc>
        <w:tc>
          <w:tcPr>
            <w:tcW w:w="11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45"/>
        </w:trPr>
        <w:tc>
          <w:tcPr>
            <w:tcW w:w="4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1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02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Education Technology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62,140,686</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37.6%</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61,841,493</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39.4%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Technology</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49,129,888</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29.8%</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38,096,753</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Marketplaces</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24,817,944</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15.0%</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27,291,467</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Big Data/Cloud</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14,856,153</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9.0%</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14,927,819</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Social/Mobile</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13,209,341</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8.0%</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14,047,018</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5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Sustainability</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934,028</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0.6%</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984,028</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4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165,088,040</w:t>
            </w: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6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157,188,578</w:t>
            </w: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9"/>
        </w:trPr>
        <w:tc>
          <w:tcPr>
            <w:tcW w:w="4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3000"/>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the composition of the Company’s industrial themes presented in the preceding tables:</w:t>
      </w:r>
    </w:p>
    <w:p>
      <w:pPr>
        <w:sectPr>
          <w:pgSz w:w="11900" w:h="16838" w:orient="portrait"/>
          <w:cols w:equalWidth="0" w:num="1">
            <w:col w:w="10139"/>
          </w:cols>
          <w:pgMar w:left="320" w:top="229" w:right="1440"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717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25717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Big Data/Cloud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25717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25717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986155</wp:posOffset>
            </wp:positionV>
            <wp:extent cx="25717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848995</wp:posOffset>
            </wp:positionV>
            <wp:extent cx="25717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Sustainability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44145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4145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Education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Education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Interactive Learning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4145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14520"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Licensing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Geolocation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Warehouse Automation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4145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414520"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Innovation Platform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Networks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Micromobility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Pharmaceutical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Platform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Fashion Rental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44145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4145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Cannabis REIT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Home Improvement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Finance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Online Marketplace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Purpose Acquisition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Venture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4145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414520"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Media Platform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Media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Interactive Media &amp;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Access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Data Platform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Fitness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Networking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4145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414520"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Clean Technology</w:t>
      </w: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560" w:space="720"/>
            <w:col w:w="5859"/>
          </w:cols>
          <w:pgMar w:left="320" w:top="229" w:right="1440"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Inputs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the Company’s investments disaggregated into the three levels of the fair value hierarchy based upon the lowest level of significant input used in the valuation as of March 31, 2023 and December 31, 2022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As of March 31, 2023</w:t>
            </w: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200" w:type="dxa"/>
            <w:vAlign w:val="bottom"/>
          </w:tcPr>
          <w:p>
            <w:pPr>
              <w:spacing w:after="0"/>
              <w:rPr>
                <w:sz w:val="16"/>
                <w:szCs w:val="16"/>
                <w:color w:val="auto"/>
              </w:rPr>
            </w:pPr>
          </w:p>
        </w:tc>
        <w:tc>
          <w:tcPr>
            <w:tcW w:w="1420" w:type="dxa"/>
            <w:vAlign w:val="bottom"/>
            <w:gridSpan w:val="3"/>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112,693,622</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112,693,622</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34,964,456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34,964,456</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4,141,191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4,141,191</w:t>
            </w:r>
          </w:p>
        </w:tc>
      </w:tr>
      <w:tr>
        <w:trPr>
          <w:trHeight w:val="237"/>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1,753,883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1,753,883</w:t>
            </w:r>
          </w:p>
        </w:tc>
      </w:tr>
      <w:tr>
        <w:trPr>
          <w:trHeight w:val="236"/>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153,553,152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153,553,152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2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11,534,888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11,534,888</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Non-Portfolio Investments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75,986,912</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75,986,912</w:t>
            </w:r>
          </w:p>
        </w:tc>
      </w:tr>
      <w:tr>
        <w:trPr>
          <w:trHeight w:val="217"/>
        </w:trPr>
        <w:tc>
          <w:tcPr>
            <w:tcW w:w="5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87,521,800</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153,553,152</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241,074,952</w:t>
            </w:r>
          </w:p>
        </w:tc>
        <w:tc>
          <w:tcPr>
            <w:tcW w:w="100" w:type="dxa"/>
            <w:vAlign w:val="bottom"/>
            <w:tcBorders>
              <w:top w:val="single" w:sz="8" w:color="CCEEFF"/>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5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200" w:type="dxa"/>
            <w:vAlign w:val="bottom"/>
          </w:tcPr>
          <w:p>
            <w:pPr>
              <w:spacing w:after="0"/>
              <w:rPr>
                <w:sz w:val="16"/>
                <w:szCs w:val="16"/>
                <w:color w:val="auto"/>
              </w:rPr>
            </w:pPr>
          </w:p>
        </w:tc>
        <w:tc>
          <w:tcPr>
            <w:tcW w:w="1420" w:type="dxa"/>
            <w:vAlign w:val="bottom"/>
            <w:gridSpan w:val="3"/>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117,214,465</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117,214,465</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18,692,931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18,692,931</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4,488,200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4,488,200</w:t>
            </w:r>
          </w:p>
        </w:tc>
      </w:tr>
      <w:tr>
        <w:trPr>
          <w:trHeight w:val="237"/>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3,469,497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3,469,497</w:t>
            </w:r>
          </w:p>
        </w:tc>
      </w:tr>
      <w:tr>
        <w:trPr>
          <w:trHeight w:val="236"/>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143,865,093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143,865,093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2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13,298,992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24,493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13,323,485</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Non-Portfolio Investments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85,056,817</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85,056,817</w:t>
            </w:r>
          </w:p>
        </w:tc>
      </w:tr>
      <w:tr>
        <w:trPr>
          <w:trHeight w:val="216"/>
        </w:trPr>
        <w:tc>
          <w:tcPr>
            <w:tcW w:w="5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98,355,809</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2"/>
              </w:rPr>
              <w:t>24,493</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143,865,093</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242,245,395</w:t>
            </w:r>
          </w:p>
        </w:tc>
        <w:tc>
          <w:tcPr>
            <w:tcW w:w="100" w:type="dxa"/>
            <w:vAlign w:val="bottom"/>
            <w:tcBorders>
              <w:top w:val="single" w:sz="8" w:color="CCEEFF"/>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5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Unobservable Inputs for Level 3 Assets and Liabilities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FASB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tables below provide quantitative information about the fair value measurements of the Company’s Level 3 assets as of March 31, 2023 and December 31, 2022. In addition to the techniques and inputs noted in the tables below, according to the Company’s valuation policy, the Board may also use other valuation techniques and methodologies when determining the fair value measurements of the Company’s assets. The tables below are not intended to be all-inclusive, but rather provide information on the significant Level 3 inputs as they relate to the fair value measurements of the Company’s assets. To the extent an unobservable input is not reflected in the tables below, such input is deemed insignificant with respect to the Company’s Level 3 fair value measurements as of March 31, 2023 and December 31, 2022. Significant changes in the inputs in isolation would result in a significant change in the fair value measurement, depending on the input and the materiality of the investment.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Valuation</w:t>
            </w:r>
          </w:p>
        </w:tc>
        <w:tc>
          <w:tcPr>
            <w:tcW w:w="1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b w:val="1"/>
                <w:bCs w:val="1"/>
                <w:color w:val="auto"/>
                <w:w w:val="97"/>
              </w:rPr>
              <w:t>Range</w:t>
            </w:r>
          </w:p>
        </w:tc>
        <w:tc>
          <w:tcPr>
            <w:tcW w:w="0" w:type="dxa"/>
            <w:vAlign w:val="bottom"/>
          </w:tcPr>
          <w:p>
            <w:pPr>
              <w:spacing w:after="0"/>
              <w:rPr>
                <w:sz w:val="1"/>
                <w:szCs w:val="1"/>
                <w:color w:val="auto"/>
              </w:rPr>
            </w:pPr>
          </w:p>
        </w:tc>
      </w:tr>
      <w:tr>
        <w:trPr>
          <w:trHeight w:val="220"/>
        </w:trPr>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Approach/</w:t>
            </w: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82"/>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Asset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40" w:type="dxa"/>
            <w:vAlign w:val="bottom"/>
            <w:gridSpan w:val="2"/>
          </w:tcPr>
          <w:p>
            <w:pPr>
              <w:jc w:val="center"/>
              <w:ind w:right="320"/>
              <w:spacing w:after="0" w:line="276" w:lineRule="exact"/>
              <w:rPr>
                <w:sz w:val="20"/>
                <w:szCs w:val="20"/>
                <w:color w:val="auto"/>
              </w:rPr>
            </w:pPr>
            <w:r>
              <w:rPr>
                <w:rFonts w:ascii="Times New Roman" w:cs="Times New Roman" w:eastAsia="Times New Roman" w:hAnsi="Times New Roman"/>
                <w:sz w:val="18"/>
                <w:szCs w:val="18"/>
                <w:b w:val="1"/>
                <w:bCs w:val="1"/>
                <w:color w:val="auto"/>
                <w:w w:val="92"/>
              </w:rPr>
              <w:t>Technique</w:t>
            </w:r>
            <w:r>
              <w:rPr>
                <w:rFonts w:ascii="Times New Roman" w:cs="Times New Roman" w:eastAsia="Times New Roman" w:hAnsi="Times New Roman"/>
                <w:sz w:val="29"/>
                <w:szCs w:val="29"/>
                <w:b w:val="1"/>
                <w:bCs w:val="1"/>
                <w:color w:val="auto"/>
                <w:w w:val="92"/>
                <w:vertAlign w:val="superscript"/>
              </w:rPr>
              <w:t>(1)</w:t>
            </w:r>
          </w:p>
        </w:tc>
        <w:tc>
          <w:tcPr>
            <w:tcW w:w="2220" w:type="dxa"/>
            <w:vAlign w:val="bottom"/>
            <w:gridSpan w:val="2"/>
          </w:tcPr>
          <w:p>
            <w:pPr>
              <w:ind w:left="60"/>
              <w:spacing w:after="0" w:line="276" w:lineRule="exact"/>
              <w:rPr>
                <w:sz w:val="20"/>
                <w:szCs w:val="20"/>
                <w:color w:val="auto"/>
              </w:rPr>
            </w:pPr>
            <w:r>
              <w:rPr>
                <w:rFonts w:ascii="Times New Roman" w:cs="Times New Roman" w:eastAsia="Times New Roman" w:hAnsi="Times New Roman"/>
                <w:sz w:val="18"/>
                <w:szCs w:val="18"/>
                <w:b w:val="1"/>
                <w:bCs w:val="1"/>
                <w:color w:val="auto"/>
              </w:rPr>
              <w:t>Unobservable Inputs</w:t>
            </w:r>
            <w:r>
              <w:rPr>
                <w:rFonts w:ascii="Times New Roman" w:cs="Times New Roman" w:eastAsia="Times New Roman" w:hAnsi="Times New Roman"/>
                <w:sz w:val="29"/>
                <w:szCs w:val="29"/>
                <w:b w:val="1"/>
                <w:bCs w:val="1"/>
                <w:color w:val="auto"/>
                <w:vertAlign w:val="superscript"/>
              </w:rPr>
              <w:t>(2)</w:t>
            </w:r>
          </w:p>
        </w:tc>
        <w:tc>
          <w:tcPr>
            <w:tcW w:w="1340" w:type="dxa"/>
            <w:vAlign w:val="bottom"/>
            <w:gridSpan w:val="2"/>
          </w:tcPr>
          <w:p>
            <w:pPr>
              <w:jc w:val="center"/>
              <w:ind w:right="120"/>
              <w:spacing w:after="0" w:line="276" w:lineRule="exact"/>
              <w:rPr>
                <w:sz w:val="20"/>
                <w:szCs w:val="20"/>
                <w:color w:val="auto"/>
              </w:rPr>
            </w:pPr>
            <w:r>
              <w:rPr>
                <w:rFonts w:ascii="Times New Roman" w:cs="Times New Roman" w:eastAsia="Times New Roman" w:hAnsi="Times New Roman"/>
                <w:sz w:val="18"/>
                <w:szCs w:val="18"/>
                <w:b w:val="1"/>
                <w:bCs w:val="1"/>
                <w:color w:val="auto"/>
                <w:w w:val="92"/>
              </w:rPr>
              <w:t>Average)</w:t>
            </w:r>
            <w:r>
              <w:rPr>
                <w:rFonts w:ascii="Times New Roman" w:cs="Times New Roman" w:eastAsia="Times New Roman" w:hAnsi="Times New Roman"/>
                <w:sz w:val="29"/>
                <w:szCs w:val="29"/>
                <w:b w:val="1"/>
                <w:bCs w:val="1"/>
                <w:color w:val="auto"/>
                <w:w w:val="92"/>
                <w:vertAlign w:val="superscript"/>
              </w:rPr>
              <w:t>(3)</w:t>
            </w:r>
          </w:p>
        </w:tc>
        <w:tc>
          <w:tcPr>
            <w:tcW w:w="0" w:type="dxa"/>
            <w:vAlign w:val="bottom"/>
          </w:tcPr>
          <w:p>
            <w:pPr>
              <w:spacing w:after="0"/>
              <w:rPr>
                <w:sz w:val="1"/>
                <w:szCs w:val="1"/>
                <w:color w:val="auto"/>
              </w:rPr>
            </w:pPr>
          </w:p>
        </w:tc>
      </w:tr>
      <w:tr>
        <w:trPr>
          <w:trHeight w:val="198"/>
        </w:trPr>
        <w:tc>
          <w:tcPr>
            <w:tcW w:w="3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1.01x - 9.86x</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in private companies</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34,964,456</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Market approach</w:t>
            </w:r>
          </w:p>
        </w:tc>
        <w:tc>
          <w:tcPr>
            <w:tcW w:w="2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Revenue multiples</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(8.22x)</w:t>
            </w:r>
          </w:p>
        </w:tc>
        <w:tc>
          <w:tcPr>
            <w:tcW w:w="0" w:type="dxa"/>
            <w:vAlign w:val="bottom"/>
          </w:tcPr>
          <w:p>
            <w:pPr>
              <w:spacing w:after="0"/>
              <w:rPr>
                <w:sz w:val="1"/>
                <w:szCs w:val="1"/>
                <w:color w:val="auto"/>
              </w:rPr>
            </w:pPr>
          </w:p>
        </w:tc>
      </w:tr>
      <w:tr>
        <w:trPr>
          <w:trHeight w:val="257"/>
        </w:trPr>
        <w:tc>
          <w:tcPr>
            <w:tcW w:w="3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center"/>
              <w:ind w:right="200"/>
              <w:spacing w:after="0" w:line="256" w:lineRule="exact"/>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(5)</w:t>
            </w:r>
          </w:p>
        </w:tc>
        <w:tc>
          <w:tcPr>
            <w:tcW w:w="2220" w:type="dxa"/>
            <w:vAlign w:val="bottom"/>
            <w:gridSpan w:val="2"/>
            <w:shd w:val="clear" w:color="auto" w:fill="CCEEFF"/>
          </w:tcPr>
          <w:p>
            <w:pPr>
              <w:jc w:val="center"/>
              <w:ind w:right="220"/>
              <w:spacing w:after="0" w:line="256" w:lineRule="exact"/>
              <w:rPr>
                <w:sz w:val="20"/>
                <w:szCs w:val="20"/>
                <w:color w:val="auto"/>
              </w:rPr>
            </w:pPr>
            <w:r>
              <w:rPr>
                <w:rFonts w:ascii="Times New Roman" w:cs="Times New Roman" w:eastAsia="Times New Roman" w:hAnsi="Times New Roman"/>
                <w:sz w:val="18"/>
                <w:szCs w:val="18"/>
                <w:color w:val="auto"/>
                <w:w w:val="96"/>
              </w:rPr>
              <w:t>AFFO</w:t>
            </w:r>
            <w:r>
              <w:rPr>
                <w:rFonts w:ascii="Times New Roman" w:cs="Times New Roman" w:eastAsia="Times New Roman" w:hAnsi="Times New Roman"/>
                <w:sz w:val="29"/>
                <w:szCs w:val="29"/>
                <w:color w:val="auto"/>
                <w:w w:val="96"/>
                <w:vertAlign w:val="superscript"/>
              </w:rPr>
              <w:t>(4)</w:t>
            </w:r>
            <w:r>
              <w:rPr>
                <w:rFonts w:ascii="Times New Roman" w:cs="Times New Roman" w:eastAsia="Times New Roman" w:hAnsi="Times New Roman"/>
                <w:sz w:val="18"/>
                <w:szCs w:val="18"/>
                <w:color w:val="auto"/>
                <w:w w:val="96"/>
              </w:rPr>
              <w:t xml:space="preserve"> multiple</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9.86x</w:t>
            </w:r>
          </w:p>
        </w:tc>
        <w:tc>
          <w:tcPr>
            <w:tcW w:w="0" w:type="dxa"/>
            <w:vAlign w:val="bottom"/>
          </w:tcPr>
          <w:p>
            <w:pPr>
              <w:spacing w:after="0"/>
              <w:rPr>
                <w:sz w:val="1"/>
                <w:szCs w:val="1"/>
                <w:color w:val="auto"/>
              </w:rPr>
            </w:pPr>
          </w:p>
        </w:tc>
      </w:tr>
      <w:tr>
        <w:trPr>
          <w:trHeight w:val="198"/>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0.39x - 7.99x</w:t>
            </w:r>
          </w:p>
        </w:tc>
        <w:tc>
          <w:tcPr>
            <w:tcW w:w="0" w:type="dxa"/>
            <w:vAlign w:val="bottom"/>
          </w:tcPr>
          <w:p>
            <w:pPr>
              <w:spacing w:after="0"/>
              <w:rPr>
                <w:sz w:val="1"/>
                <w:szCs w:val="1"/>
                <w:color w:val="auto"/>
              </w:rPr>
            </w:pP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Preferred stock in private companies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Market approach</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Revenue multiples</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(2.36x)</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112,693,622</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Discount rate</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15.0% (15.0%)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(5)</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Revenue multiples</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1.8x - 2.01x</w:t>
            </w: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40" w:type="dxa"/>
            <w:vAlign w:val="bottom"/>
            <w:gridSpan w:val="2"/>
            <w:vMerge w:val="continue"/>
          </w:tcPr>
          <w:p>
            <w:pPr>
              <w:spacing w:after="0"/>
              <w:rPr>
                <w:sz w:val="20"/>
                <w:szCs w:val="20"/>
                <w:color w:val="auto"/>
              </w:rPr>
            </w:pP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DLOM</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10.0% (10.0%)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Financing Risk</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75.0% (75.0%)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0.39x - 5.24x</w:t>
            </w: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Debt investments</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4,141,191</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Market approach</w:t>
            </w:r>
          </w:p>
        </w:tc>
        <w:tc>
          <w:tcPr>
            <w:tcW w:w="2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Revenue multiples</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(3.34x)</w:t>
            </w:r>
          </w:p>
        </w:tc>
        <w:tc>
          <w:tcPr>
            <w:tcW w:w="0" w:type="dxa"/>
            <w:vAlign w:val="bottom"/>
          </w:tcPr>
          <w:p>
            <w:pPr>
              <w:spacing w:after="0"/>
              <w:rPr>
                <w:sz w:val="1"/>
                <w:szCs w:val="1"/>
                <w:color w:val="auto"/>
              </w:rPr>
            </w:pPr>
          </w:p>
        </w:tc>
      </w:tr>
      <w:tr>
        <w:trPr>
          <w:trHeight w:val="198"/>
        </w:trPr>
        <w:tc>
          <w:tcPr>
            <w:tcW w:w="3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Term to expiration</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1,753,883</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Option pricing model</w:t>
            </w:r>
          </w:p>
        </w:tc>
        <w:tc>
          <w:tcPr>
            <w:tcW w:w="2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6"/>
              </w:rPr>
              <w:t>(Years)</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0.75x - 5.04x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1431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18" w:lineRule="exact"/>
        <w:rPr>
          <w:sz w:val="20"/>
          <w:szCs w:val="20"/>
          <w:color w:val="auto"/>
        </w:rPr>
      </w:pPr>
    </w:p>
    <w:p>
      <w:pPr>
        <w:jc w:val="both"/>
        <w:ind w:left="660" w:hanging="652"/>
        <w:spacing w:after="0" w:line="253"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2023, the Board used a hybrid market and income approach to value certain common and preferred stock investments as the Board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5"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averages are calculated based on the fair market value of each investment.</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Funds From Operations, or “AFFO”.</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Probability-Weighted Expected Return Method, or “PWERM”.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Valuation</w:t>
            </w:r>
          </w:p>
        </w:tc>
        <w:tc>
          <w:tcPr>
            <w:tcW w:w="17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Range</w:t>
            </w:r>
          </w:p>
        </w:tc>
        <w:tc>
          <w:tcPr>
            <w:tcW w:w="0" w:type="dxa"/>
            <w:vAlign w:val="bottom"/>
          </w:tcPr>
          <w:p>
            <w:pPr>
              <w:spacing w:after="0"/>
              <w:rPr>
                <w:sz w:val="1"/>
                <w:szCs w:val="1"/>
                <w:color w:val="auto"/>
              </w:rPr>
            </w:pPr>
          </w:p>
        </w:tc>
      </w:tr>
      <w:tr>
        <w:trPr>
          <w:trHeight w:val="220"/>
        </w:trPr>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Approach/</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82"/>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20" w:type="dxa"/>
            <w:vAlign w:val="bottom"/>
            <w:gridSpan w:val="2"/>
          </w:tcPr>
          <w:p>
            <w:pPr>
              <w:jc w:val="center"/>
              <w:ind w:right="220"/>
              <w:spacing w:after="0" w:line="276" w:lineRule="exact"/>
              <w:rPr>
                <w:sz w:val="20"/>
                <w:szCs w:val="20"/>
                <w:color w:val="auto"/>
              </w:rPr>
            </w:pPr>
            <w:r>
              <w:rPr>
                <w:rFonts w:ascii="Times New Roman" w:cs="Times New Roman" w:eastAsia="Times New Roman" w:hAnsi="Times New Roman"/>
                <w:sz w:val="18"/>
                <w:szCs w:val="18"/>
                <w:b w:val="1"/>
                <w:bCs w:val="1"/>
                <w:color w:val="auto"/>
                <w:w w:val="92"/>
              </w:rPr>
              <w:t>Technique</w:t>
            </w:r>
            <w:r>
              <w:rPr>
                <w:rFonts w:ascii="Times New Roman" w:cs="Times New Roman" w:eastAsia="Times New Roman" w:hAnsi="Times New Roman"/>
                <w:sz w:val="29"/>
                <w:szCs w:val="29"/>
                <w:b w:val="1"/>
                <w:bCs w:val="1"/>
                <w:color w:val="auto"/>
                <w:w w:val="92"/>
                <w:vertAlign w:val="superscript"/>
              </w:rPr>
              <w:t>(1)</w:t>
            </w:r>
          </w:p>
        </w:tc>
        <w:tc>
          <w:tcPr>
            <w:tcW w:w="2000" w:type="dxa"/>
            <w:vAlign w:val="bottom"/>
            <w:gridSpan w:val="2"/>
          </w:tcPr>
          <w:p>
            <w:pPr>
              <w:jc w:val="center"/>
              <w:ind w:right="220"/>
              <w:spacing w:after="0" w:line="276" w:lineRule="exact"/>
              <w:rPr>
                <w:sz w:val="20"/>
                <w:szCs w:val="20"/>
                <w:color w:val="auto"/>
              </w:rPr>
            </w:pPr>
            <w:r>
              <w:rPr>
                <w:rFonts w:ascii="Times New Roman" w:cs="Times New Roman" w:eastAsia="Times New Roman" w:hAnsi="Times New Roman"/>
                <w:sz w:val="18"/>
                <w:szCs w:val="18"/>
                <w:b w:val="1"/>
                <w:bCs w:val="1"/>
                <w:color w:val="auto"/>
                <w:w w:val="97"/>
              </w:rPr>
              <w:t>Unobservable Inputs</w:t>
            </w:r>
            <w:r>
              <w:rPr>
                <w:rFonts w:ascii="Times New Roman" w:cs="Times New Roman" w:eastAsia="Times New Roman" w:hAnsi="Times New Roman"/>
                <w:sz w:val="29"/>
                <w:szCs w:val="29"/>
                <w:b w:val="1"/>
                <w:bCs w:val="1"/>
                <w:color w:val="auto"/>
                <w:w w:val="97"/>
                <w:vertAlign w:val="superscript"/>
              </w:rPr>
              <w:t>(2)</w:t>
            </w:r>
          </w:p>
        </w:tc>
        <w:tc>
          <w:tcPr>
            <w:tcW w:w="134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2"/>
              </w:rPr>
              <w:t>Average)</w:t>
            </w:r>
            <w:r>
              <w:rPr>
                <w:rFonts w:ascii="Times New Roman" w:cs="Times New Roman" w:eastAsia="Times New Roman" w:hAnsi="Times New Roman"/>
                <w:sz w:val="29"/>
                <w:szCs w:val="29"/>
                <w:b w:val="1"/>
                <w:bCs w:val="1"/>
                <w:color w:val="auto"/>
                <w:w w:val="92"/>
                <w:vertAlign w:val="superscript"/>
              </w:rPr>
              <w:t>(3)</w:t>
            </w:r>
          </w:p>
        </w:tc>
        <w:tc>
          <w:tcPr>
            <w:tcW w:w="0" w:type="dxa"/>
            <w:vAlign w:val="bottom"/>
          </w:tcPr>
          <w:p>
            <w:pPr>
              <w:spacing w:after="0"/>
              <w:rPr>
                <w:sz w:val="1"/>
                <w:szCs w:val="1"/>
                <w:color w:val="auto"/>
              </w:rPr>
            </w:pPr>
          </w:p>
        </w:tc>
      </w:tr>
      <w:tr>
        <w:trPr>
          <w:trHeight w:val="198"/>
        </w:trPr>
        <w:tc>
          <w:tcPr>
            <w:tcW w:w="4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1.06x - 4.42x</w:t>
            </w:r>
          </w:p>
        </w:tc>
        <w:tc>
          <w:tcPr>
            <w:tcW w:w="0" w:type="dxa"/>
            <w:vAlign w:val="bottom"/>
          </w:tcPr>
          <w:p>
            <w:pPr>
              <w:spacing w:after="0"/>
              <w:rPr>
                <w:sz w:val="1"/>
                <w:szCs w:val="1"/>
                <w:color w:val="auto"/>
              </w:rPr>
            </w:pPr>
          </w:p>
        </w:tc>
      </w:tr>
      <w:tr>
        <w:trPr>
          <w:trHeight w:val="261"/>
        </w:trPr>
        <w:tc>
          <w:tcPr>
            <w:tcW w:w="4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in private companies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18,692,931</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Market approach</w:t>
            </w:r>
          </w:p>
        </w:tc>
        <w:tc>
          <w:tcPr>
            <w:tcW w:w="2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(1.74x)</w:t>
            </w:r>
          </w:p>
        </w:tc>
        <w:tc>
          <w:tcPr>
            <w:tcW w:w="0" w:type="dxa"/>
            <w:vAlign w:val="bottom"/>
          </w:tcPr>
          <w:p>
            <w:pPr>
              <w:spacing w:after="0"/>
              <w:rPr>
                <w:sz w:val="1"/>
                <w:szCs w:val="1"/>
                <w:color w:val="auto"/>
              </w:rPr>
            </w:pPr>
          </w:p>
        </w:tc>
      </w:tr>
      <w:tr>
        <w:trPr>
          <w:trHeight w:val="234"/>
        </w:trPr>
        <w:tc>
          <w:tcPr>
            <w:tcW w:w="4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Liquidation Value</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(5)</w:t>
            </w:r>
          </w:p>
        </w:tc>
        <w:tc>
          <w:tcPr>
            <w:tcW w:w="200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4"/>
              </w:rPr>
              <w:t>AFFO</w:t>
            </w:r>
            <w:r>
              <w:rPr>
                <w:rFonts w:ascii="Times New Roman" w:cs="Times New Roman" w:eastAsia="Times New Roman" w:hAnsi="Times New Roman"/>
                <w:sz w:val="29"/>
                <w:szCs w:val="29"/>
                <w:color w:val="auto"/>
                <w:w w:val="94"/>
                <w:vertAlign w:val="superscript"/>
              </w:rPr>
              <w:t>(4)</w:t>
            </w:r>
            <w:r>
              <w:rPr>
                <w:rFonts w:ascii="Times New Roman" w:cs="Times New Roman" w:eastAsia="Times New Roman" w:hAnsi="Times New Roman"/>
                <w:sz w:val="18"/>
                <w:szCs w:val="18"/>
                <w:color w:val="auto"/>
                <w:w w:val="94"/>
              </w:rPr>
              <w:t xml:space="preserve"> multiple</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8.62x -12.62x</w:t>
            </w:r>
          </w:p>
        </w:tc>
        <w:tc>
          <w:tcPr>
            <w:tcW w:w="0" w:type="dxa"/>
            <w:vAlign w:val="bottom"/>
          </w:tcPr>
          <w:p>
            <w:pPr>
              <w:spacing w:after="0"/>
              <w:rPr>
                <w:sz w:val="1"/>
                <w:szCs w:val="1"/>
                <w:color w:val="auto"/>
              </w:rPr>
            </w:pPr>
          </w:p>
        </w:tc>
      </w:tr>
      <w:tr>
        <w:trPr>
          <w:trHeight w:val="261"/>
        </w:trPr>
        <w:tc>
          <w:tcPr>
            <w:tcW w:w="40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20" w:type="dxa"/>
            <w:vAlign w:val="bottom"/>
            <w:gridSpan w:val="2"/>
            <w:vMerge w:val="continue"/>
            <w:shd w:val="clear" w:color="auto" w:fill="CCEEFF"/>
          </w:tcPr>
          <w:p>
            <w:pPr>
              <w:spacing w:after="0"/>
              <w:rPr>
                <w:sz w:val="22"/>
                <w:szCs w:val="22"/>
                <w:color w:val="auto"/>
              </w:rPr>
            </w:pPr>
          </w:p>
        </w:tc>
        <w:tc>
          <w:tcPr>
            <w:tcW w:w="2000" w:type="dxa"/>
            <w:vAlign w:val="bottom"/>
            <w:gridSpan w:val="2"/>
            <w:vMerge w:val="continue"/>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(10.94x)</w:t>
            </w:r>
          </w:p>
        </w:tc>
        <w:tc>
          <w:tcPr>
            <w:tcW w:w="0" w:type="dxa"/>
            <w:vAlign w:val="bottom"/>
          </w:tcPr>
          <w:p>
            <w:pPr>
              <w:spacing w:after="0"/>
              <w:rPr>
                <w:sz w:val="1"/>
                <w:szCs w:val="1"/>
                <w:color w:val="auto"/>
              </w:rPr>
            </w:pPr>
          </w:p>
        </w:tc>
      </w:tr>
      <w:tr>
        <w:trPr>
          <w:trHeight w:val="198"/>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0.47x - 5.45x</w:t>
            </w:r>
          </w:p>
        </w:tc>
        <w:tc>
          <w:tcPr>
            <w:tcW w:w="0" w:type="dxa"/>
            <w:vAlign w:val="bottom"/>
          </w:tcPr>
          <w:p>
            <w:pPr>
              <w:spacing w:after="0"/>
              <w:rPr>
                <w:sz w:val="1"/>
                <w:szCs w:val="1"/>
                <w:color w:val="auto"/>
              </w:rPr>
            </w:pPr>
          </w:p>
        </w:tc>
      </w:tr>
      <w:tr>
        <w:trPr>
          <w:trHeight w:val="257"/>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Preferred stock in private companies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117,214,465</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Market approach</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(2.38x)</w:t>
            </w: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Liquidation Value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Discount 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 (15.0%)</w:t>
            </w:r>
          </w:p>
        </w:tc>
        <w:tc>
          <w:tcPr>
            <w:tcW w:w="0" w:type="dxa"/>
            <w:vAlign w:val="bottom"/>
          </w:tcPr>
          <w:p>
            <w:pPr>
              <w:spacing w:after="0"/>
              <w:rPr>
                <w:sz w:val="1"/>
                <w:szCs w:val="1"/>
                <w:color w:val="auto"/>
              </w:rPr>
            </w:pPr>
          </w:p>
        </w:tc>
      </w:tr>
      <w:tr>
        <w:trPr>
          <w:trHeight w:val="306"/>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gridSpan w:val="2"/>
          </w:tcPr>
          <w:p>
            <w:pPr>
              <w:jc w:val="center"/>
              <w:ind w:right="220"/>
              <w:spacing w:after="0" w:line="305" w:lineRule="exact"/>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(5)</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1.17x - 1.26x</w:t>
            </w: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DLOM</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(10.0%)</w:t>
            </w: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Financing Risk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(10.0%)</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0.47x - 5.45x</w:t>
            </w:r>
          </w:p>
        </w:tc>
        <w:tc>
          <w:tcPr>
            <w:tcW w:w="0" w:type="dxa"/>
            <w:vAlign w:val="bottom"/>
          </w:tcPr>
          <w:p>
            <w:pPr>
              <w:spacing w:after="0"/>
              <w:rPr>
                <w:sz w:val="1"/>
                <w:szCs w:val="1"/>
                <w:color w:val="auto"/>
              </w:rPr>
            </w:pPr>
          </w:p>
        </w:tc>
      </w:tr>
      <w:tr>
        <w:trPr>
          <w:trHeight w:val="261"/>
        </w:trPr>
        <w:tc>
          <w:tcPr>
            <w:tcW w:w="4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Debt investments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4,488,200</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Market approach</w:t>
            </w:r>
          </w:p>
        </w:tc>
        <w:tc>
          <w:tcPr>
            <w:tcW w:w="2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(3.6x)</w:t>
            </w:r>
          </w:p>
        </w:tc>
        <w:tc>
          <w:tcPr>
            <w:tcW w:w="0" w:type="dxa"/>
            <w:vAlign w:val="bottom"/>
          </w:tcPr>
          <w:p>
            <w:pPr>
              <w:spacing w:after="0"/>
              <w:rPr>
                <w:sz w:val="1"/>
                <w:szCs w:val="1"/>
                <w:color w:val="auto"/>
              </w:rPr>
            </w:pPr>
          </w:p>
        </w:tc>
      </w:tr>
      <w:tr>
        <w:trPr>
          <w:trHeight w:val="198"/>
        </w:trPr>
        <w:tc>
          <w:tcPr>
            <w:tcW w:w="4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Term to expiration</w:t>
            </w:r>
          </w:p>
        </w:tc>
        <w:tc>
          <w:tcPr>
            <w:tcW w:w="13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1.00x - 5.29x</w:t>
            </w:r>
          </w:p>
        </w:tc>
        <w:tc>
          <w:tcPr>
            <w:tcW w:w="0" w:type="dxa"/>
            <w:vAlign w:val="bottom"/>
          </w:tcPr>
          <w:p>
            <w:pPr>
              <w:spacing w:after="0"/>
              <w:rPr>
                <w:sz w:val="1"/>
                <w:szCs w:val="1"/>
                <w:color w:val="auto"/>
              </w:rPr>
            </w:pPr>
          </w:p>
        </w:tc>
      </w:tr>
      <w:tr>
        <w:trPr>
          <w:trHeight w:val="261"/>
        </w:trPr>
        <w:tc>
          <w:tcPr>
            <w:tcW w:w="4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3,469,497</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Option pricing model</w:t>
            </w:r>
          </w:p>
        </w:tc>
        <w:tc>
          <w:tcPr>
            <w:tcW w:w="2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(Years)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(1.65x)</w:t>
            </w:r>
          </w:p>
        </w:tc>
        <w:tc>
          <w:tcPr>
            <w:tcW w:w="0" w:type="dxa"/>
            <w:vAlign w:val="bottom"/>
          </w:tcPr>
          <w:p>
            <w:pPr>
              <w:spacing w:after="0"/>
              <w:rPr>
                <w:sz w:val="1"/>
                <w:szCs w:val="1"/>
                <w:color w:val="auto"/>
              </w:rPr>
            </w:pPr>
          </w:p>
        </w:tc>
      </w:tr>
      <w:tr>
        <w:trPr>
          <w:trHeight w:val="234"/>
        </w:trPr>
        <w:tc>
          <w:tcPr>
            <w:tcW w:w="4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2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Discount Rate</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 (15.0%)</w:t>
            </w:r>
          </w:p>
        </w:tc>
        <w:tc>
          <w:tcPr>
            <w:tcW w:w="0" w:type="dxa"/>
            <w:vAlign w:val="bottom"/>
          </w:tcPr>
          <w:p>
            <w:pPr>
              <w:spacing w:after="0"/>
              <w:rPr>
                <w:sz w:val="1"/>
                <w:szCs w:val="1"/>
                <w:color w:val="auto"/>
              </w:rPr>
            </w:pPr>
          </w:p>
        </w:tc>
      </w:tr>
      <w:tr>
        <w:trPr>
          <w:trHeight w:val="22"/>
        </w:trPr>
        <w:tc>
          <w:tcPr>
            <w:tcW w:w="40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21431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53" w:lineRule="exact"/>
        <w:rPr>
          <w:sz w:val="20"/>
          <w:szCs w:val="20"/>
          <w:color w:val="auto"/>
        </w:rPr>
      </w:pPr>
    </w:p>
    <w:p>
      <w:pPr>
        <w:jc w:val="both"/>
        <w:ind w:left="660" w:hanging="652"/>
        <w:spacing w:after="0" w:line="253"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Board used a hybrid market and income approach to value certain common and preferred stock investments as the Board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5"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averages are calculated based on the fair market value of each investment.</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Funds From Operations, or “AFFO”.</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Probability-Weighted Expected Return Method, or “PWERM”.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values of Level 3 assets and liabilities changed during the three months ended March 31, 2023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gridSpan w:val="9"/>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Preferred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700"/>
              <w:spacing w:after="0" w:line="194" w:lineRule="exact"/>
              <w:rPr>
                <w:sz w:val="20"/>
                <w:szCs w:val="20"/>
                <w:color w:val="auto"/>
              </w:rPr>
            </w:pPr>
            <w:r>
              <w:rPr>
                <w:rFonts w:ascii="Times New Roman" w:cs="Times New Roman" w:eastAsia="Times New Roman" w:hAnsi="Times New Roman"/>
                <w:sz w:val="18"/>
                <w:szCs w:val="18"/>
                <w:b w:val="1"/>
                <w:bCs w:val="1"/>
                <w:color w:val="auto"/>
              </w:rPr>
              <w:t>Debt</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60" w:type="dxa"/>
            <w:vAlign w:val="bottom"/>
          </w:tcPr>
          <w:p>
            <w:pPr>
              <w:spacing w:after="0"/>
              <w:rPr>
                <w:sz w:val="21"/>
                <w:szCs w:val="21"/>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21"/>
                <w:szCs w:val="21"/>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December 31, 2022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18,692,931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117,214,465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4,488,200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3,469,497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143,865,093</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capitalized fees and interest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2,003,698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2,003,698</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Sales/Maturity of investments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(250,000)</w:t>
            </w:r>
          </w:p>
        </w:tc>
      </w:tr>
      <w:tr>
        <w:trPr>
          <w:trHeight w:val="257"/>
        </w:trPr>
        <w:tc>
          <w:tcPr>
            <w:tcW w:w="40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Exercises and conversions</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3,751,518</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(3,249,855)</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(501,663)</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gains/(losses)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1,330,000</w:t>
            </w:r>
          </w:p>
        </w:tc>
      </w:tr>
      <w:tr>
        <w:trPr>
          <w:trHeight w:val="198"/>
        </w:trPr>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change in unrealized appreciation/(depreciation)</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in earnings</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11,190,007</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(3,274,686)</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(97,009)</w:t>
            </w: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(1,213,951)</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6,604,361</w:t>
            </w:r>
          </w:p>
        </w:tc>
      </w:tr>
      <w:tr>
        <w:trPr>
          <w:trHeight w:val="257"/>
        </w:trPr>
        <w:tc>
          <w:tcPr>
            <w:tcW w:w="404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as of March 31, 2023</w:t>
            </w:r>
          </w:p>
        </w:tc>
        <w:tc>
          <w:tcPr>
            <w:tcW w:w="1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34,964,456</w:t>
            </w:r>
          </w:p>
        </w:tc>
        <w:tc>
          <w:tcPr>
            <w:tcW w:w="16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112,693,622</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4,141,191</w:t>
            </w:r>
          </w:p>
        </w:tc>
        <w:tc>
          <w:tcPr>
            <w:tcW w:w="3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1,753,883</w:t>
            </w:r>
          </w:p>
        </w:tc>
        <w:tc>
          <w:tcPr>
            <w:tcW w:w="3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153,553,152</w:t>
            </w:r>
          </w:p>
        </w:tc>
        <w:tc>
          <w:tcPr>
            <w:tcW w:w="100" w:type="dxa"/>
            <w:vAlign w:val="bottom"/>
            <w:tcBorders>
              <w:top w:val="single" w:sz="8" w:color="CCEEFF"/>
              <w:bottom w:val="single" w:sz="8" w:color="CCEEFF"/>
            </w:tcBorders>
          </w:tcPr>
          <w:p>
            <w:pPr>
              <w:spacing w:after="0"/>
              <w:rPr>
                <w:sz w:val="22"/>
                <w:szCs w:val="22"/>
                <w:color w:val="auto"/>
              </w:rPr>
            </w:pPr>
          </w:p>
        </w:tc>
      </w:tr>
      <w:tr>
        <w:trPr>
          <w:trHeight w:val="151"/>
        </w:trPr>
        <w:tc>
          <w:tcPr>
            <w:tcW w:w="40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Net change in unrealized appreciation/ (depreciation)</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61"/>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Level 3 investments still held as of March 31, 2023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11,190,007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(3,274,686)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(97,009)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(1,215,614)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6,602,698</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2023</w:t>
      </w:r>
      <w:r>
        <w:rPr>
          <w:rFonts w:ascii="Times New Roman" w:cs="Times New Roman" w:eastAsia="Times New Roman" w:hAnsi="Times New Roman"/>
          <w:sz w:val="16"/>
          <w:szCs w:val="16"/>
          <w:color w:val="auto"/>
        </w:rPr>
        <w:t>, the Company’s portfolio investments had the following corporate actions which are reflected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40" w:type="dxa"/>
            <w:vAlign w:val="bottom"/>
            <w:tcBorders>
              <w:bottom w:val="single" w:sz="8" w:color="CCEEFF"/>
            </w:tcBorders>
          </w:tcPr>
          <w:p>
            <w:pPr>
              <w:spacing w:after="0"/>
              <w:rPr>
                <w:sz w:val="23"/>
                <w:szCs w:val="23"/>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Conversion from</w:t>
            </w:r>
          </w:p>
        </w:tc>
        <w:tc>
          <w:tcPr>
            <w:tcW w:w="220" w:type="dxa"/>
            <w:vAlign w:val="bottom"/>
            <w:tcBorders>
              <w:bottom w:val="single" w:sz="8" w:color="CCEEFF"/>
            </w:tcBorders>
          </w:tcPr>
          <w:p>
            <w:pPr>
              <w:spacing w:after="0"/>
              <w:rPr>
                <w:sz w:val="23"/>
                <w:szCs w:val="23"/>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Conversion to</w:t>
            </w:r>
          </w:p>
        </w:tc>
        <w:tc>
          <w:tcPr>
            <w:tcW w:w="0" w:type="dxa"/>
            <w:vAlign w:val="bottom"/>
          </w:tcPr>
          <w:p>
            <w:pPr>
              <w:spacing w:after="0"/>
              <w:rPr>
                <w:sz w:val="1"/>
                <w:szCs w:val="1"/>
                <w:color w:val="auto"/>
              </w:rPr>
            </w:pPr>
          </w:p>
        </w:tc>
      </w:tr>
      <w:tr>
        <w:trPr>
          <w:trHeight w:val="191"/>
        </w:trPr>
        <w:tc>
          <w:tcPr>
            <w:tcW w:w="3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58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Preferred shares, Series D</w:t>
            </w:r>
          </w:p>
        </w:tc>
        <w:tc>
          <w:tcPr>
            <w:tcW w:w="404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Senior Preferred shares, Series 1</w:t>
            </w:r>
          </w:p>
        </w:tc>
        <w:tc>
          <w:tcPr>
            <w:tcW w:w="0" w:type="dxa"/>
            <w:vAlign w:val="bottom"/>
          </w:tcPr>
          <w:p>
            <w:pPr>
              <w:spacing w:after="0"/>
              <w:rPr>
                <w:sz w:val="1"/>
                <w:szCs w:val="1"/>
                <w:color w:val="auto"/>
              </w:rPr>
            </w:pPr>
          </w:p>
        </w:tc>
      </w:tr>
      <w:tr>
        <w:trPr>
          <w:trHeight w:val="108"/>
        </w:trPr>
        <w:tc>
          <w:tcPr>
            <w:tcW w:w="3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Orchard Technologies, Inc.</w:t>
            </w:r>
          </w:p>
        </w:tc>
        <w:tc>
          <w:tcPr>
            <w:tcW w:w="3580" w:type="dxa"/>
            <w:vAlign w:val="bottom"/>
            <w:gridSpan w:val="2"/>
            <w:vMerge w:val="continue"/>
            <w:shd w:val="clear" w:color="auto" w:fill="CCEEFF"/>
          </w:tcPr>
          <w:p>
            <w:pPr>
              <w:spacing w:after="0"/>
              <w:rPr>
                <w:sz w:val="9"/>
                <w:szCs w:val="9"/>
                <w:color w:val="auto"/>
              </w:rPr>
            </w:pPr>
          </w:p>
        </w:tc>
        <w:tc>
          <w:tcPr>
            <w:tcW w:w="4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Senior Preferred shares, Series 2</w:t>
            </w:r>
          </w:p>
        </w:tc>
        <w:tc>
          <w:tcPr>
            <w:tcW w:w="0" w:type="dxa"/>
            <w:vAlign w:val="bottom"/>
          </w:tcPr>
          <w:p>
            <w:pPr>
              <w:spacing w:after="0"/>
              <w:rPr>
                <w:sz w:val="1"/>
                <w:szCs w:val="1"/>
                <w:color w:val="auto"/>
              </w:rPr>
            </w:pPr>
          </w:p>
        </w:tc>
      </w:tr>
      <w:tr>
        <w:trPr>
          <w:trHeight w:val="108"/>
        </w:trPr>
        <w:tc>
          <w:tcPr>
            <w:tcW w:w="3620" w:type="dxa"/>
            <w:vAlign w:val="bottom"/>
            <w:gridSpan w:val="2"/>
            <w:vMerge w:val="continue"/>
            <w:shd w:val="clear" w:color="auto" w:fill="CCEEFF"/>
          </w:tcPr>
          <w:p>
            <w:pPr>
              <w:spacing w:after="0"/>
              <w:rPr>
                <w:sz w:val="9"/>
                <w:szCs w:val="9"/>
                <w:color w:val="auto"/>
              </w:rPr>
            </w:pPr>
          </w:p>
        </w:tc>
        <w:tc>
          <w:tcPr>
            <w:tcW w:w="358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Simple Agreement for Future Equity</w:t>
            </w:r>
          </w:p>
        </w:tc>
        <w:tc>
          <w:tcPr>
            <w:tcW w:w="40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580" w:type="dxa"/>
            <w:vAlign w:val="bottom"/>
            <w:gridSpan w:val="2"/>
            <w:vMerge w:val="continue"/>
            <w:shd w:val="clear" w:color="auto" w:fill="CCEEFF"/>
          </w:tcPr>
          <w:p>
            <w:pPr>
              <w:spacing w:after="0"/>
              <w:rPr>
                <w:sz w:val="10"/>
                <w:szCs w:val="10"/>
                <w:color w:val="auto"/>
              </w:rPr>
            </w:pPr>
          </w:p>
        </w:tc>
        <w:tc>
          <w:tcPr>
            <w:tcW w:w="4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Shares</w:t>
            </w:r>
          </w:p>
        </w:tc>
        <w:tc>
          <w:tcPr>
            <w:tcW w:w="0" w:type="dxa"/>
            <w:vAlign w:val="bottom"/>
          </w:tcPr>
          <w:p>
            <w:pPr>
              <w:spacing w:after="0"/>
              <w:rPr>
                <w:sz w:val="1"/>
                <w:szCs w:val="1"/>
                <w:color w:val="auto"/>
              </w:rPr>
            </w:pPr>
          </w:p>
        </w:tc>
      </w:tr>
      <w:tr>
        <w:trPr>
          <w:trHeight w:val="108"/>
        </w:trPr>
        <w:tc>
          <w:tcPr>
            <w:tcW w:w="33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1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aggregate values of Level 3 assets and liabilities changed during the year ended December 31, 2022 as follows:</w:t>
            </w: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gridSpan w:val="9"/>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Preferred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700"/>
              <w:spacing w:after="0" w:line="194" w:lineRule="exact"/>
              <w:rPr>
                <w:sz w:val="20"/>
                <w:szCs w:val="20"/>
                <w:color w:val="auto"/>
              </w:rPr>
            </w:pPr>
            <w:r>
              <w:rPr>
                <w:rFonts w:ascii="Times New Roman" w:cs="Times New Roman" w:eastAsia="Times New Roman" w:hAnsi="Times New Roman"/>
                <w:sz w:val="18"/>
                <w:szCs w:val="18"/>
                <w:b w:val="1"/>
                <w:bCs w:val="1"/>
                <w:color w:val="auto"/>
              </w:rPr>
              <w:t>Debt</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60" w:type="dxa"/>
            <w:vAlign w:val="bottom"/>
          </w:tcPr>
          <w:p>
            <w:pPr>
              <w:spacing w:after="0"/>
              <w:rPr>
                <w:sz w:val="21"/>
                <w:szCs w:val="21"/>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21"/>
                <w:szCs w:val="21"/>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42,860,156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163,801,798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3,011,438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4,959,112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214,632,504</w:t>
            </w:r>
          </w:p>
        </w:tc>
      </w:tr>
      <w:tr>
        <w:trPr>
          <w:trHeight w:val="257"/>
        </w:trPr>
        <w:tc>
          <w:tcPr>
            <w:tcW w:w="4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Transfers out of Level 3</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(6,918,251)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(1,775,506)</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(48,639)</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(8,742,396)</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Purchases, capitalized fees and interest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20,767,788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1,509,093</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503,183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22,780,064</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Sales/Maturity of investments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(874,470)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(1,874,470)</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gains/(losses)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160,965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(70,379)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90,586</w:t>
            </w:r>
          </w:p>
        </w:tc>
      </w:tr>
      <w:tr>
        <w:trPr>
          <w:trHeight w:val="198"/>
        </w:trPr>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change in unrealized appreciation/(depreciation)</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in earnings</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(16,535,469)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(65,579,615)</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967,669</w:t>
            </w: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(1,873,780)</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(83,021,195)</w:t>
            </w:r>
          </w:p>
        </w:tc>
      </w:tr>
      <w:tr>
        <w:trPr>
          <w:trHeight w:val="257"/>
        </w:trPr>
        <w:tc>
          <w:tcPr>
            <w:tcW w:w="40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as of December 31, 2022</w:t>
            </w: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18,692,931</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117,214,465</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4,488,200</w:t>
            </w:r>
          </w:p>
        </w:tc>
        <w:tc>
          <w:tcPr>
            <w:tcW w:w="3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3,469,497</w:t>
            </w:r>
          </w:p>
        </w:tc>
        <w:tc>
          <w:tcPr>
            <w:tcW w:w="3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143,865,093</w:t>
            </w:r>
          </w:p>
        </w:tc>
        <w:tc>
          <w:tcPr>
            <w:tcW w:w="100" w:type="dxa"/>
            <w:vAlign w:val="bottom"/>
            <w:tcBorders>
              <w:top w:val="single" w:sz="8" w:color="CCEEFF"/>
              <w:bottom w:val="single" w:sz="8" w:color="CCEEFF"/>
            </w:tcBorders>
          </w:tcPr>
          <w:p>
            <w:pPr>
              <w:spacing w:after="0"/>
              <w:rPr>
                <w:sz w:val="22"/>
                <w:szCs w:val="22"/>
                <w:color w:val="auto"/>
              </w:rPr>
            </w:pPr>
          </w:p>
        </w:tc>
      </w:tr>
      <w:tr>
        <w:trPr>
          <w:trHeight w:val="151"/>
        </w:trPr>
        <w:tc>
          <w:tcPr>
            <w:tcW w:w="40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Net change in unrealized appreciation/ (depreciation)</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Level 3 investments still held as of December 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(7,023,165)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(63,138,372)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967,669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(1,624,324)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(70,818,192)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14312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18"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2022, the Company’s portfolio investments had the following corporate actions which are reflected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3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Conversion from</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Conversion to</w:t>
            </w:r>
          </w:p>
        </w:tc>
        <w:tc>
          <w:tcPr>
            <w:tcW w:w="0" w:type="dxa"/>
            <w:vAlign w:val="bottom"/>
          </w:tcPr>
          <w:p>
            <w:pPr>
              <w:spacing w:after="0"/>
              <w:rPr>
                <w:sz w:val="1"/>
                <w:szCs w:val="1"/>
                <w:color w:val="auto"/>
              </w:rPr>
            </w:pPr>
          </w:p>
        </w:tc>
      </w:tr>
      <w:tr>
        <w:trPr>
          <w:trHeight w:val="191"/>
        </w:trPr>
        <w:tc>
          <w:tcPr>
            <w:tcW w:w="31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Shares, Class AA</w:t>
            </w:r>
          </w:p>
        </w:tc>
        <w:tc>
          <w:tcPr>
            <w:tcW w:w="220" w:type="dxa"/>
            <w:vAlign w:val="bottom"/>
            <w:tcBorders>
              <w:top w:val="single" w:sz="8" w:color="CCEEFF"/>
            </w:tcBorders>
            <w:shd w:val="clear" w:color="auto" w:fill="CCEEFF"/>
          </w:tcPr>
          <w:p>
            <w:pPr>
              <w:spacing w:after="0"/>
              <w:rPr>
                <w:sz w:val="16"/>
                <w:szCs w:val="16"/>
                <w:color w:val="auto"/>
              </w:rPr>
            </w:pPr>
          </w:p>
        </w:tc>
        <w:tc>
          <w:tcPr>
            <w:tcW w:w="40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Public Common shares (Level 2)</w:t>
            </w:r>
          </w:p>
        </w:tc>
        <w:tc>
          <w:tcPr>
            <w:tcW w:w="0" w:type="dxa"/>
            <w:vAlign w:val="bottom"/>
          </w:tcPr>
          <w:p>
            <w:pPr>
              <w:spacing w:after="0"/>
              <w:rPr>
                <w:sz w:val="1"/>
                <w:szCs w:val="1"/>
                <w:color w:val="auto"/>
              </w:rPr>
            </w:pPr>
          </w:p>
        </w:tc>
      </w:tr>
      <w:tr>
        <w:trPr>
          <w:trHeight w:val="216"/>
        </w:trPr>
        <w:tc>
          <w:tcPr>
            <w:tcW w:w="3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Forge Global, Inc.</w:t>
            </w:r>
          </w:p>
        </w:tc>
        <w:tc>
          <w:tcPr>
            <w:tcW w:w="3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Junior Preferred Shares</w:t>
            </w: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warrants, Strike Price $3.98, Expiration Date</w:t>
            </w:r>
          </w:p>
        </w:tc>
        <w:tc>
          <w:tcPr>
            <w:tcW w:w="0" w:type="dxa"/>
            <w:vAlign w:val="bottom"/>
          </w:tcPr>
          <w:p>
            <w:pPr>
              <w:spacing w:after="0"/>
              <w:rPr>
                <w:sz w:val="1"/>
                <w:szCs w:val="1"/>
                <w:color w:val="auto"/>
              </w:rPr>
            </w:pPr>
          </w:p>
        </w:tc>
      </w:tr>
      <w:tr>
        <w:trPr>
          <w:trHeight w:val="126"/>
        </w:trPr>
        <w:tc>
          <w:tcPr>
            <w:tcW w:w="3380" w:type="dxa"/>
            <w:vAlign w:val="bottom"/>
            <w:gridSpan w:val="2"/>
            <w:vMerge w:val="continue"/>
            <w:shd w:val="clear" w:color="auto" w:fill="CCEEFF"/>
          </w:tcPr>
          <w:p>
            <w:pPr>
              <w:spacing w:after="0"/>
              <w:rPr>
                <w:sz w:val="10"/>
                <w:szCs w:val="10"/>
                <w:color w:val="auto"/>
              </w:rPr>
            </w:pPr>
          </w:p>
        </w:tc>
        <w:tc>
          <w:tcPr>
            <w:tcW w:w="382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Junior Preferred Warrants, Strike Price $12.42,</w:t>
            </w:r>
          </w:p>
        </w:tc>
        <w:tc>
          <w:tcPr>
            <w:tcW w:w="4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11/9/2025 (Level 2)</w:t>
            </w:r>
          </w:p>
        </w:tc>
        <w:tc>
          <w:tcPr>
            <w:tcW w:w="0" w:type="dxa"/>
            <w:vAlign w:val="bottom"/>
          </w:tcPr>
          <w:p>
            <w:pPr>
              <w:spacing w:after="0"/>
              <w:rPr>
                <w:sz w:val="1"/>
                <w:szCs w:val="1"/>
                <w:color w:val="auto"/>
              </w:rPr>
            </w:pPr>
          </w:p>
        </w:tc>
      </w:tr>
      <w:tr>
        <w:trPr>
          <w:trHeight w:val="90"/>
        </w:trPr>
        <w:tc>
          <w:tcPr>
            <w:tcW w:w="3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20" w:type="dxa"/>
            <w:vAlign w:val="bottom"/>
            <w:gridSpan w:val="2"/>
            <w:vMerge w:val="continue"/>
            <w:shd w:val="clear" w:color="auto" w:fill="CCEEFF"/>
          </w:tcPr>
          <w:p>
            <w:pPr>
              <w:spacing w:after="0"/>
              <w:rPr>
                <w:sz w:val="7"/>
                <w:szCs w:val="7"/>
                <w:color w:val="auto"/>
              </w:rPr>
            </w:pPr>
          </w:p>
        </w:tc>
        <w:tc>
          <w:tcPr>
            <w:tcW w:w="40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Expiration Date 11/9/2025</w:t>
            </w:r>
          </w:p>
        </w:tc>
        <w:tc>
          <w:tcPr>
            <w:tcW w:w="4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-847725</wp:posOffset>
            </wp:positionV>
            <wp:extent cx="137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-847725</wp:posOffset>
            </wp:positionV>
            <wp:extent cx="1454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Transactions during the three months ended March 31, 2023 involving the Company’s controlled investments and non-controlled/affiliate investments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3"/>
                <w:szCs w:val="13"/>
                <w:color w:val="auto"/>
              </w:rPr>
            </w:pPr>
          </w:p>
        </w:tc>
        <w:tc>
          <w:tcPr>
            <w:tcW w:w="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Fees, or</w:t>
            </w: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Type/Industry/Portfolio Company/Investment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8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at March</w:t>
            </w: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0"/>
        </w:trPr>
        <w:tc>
          <w:tcPr>
            <w:tcW w:w="56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100" w:type="dxa"/>
            <w:vAlign w:val="bottom"/>
          </w:tcPr>
          <w:p>
            <w:pPr>
              <w:spacing w:after="0"/>
              <w:rPr>
                <w:sz w:val="15"/>
                <w:szCs w:val="15"/>
                <w:color w:val="auto"/>
              </w:rPr>
            </w:pPr>
          </w:p>
        </w:tc>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22"/>
        </w:trPr>
        <w:tc>
          <w:tcPr>
            <w:tcW w:w="2180" w:type="dxa"/>
            <w:vAlign w:val="bottom"/>
            <w:tcBorders>
              <w:top w:val="single" w:sz="8" w:color="auto"/>
              <w:bottom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CONTROLLED INVESTMENTS*</w:t>
            </w:r>
          </w:p>
        </w:tc>
        <w:tc>
          <w:tcPr>
            <w:tcW w:w="14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w w:val="93"/>
              </w:rPr>
              <w:t>(2)</w:t>
            </w:r>
          </w:p>
        </w:tc>
        <w:tc>
          <w:tcPr>
            <w:tcW w:w="1040" w:type="dxa"/>
            <w:vAlign w:val="bottom"/>
            <w:tcBorders>
              <w:top w:val="single" w:sz="8" w:color="auto"/>
              <w:bottom w:val="single" w:sz="8" w:color="auto"/>
            </w:tcBorders>
            <w:vMerge w:val="restart"/>
            <w:shd w:val="clear" w:color="auto" w:fill="CCEEFF"/>
          </w:tcPr>
          <w:p>
            <w:pPr>
              <w:spacing w:after="0"/>
              <w:rPr>
                <w:sz w:val="10"/>
                <w:szCs w:val="10"/>
                <w:color w:val="auto"/>
              </w:rPr>
            </w:pPr>
          </w:p>
        </w:tc>
        <w:tc>
          <w:tcPr>
            <w:tcW w:w="140" w:type="dxa"/>
            <w:vAlign w:val="bottom"/>
            <w:tcBorders>
              <w:top w:val="single" w:sz="8" w:color="auto"/>
              <w:bottom w:val="single" w:sz="8" w:color="auto"/>
            </w:tcBorders>
            <w:vMerge w:val="restart"/>
            <w:shd w:val="clear" w:color="auto" w:fill="CCEEFF"/>
          </w:tcPr>
          <w:p>
            <w:pPr>
              <w:spacing w:after="0"/>
              <w:rPr>
                <w:sz w:val="10"/>
                <w:szCs w:val="10"/>
                <w:color w:val="auto"/>
              </w:rPr>
            </w:pPr>
          </w:p>
        </w:tc>
        <w:tc>
          <w:tcPr>
            <w:tcW w:w="2100" w:type="dxa"/>
            <w:vAlign w:val="bottom"/>
            <w:tcBorders>
              <w:top w:val="single" w:sz="8" w:color="auto"/>
              <w:bottom w:val="single" w:sz="8" w:color="auto"/>
            </w:tcBorders>
            <w:vMerge w:val="restart"/>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180" w:type="dxa"/>
            <w:vAlign w:val="bottom"/>
            <w:tcBorders>
              <w:bottom w:val="single" w:sz="8" w:color="auto"/>
            </w:tcBorders>
            <w:vMerge w:val="continue"/>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04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10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right w:val="single" w:sz="8" w:color="CCEEFF"/>
            </w:tcBorders>
            <w:shd w:val="clear" w:color="auto" w:fill="CCEEFF"/>
          </w:tcPr>
          <w:p>
            <w:pPr>
              <w:spacing w:after="0"/>
              <w:rPr>
                <w:sz w:val="2"/>
                <w:szCs w:val="2"/>
                <w:color w:val="auto"/>
              </w:rPr>
            </w:pPr>
          </w:p>
        </w:tc>
        <w:tc>
          <w:tcPr>
            <w:tcW w:w="5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60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gridSpan w:val="5"/>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Special Purpose Acquisition Company</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600" w:type="dxa"/>
            <w:vAlign w:val="bottom"/>
            <w:gridSpan w:val="5"/>
          </w:tcPr>
          <w:p>
            <w:pPr>
              <w:ind w:left="360"/>
              <w:spacing w:after="0" w:line="189" w:lineRule="exact"/>
              <w:rPr>
                <w:sz w:val="20"/>
                <w:szCs w:val="20"/>
                <w:color w:val="auto"/>
              </w:rPr>
            </w:pPr>
            <w:r>
              <w:rPr>
                <w:rFonts w:ascii="Times New Roman" w:cs="Times New Roman" w:eastAsia="Times New Roman" w:hAnsi="Times New Roman"/>
                <w:sz w:val="13"/>
                <w:szCs w:val="13"/>
                <w:color w:val="auto"/>
              </w:rPr>
              <w:t>Colombier Sponsor LLC**–Class W Units</w:t>
            </w:r>
            <w:r>
              <w:rPr>
                <w:rFonts w:ascii="Times New Roman" w:cs="Times New Roman" w:eastAsia="Times New Roman" w:hAnsi="Times New Roman"/>
                <w:sz w:val="21"/>
                <w:szCs w:val="21"/>
                <w:color w:val="auto"/>
                <w:vertAlign w:val="superscript"/>
              </w:rPr>
              <w:t>(7)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2,700,000</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1,157,487</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(563,487)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594,000</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0.28%</w:t>
            </w:r>
          </w:p>
        </w:tc>
        <w:tc>
          <w:tcPr>
            <w:tcW w:w="0" w:type="dxa"/>
            <w:vAlign w:val="bottom"/>
          </w:tcPr>
          <w:p>
            <w:pPr>
              <w:spacing w:after="0"/>
              <w:rPr>
                <w:sz w:val="1"/>
                <w:szCs w:val="1"/>
                <w:color w:val="auto"/>
              </w:rPr>
            </w:pPr>
          </w:p>
        </w:tc>
      </w:tr>
      <w:tr>
        <w:trPr>
          <w:trHeight w:val="148"/>
        </w:trPr>
        <w:tc>
          <w:tcPr>
            <w:tcW w:w="56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Options</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1,157,487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(563,487)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594,000</w:t>
            </w:r>
          </w:p>
        </w:tc>
        <w:tc>
          <w:tcPr>
            <w:tcW w:w="9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0.28%</w:t>
            </w:r>
          </w:p>
        </w:tc>
        <w:tc>
          <w:tcPr>
            <w:tcW w:w="0" w:type="dxa"/>
            <w:vAlign w:val="bottom"/>
          </w:tcPr>
          <w:p>
            <w:pPr>
              <w:spacing w:after="0"/>
              <w:rPr>
                <w:sz w:val="1"/>
                <w:szCs w:val="1"/>
                <w:color w:val="auto"/>
              </w:rPr>
            </w:pPr>
          </w:p>
        </w:tc>
      </w:tr>
      <w:tr>
        <w:trPr>
          <w:trHeight w:val="148"/>
        </w:trPr>
        <w:tc>
          <w:tcPr>
            <w:tcW w:w="56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gridSpan w:val="5"/>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Clean Technology</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600" w:type="dxa"/>
            <w:vAlign w:val="bottom"/>
            <w:gridSpan w:val="5"/>
          </w:tcPr>
          <w:p>
            <w:pPr>
              <w:ind w:left="360"/>
              <w:spacing w:after="0" w:line="189" w:lineRule="exact"/>
              <w:rPr>
                <w:sz w:val="20"/>
                <w:szCs w:val="20"/>
                <w:color w:val="auto"/>
              </w:rPr>
            </w:pPr>
            <w:r>
              <w:rPr>
                <w:rFonts w:ascii="Times New Roman" w:cs="Times New Roman" w:eastAsia="Times New Roman" w:hAnsi="Times New Roman"/>
                <w:sz w:val="13"/>
                <w:szCs w:val="13"/>
                <w:color w:val="auto"/>
              </w:rPr>
              <w:t>SPBRX, INC. (f/k/a GSV Sustainability Partners, Inc.)–Preferred shares, Class A</w:t>
            </w:r>
            <w:r>
              <w:rPr>
                <w:rFonts w:ascii="Times New Roman" w:cs="Times New Roman" w:eastAsia="Times New Roman" w:hAnsi="Times New Roman"/>
                <w:sz w:val="21"/>
                <w:szCs w:val="21"/>
                <w:color w:val="auto"/>
                <w:vertAlign w:val="superscript"/>
              </w:rPr>
              <w:t>(4)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14,300,000</w:t>
            </w:r>
          </w:p>
        </w:tc>
        <w:tc>
          <w:tcPr>
            <w:tcW w:w="16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984,028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934,028</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0.43%</w:t>
            </w:r>
          </w:p>
        </w:tc>
        <w:tc>
          <w:tcPr>
            <w:tcW w:w="0" w:type="dxa"/>
            <w:vAlign w:val="bottom"/>
          </w:tcPr>
          <w:p>
            <w:pPr>
              <w:spacing w:after="0"/>
              <w:rPr>
                <w:sz w:val="1"/>
                <w:szCs w:val="1"/>
                <w:color w:val="auto"/>
              </w:rPr>
            </w:pPr>
          </w:p>
        </w:tc>
      </w:tr>
      <w:tr>
        <w:trPr>
          <w:trHeight w:val="149"/>
        </w:trPr>
        <w:tc>
          <w:tcPr>
            <w:tcW w:w="56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Preferred Stock</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984,028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934,028</w:t>
            </w:r>
          </w:p>
        </w:tc>
        <w:tc>
          <w:tcPr>
            <w:tcW w:w="9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0.43%</w:t>
            </w:r>
          </w:p>
        </w:tc>
        <w:tc>
          <w:tcPr>
            <w:tcW w:w="0" w:type="dxa"/>
            <w:vAlign w:val="bottom"/>
          </w:tcPr>
          <w:p>
            <w:pPr>
              <w:spacing w:after="0"/>
              <w:rPr>
                <w:sz w:val="1"/>
                <w:szCs w:val="1"/>
                <w:color w:val="auto"/>
              </w:rPr>
            </w:pPr>
          </w:p>
        </w:tc>
      </w:tr>
      <w:tr>
        <w:trPr>
          <w:trHeight w:val="148"/>
        </w:trPr>
        <w:tc>
          <w:tcPr>
            <w:tcW w:w="56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gridSpan w:val="5"/>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Clean Technology</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gridSpan w:val="5"/>
          </w:tcPr>
          <w:p>
            <w:pPr>
              <w:ind w:left="360"/>
              <w:spacing w:after="0" w:line="149" w:lineRule="exact"/>
              <w:rPr>
                <w:sz w:val="20"/>
                <w:szCs w:val="20"/>
                <w:color w:val="auto"/>
              </w:rPr>
            </w:pPr>
            <w:r>
              <w:rPr>
                <w:rFonts w:ascii="Times New Roman" w:cs="Times New Roman" w:eastAsia="Times New Roman" w:hAnsi="Times New Roman"/>
                <w:sz w:val="14"/>
                <w:szCs w:val="14"/>
                <w:color w:val="auto"/>
              </w:rPr>
              <w:t>SPBRX, INC. (f/k/a GSV Sustainability Partners, Inc.)–Common shares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00" w:type="dxa"/>
            <w:vAlign w:val="bottom"/>
            <w:gridSpan w:val="5"/>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Mobile Finance Technology</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gridSpan w:val="5"/>
          </w:tcPr>
          <w:p>
            <w:pPr>
              <w:ind w:left="360"/>
              <w:spacing w:after="0" w:line="149" w:lineRule="exact"/>
              <w:rPr>
                <w:sz w:val="20"/>
                <w:szCs w:val="20"/>
                <w:color w:val="auto"/>
              </w:rPr>
            </w:pPr>
            <w:r>
              <w:rPr>
                <w:rFonts w:ascii="Times New Roman" w:cs="Times New Roman" w:eastAsia="Times New Roman" w:hAnsi="Times New Roman"/>
                <w:sz w:val="14"/>
                <w:szCs w:val="14"/>
                <w:color w:val="auto"/>
              </w:rPr>
              <w:t>Architect Capital PayJoy SPV, LLC**–Membership Interest in Lending SPV***</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10,000,000</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236,000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10,000,000</w:t>
            </w:r>
          </w:p>
        </w:tc>
        <w:tc>
          <w:tcPr>
            <w:tcW w:w="9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149"/>
        </w:trPr>
        <w:tc>
          <w:tcPr>
            <w:tcW w:w="5600" w:type="dxa"/>
            <w:vAlign w:val="bottom"/>
            <w:gridSpan w:val="5"/>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Special Purpose Acquisition Company</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600" w:type="dxa"/>
            <w:vAlign w:val="bottom"/>
            <w:gridSpan w:val="5"/>
          </w:tcPr>
          <w:p>
            <w:pPr>
              <w:ind w:left="360"/>
              <w:spacing w:after="0" w:line="189" w:lineRule="exact"/>
              <w:rPr>
                <w:sz w:val="20"/>
                <w:szCs w:val="20"/>
                <w:color w:val="auto"/>
              </w:rPr>
            </w:pPr>
            <w:r>
              <w:rPr>
                <w:rFonts w:ascii="Times New Roman" w:cs="Times New Roman" w:eastAsia="Times New Roman" w:hAnsi="Times New Roman"/>
                <w:sz w:val="13"/>
                <w:szCs w:val="13"/>
                <w:color w:val="auto"/>
              </w:rPr>
              <w:t>Colombier Sponsor LLC**–Class B Units</w:t>
            </w:r>
            <w:r>
              <w:rPr>
                <w:rFonts w:ascii="Times New Roman" w:cs="Times New Roman" w:eastAsia="Times New Roman" w:hAnsi="Times New Roman"/>
                <w:sz w:val="21"/>
                <w:szCs w:val="21"/>
                <w:color w:val="auto"/>
                <w:vertAlign w:val="superscript"/>
              </w:rPr>
              <w:t>(7)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1,976,033</w:t>
            </w:r>
          </w:p>
        </w:tc>
        <w:tc>
          <w:tcPr>
            <w:tcW w:w="16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1,554,355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12,646,359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14,200,714</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162"/>
        </w:trPr>
        <w:tc>
          <w:tcPr>
            <w:tcW w:w="5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Common Stock</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11,554,355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12,646,359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24,200,714</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11.25%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gridSpan w:val="5"/>
            <w:vMerge w:val="restart"/>
          </w:tcPr>
          <w:p>
            <w:pPr>
              <w:spacing w:after="0" w:line="183" w:lineRule="exact"/>
              <w:rPr>
                <w:sz w:val="20"/>
                <w:szCs w:val="20"/>
                <w:color w:val="auto"/>
              </w:rPr>
            </w:pPr>
            <w:r>
              <w:rPr>
                <w:rFonts w:ascii="Times New Roman" w:cs="Times New Roman" w:eastAsia="Times New Roman" w:hAnsi="Times New Roman"/>
                <w:sz w:val="13"/>
                <w:szCs w:val="13"/>
                <w:b w:val="1"/>
                <w:bCs w:val="1"/>
                <w:color w:val="auto"/>
              </w:rPr>
              <w:t>TOTAL CONTROLLED INVESTMENTS*</w:t>
            </w:r>
            <w:r>
              <w:rPr>
                <w:rFonts w:ascii="Times New Roman" w:cs="Times New Roman" w:eastAsia="Times New Roman" w:hAnsi="Times New Roman"/>
                <w:sz w:val="21"/>
                <w:szCs w:val="21"/>
                <w:b w:val="1"/>
                <w:bCs w:val="1"/>
                <w:color w:val="auto"/>
                <w:vertAlign w:val="superscript"/>
              </w:rPr>
              <w:t>(2)</w:t>
            </w: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236,000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13,695,870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12,032,872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25,728,742</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11.96%</w:t>
            </w:r>
          </w:p>
        </w:tc>
        <w:tc>
          <w:tcPr>
            <w:tcW w:w="0" w:type="dxa"/>
            <w:vAlign w:val="bottom"/>
          </w:tcPr>
          <w:p>
            <w:pPr>
              <w:spacing w:after="0"/>
              <w:rPr>
                <w:sz w:val="1"/>
                <w:szCs w:val="1"/>
                <w:color w:val="auto"/>
              </w:rPr>
            </w:pPr>
          </w:p>
        </w:tc>
      </w:tr>
      <w:tr>
        <w:trPr>
          <w:trHeight w:val="122"/>
        </w:trPr>
        <w:tc>
          <w:tcPr>
            <w:tcW w:w="3360" w:type="dxa"/>
            <w:vAlign w:val="bottom"/>
            <w:tcBorders>
              <w:bottom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NON-CONTROLLED/AFFILIATE INVESTMENTS*</w:t>
            </w:r>
          </w:p>
        </w:tc>
        <w:tc>
          <w:tcPr>
            <w:tcW w:w="140" w:type="dxa"/>
            <w:vAlign w:val="bottom"/>
            <w:tcBorders>
              <w:bottom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w w:val="93"/>
              </w:rPr>
              <w:t>(1)</w:t>
            </w:r>
          </w:p>
        </w:tc>
        <w:tc>
          <w:tcPr>
            <w:tcW w:w="2100" w:type="dxa"/>
            <w:vAlign w:val="bottom"/>
            <w:tcBorders>
              <w:bottom w:val="single" w:sz="8" w:color="CCEEFF"/>
            </w:tcBorders>
            <w:vMerge w:val="restart"/>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right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3360" w:type="dxa"/>
            <w:vAlign w:val="bottom"/>
            <w:tcBorders>
              <w:bottom w:val="single" w:sz="8" w:color="auto"/>
            </w:tcBorders>
            <w:gridSpan w:val="3"/>
            <w:vMerge w:val="continue"/>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10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right w:val="single" w:sz="8" w:color="CCEEFF"/>
            </w:tcBorders>
            <w:shd w:val="clear" w:color="auto" w:fill="CCEEFF"/>
          </w:tcPr>
          <w:p>
            <w:pPr>
              <w:spacing w:after="0"/>
              <w:rPr>
                <w:sz w:val="2"/>
                <w:szCs w:val="2"/>
                <w:color w:val="auto"/>
              </w:rPr>
            </w:pPr>
          </w:p>
        </w:tc>
        <w:tc>
          <w:tcPr>
            <w:tcW w:w="5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60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Debt Investments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gridSpan w:val="5"/>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Global Innovation Platform</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600" w:type="dxa"/>
            <w:vAlign w:val="bottom"/>
            <w:gridSpan w:val="5"/>
          </w:tcPr>
          <w:p>
            <w:pPr>
              <w:ind w:left="360"/>
              <w:spacing w:after="0" w:line="138" w:lineRule="exact"/>
              <w:rPr>
                <w:sz w:val="20"/>
                <w:szCs w:val="20"/>
                <w:color w:val="auto"/>
              </w:rPr>
            </w:pPr>
            <w:r>
              <w:rPr>
                <w:rFonts w:ascii="Times New Roman" w:cs="Times New Roman" w:eastAsia="Times New Roman" w:hAnsi="Times New Roman"/>
                <w:sz w:val="14"/>
                <w:szCs w:val="14"/>
                <w:color w:val="auto"/>
              </w:rPr>
              <w:t>OneValley, Inc. (f/k/a NestGSV, Inc.) –Convertible Promissory Note 8%, Due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180" w:type="dxa"/>
            <w:vAlign w:val="bottom"/>
          </w:tcPr>
          <w:p>
            <w:pPr>
              <w:ind w:left="360"/>
              <w:spacing w:after="0" w:line="200" w:lineRule="exact"/>
              <w:rPr>
                <w:sz w:val="20"/>
                <w:szCs w:val="20"/>
                <w:color w:val="auto"/>
              </w:rPr>
            </w:pPr>
            <w:r>
              <w:rPr>
                <w:rFonts w:ascii="Times New Roman" w:cs="Times New Roman" w:eastAsia="Times New Roman" w:hAnsi="Times New Roman"/>
                <w:sz w:val="14"/>
                <w:szCs w:val="14"/>
                <w:color w:val="auto"/>
              </w:rPr>
              <w:t>8/23/2024</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1,010,198</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1,988,200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(97,009)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1,891,191</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0.88%</w:t>
            </w:r>
          </w:p>
        </w:tc>
        <w:tc>
          <w:tcPr>
            <w:tcW w:w="0" w:type="dxa"/>
            <w:vAlign w:val="bottom"/>
          </w:tcPr>
          <w:p>
            <w:pPr>
              <w:spacing w:after="0"/>
              <w:rPr>
                <w:sz w:val="1"/>
                <w:szCs w:val="1"/>
                <w:color w:val="auto"/>
              </w:rPr>
            </w:pPr>
          </w:p>
        </w:tc>
      </w:tr>
      <w:tr>
        <w:trPr>
          <w:trHeight w:val="148"/>
        </w:trPr>
        <w:tc>
          <w:tcPr>
            <w:tcW w:w="56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1,988,200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(97,009)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1,891,191</w:t>
            </w:r>
          </w:p>
        </w:tc>
        <w:tc>
          <w:tcPr>
            <w:tcW w:w="9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0.88%</w:t>
            </w:r>
          </w:p>
        </w:tc>
        <w:tc>
          <w:tcPr>
            <w:tcW w:w="0" w:type="dxa"/>
            <w:vAlign w:val="bottom"/>
          </w:tcPr>
          <w:p>
            <w:pPr>
              <w:spacing w:after="0"/>
              <w:rPr>
                <w:sz w:val="1"/>
                <w:szCs w:val="1"/>
                <w:color w:val="auto"/>
              </w:rPr>
            </w:pPr>
          </w:p>
        </w:tc>
      </w:tr>
      <w:tr>
        <w:trPr>
          <w:trHeight w:val="149"/>
        </w:trPr>
        <w:tc>
          <w:tcPr>
            <w:tcW w:w="56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gridSpan w:val="5"/>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Knowledge Networks</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gridSpan w:val="5"/>
          </w:tcPr>
          <w:p>
            <w:pPr>
              <w:ind w:left="360"/>
              <w:spacing w:after="0" w:line="149" w:lineRule="exact"/>
              <w:rPr>
                <w:sz w:val="20"/>
                <w:szCs w:val="20"/>
                <w:color w:val="auto"/>
              </w:rPr>
            </w:pPr>
            <w:r>
              <w:rPr>
                <w:rFonts w:ascii="Times New Roman" w:cs="Times New Roman" w:eastAsia="Times New Roman" w:hAnsi="Times New Roman"/>
                <w:sz w:val="14"/>
                <w:szCs w:val="14"/>
                <w:color w:val="auto"/>
              </w:rPr>
              <w:t>Maven Research, Inc.–Preferred shares, Series C</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318,979</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6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Maven Research, Inc.–Preferred shares, Series B</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49,505</w:t>
            </w:r>
          </w:p>
        </w:tc>
        <w:tc>
          <w:tcPr>
            <w:tcW w:w="160" w:type="dxa"/>
            <w:vAlign w:val="bottom"/>
            <w:tcBorders>
              <w:right w:val="single" w:sz="8" w:color="CCEEFF"/>
            </w:tcBorders>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gridSpan w:val="5"/>
            <w:vMerge w:val="restart"/>
          </w:tcPr>
          <w:p>
            <w:pPr>
              <w:ind w:left="180"/>
              <w:spacing w:after="0" w:line="155" w:lineRule="exact"/>
              <w:rPr>
                <w:sz w:val="20"/>
                <w:szCs w:val="20"/>
                <w:color w:val="auto"/>
              </w:rPr>
            </w:pPr>
            <w:r>
              <w:rPr>
                <w:rFonts w:ascii="Times New Roman" w:cs="Times New Roman" w:eastAsia="Times New Roman" w:hAnsi="Times New Roman"/>
                <w:sz w:val="14"/>
                <w:szCs w:val="14"/>
                <w:i w:val="1"/>
                <w:iCs w:val="1"/>
                <w:color w:val="auto"/>
              </w:rPr>
              <w:t>Total Knowledge Networks</w:t>
            </w: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60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600" w:type="dxa"/>
            <w:vAlign w:val="bottom"/>
            <w:gridSpan w:val="5"/>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Digital Media Platform</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600" w:type="dxa"/>
            <w:vAlign w:val="bottom"/>
            <w:gridSpan w:val="5"/>
          </w:tcPr>
          <w:p>
            <w:pPr>
              <w:ind w:left="360"/>
              <w:spacing w:after="0" w:line="189" w:lineRule="exact"/>
              <w:rPr>
                <w:sz w:val="20"/>
                <w:szCs w:val="20"/>
                <w:color w:val="auto"/>
              </w:rPr>
            </w:pPr>
            <w:r>
              <w:rPr>
                <w:rFonts w:ascii="Times New Roman" w:cs="Times New Roman" w:eastAsia="Times New Roman" w:hAnsi="Times New Roman"/>
                <w:sz w:val="13"/>
                <w:szCs w:val="13"/>
                <w:color w:val="auto"/>
              </w:rPr>
              <w:t>Ozy Media, Inc.–Preferred shares, Series C-2 6%</w:t>
            </w:r>
            <w:r>
              <w:rPr>
                <w:rFonts w:ascii="Times New Roman" w:cs="Times New Roman" w:eastAsia="Times New Roman" w:hAnsi="Times New Roman"/>
                <w:sz w:val="21"/>
                <w:szCs w:val="21"/>
                <w:color w:val="auto"/>
                <w:vertAlign w:val="superscript"/>
              </w:rPr>
              <w:t>(8)</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683,482</w:t>
            </w:r>
          </w:p>
        </w:tc>
        <w:tc>
          <w:tcPr>
            <w:tcW w:w="16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600" w:type="dxa"/>
            <w:vAlign w:val="bottom"/>
            <w:gridSpan w:val="5"/>
            <w:shd w:val="clear" w:color="auto" w:fill="CCEEFF"/>
          </w:tcPr>
          <w:p>
            <w:pPr>
              <w:ind w:left="360"/>
              <w:spacing w:after="0" w:line="189" w:lineRule="exact"/>
              <w:rPr>
                <w:sz w:val="20"/>
                <w:szCs w:val="20"/>
                <w:color w:val="auto"/>
              </w:rPr>
            </w:pPr>
            <w:r>
              <w:rPr>
                <w:rFonts w:ascii="Times New Roman" w:cs="Times New Roman" w:eastAsia="Times New Roman" w:hAnsi="Times New Roman"/>
                <w:sz w:val="13"/>
                <w:szCs w:val="13"/>
                <w:color w:val="auto"/>
              </w:rPr>
              <w:t>Ozy Media, Inc.–Preferred shares, Series B 6%</w:t>
            </w:r>
            <w:r>
              <w:rPr>
                <w:rFonts w:ascii="Times New Roman" w:cs="Times New Roman" w:eastAsia="Times New Roman" w:hAnsi="Times New Roman"/>
                <w:sz w:val="21"/>
                <w:szCs w:val="21"/>
                <w:color w:val="auto"/>
                <w:vertAlign w:val="superscript"/>
              </w:rPr>
              <w:t>(8)</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922,509</w:t>
            </w:r>
          </w:p>
        </w:tc>
        <w:tc>
          <w:tcPr>
            <w:tcW w:w="160" w:type="dxa"/>
            <w:vAlign w:val="bottom"/>
            <w:tcBorders>
              <w:right w:val="single" w:sz="8" w:color="CCEEFF"/>
            </w:tcBorders>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600" w:type="dxa"/>
            <w:vAlign w:val="bottom"/>
            <w:gridSpan w:val="5"/>
          </w:tcPr>
          <w:p>
            <w:pPr>
              <w:ind w:left="360"/>
              <w:spacing w:after="0" w:line="189" w:lineRule="exact"/>
              <w:rPr>
                <w:sz w:val="20"/>
                <w:szCs w:val="20"/>
                <w:color w:val="auto"/>
              </w:rPr>
            </w:pPr>
            <w:r>
              <w:rPr>
                <w:rFonts w:ascii="Times New Roman" w:cs="Times New Roman" w:eastAsia="Times New Roman" w:hAnsi="Times New Roman"/>
                <w:sz w:val="13"/>
                <w:szCs w:val="13"/>
                <w:color w:val="auto"/>
              </w:rPr>
              <w:t>Ozy Media, Inc.–Preferred shares, Series A 6%</w:t>
            </w:r>
            <w:r>
              <w:rPr>
                <w:rFonts w:ascii="Times New Roman" w:cs="Times New Roman" w:eastAsia="Times New Roman" w:hAnsi="Times New Roman"/>
                <w:sz w:val="21"/>
                <w:szCs w:val="21"/>
                <w:color w:val="auto"/>
                <w:vertAlign w:val="superscript"/>
              </w:rPr>
              <w:t>(8)</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1,090,909</w:t>
            </w:r>
          </w:p>
        </w:tc>
        <w:tc>
          <w:tcPr>
            <w:tcW w:w="16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600" w:type="dxa"/>
            <w:vAlign w:val="bottom"/>
            <w:gridSpan w:val="5"/>
            <w:shd w:val="clear" w:color="auto" w:fill="CCEEFF"/>
          </w:tcPr>
          <w:p>
            <w:pPr>
              <w:ind w:left="360"/>
              <w:spacing w:after="0" w:line="202" w:lineRule="exact"/>
              <w:rPr>
                <w:sz w:val="20"/>
                <w:szCs w:val="20"/>
                <w:color w:val="auto"/>
              </w:rPr>
            </w:pPr>
            <w:r>
              <w:rPr>
                <w:rFonts w:ascii="Times New Roman" w:cs="Times New Roman" w:eastAsia="Times New Roman" w:hAnsi="Times New Roman"/>
                <w:sz w:val="14"/>
                <w:szCs w:val="14"/>
                <w:color w:val="auto"/>
              </w:rPr>
              <w:t>Ozy Media, Inc.–Preferred shares, Series Seed 6%</w:t>
            </w:r>
            <w:r>
              <w:rPr>
                <w:rFonts w:ascii="Times New Roman" w:cs="Times New Roman" w:eastAsia="Times New Roman" w:hAnsi="Times New Roman"/>
                <w:sz w:val="23"/>
                <w:szCs w:val="23"/>
                <w:color w:val="auto"/>
                <w:vertAlign w:val="superscript"/>
              </w:rPr>
              <w:t>(8)</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1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gridSpan w:val="5"/>
            <w:vMerge w:val="restart"/>
          </w:tcPr>
          <w:p>
            <w:pPr>
              <w:ind w:left="180"/>
              <w:spacing w:after="0" w:line="155" w:lineRule="exact"/>
              <w:rPr>
                <w:sz w:val="20"/>
                <w:szCs w:val="20"/>
                <w:color w:val="auto"/>
              </w:rPr>
            </w:pPr>
            <w:r>
              <w:rPr>
                <w:rFonts w:ascii="Times New Roman" w:cs="Times New Roman" w:eastAsia="Times New Roman" w:hAnsi="Times New Roman"/>
                <w:sz w:val="14"/>
                <w:szCs w:val="14"/>
                <w:i w:val="1"/>
                <w:iCs w:val="1"/>
                <w:color w:val="auto"/>
              </w:rPr>
              <w:t>Total Digital Media Platform</w:t>
            </w: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60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600" w:type="dxa"/>
            <w:vAlign w:val="bottom"/>
            <w:gridSpan w:val="5"/>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Interactive Learning</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600" w:type="dxa"/>
            <w:vAlign w:val="bottom"/>
            <w:gridSpan w:val="5"/>
          </w:tcPr>
          <w:p>
            <w:pPr>
              <w:ind w:left="360"/>
              <w:spacing w:after="0" w:line="189" w:lineRule="exact"/>
              <w:rPr>
                <w:sz w:val="20"/>
                <w:szCs w:val="20"/>
                <w:color w:val="auto"/>
              </w:rPr>
            </w:pPr>
            <w:r>
              <w:rPr>
                <w:rFonts w:ascii="Times New Roman" w:cs="Times New Roman" w:eastAsia="Times New Roman" w:hAnsi="Times New Roman"/>
                <w:sz w:val="13"/>
                <w:szCs w:val="13"/>
                <w:color w:val="auto"/>
              </w:rPr>
              <w:t>StormWind, LLC–Preferred shares, Series D 8%</w:t>
            </w:r>
            <w:r>
              <w:rPr>
                <w:rFonts w:ascii="Times New Roman" w:cs="Times New Roman" w:eastAsia="Times New Roman" w:hAnsi="Times New Roman"/>
                <w:sz w:val="21"/>
                <w:szCs w:val="21"/>
                <w:color w:val="auto"/>
                <w:vertAlign w:val="superscript"/>
              </w:rPr>
              <w:t>(5)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329,337</w:t>
            </w:r>
          </w:p>
        </w:tc>
        <w:tc>
          <w:tcPr>
            <w:tcW w:w="16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533,429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(26,638)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506,791</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189"/>
        </w:trPr>
        <w:tc>
          <w:tcPr>
            <w:tcW w:w="5600" w:type="dxa"/>
            <w:vAlign w:val="bottom"/>
            <w:gridSpan w:val="5"/>
            <w:shd w:val="clear" w:color="auto" w:fill="CCEEFF"/>
          </w:tcPr>
          <w:p>
            <w:pPr>
              <w:ind w:left="360"/>
              <w:spacing w:after="0" w:line="189" w:lineRule="exact"/>
              <w:rPr>
                <w:sz w:val="20"/>
                <w:szCs w:val="20"/>
                <w:color w:val="auto"/>
              </w:rPr>
            </w:pPr>
            <w:r>
              <w:rPr>
                <w:rFonts w:ascii="Times New Roman" w:cs="Times New Roman" w:eastAsia="Times New Roman" w:hAnsi="Times New Roman"/>
                <w:sz w:val="13"/>
                <w:szCs w:val="13"/>
                <w:color w:val="auto"/>
              </w:rPr>
              <w:t>StormWind, LLC–Preferred shares, Series C 8%</w:t>
            </w:r>
            <w:r>
              <w:rPr>
                <w:rFonts w:ascii="Times New Roman" w:cs="Times New Roman" w:eastAsia="Times New Roman" w:hAnsi="Times New Roman"/>
                <w:sz w:val="21"/>
                <w:szCs w:val="21"/>
                <w:color w:val="auto"/>
                <w:vertAlign w:val="superscript"/>
              </w:rPr>
              <w:t>(5)</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2,779,134</w:t>
            </w:r>
          </w:p>
        </w:tc>
        <w:tc>
          <w:tcPr>
            <w:tcW w:w="160" w:type="dxa"/>
            <w:vAlign w:val="bottom"/>
            <w:tcBorders>
              <w:right w:val="single" w:sz="8" w:color="CCEEFF"/>
            </w:tcBorders>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5,675,081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(249,668)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5,425,413</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89"/>
        </w:trPr>
        <w:tc>
          <w:tcPr>
            <w:tcW w:w="5600" w:type="dxa"/>
            <w:vAlign w:val="bottom"/>
            <w:gridSpan w:val="5"/>
          </w:tcPr>
          <w:p>
            <w:pPr>
              <w:ind w:left="360"/>
              <w:spacing w:after="0" w:line="189" w:lineRule="exact"/>
              <w:rPr>
                <w:sz w:val="20"/>
                <w:szCs w:val="20"/>
                <w:color w:val="auto"/>
              </w:rPr>
            </w:pPr>
            <w:r>
              <w:rPr>
                <w:rFonts w:ascii="Times New Roman" w:cs="Times New Roman" w:eastAsia="Times New Roman" w:hAnsi="Times New Roman"/>
                <w:sz w:val="13"/>
                <w:szCs w:val="13"/>
                <w:color w:val="auto"/>
              </w:rPr>
              <w:t>StormWind, LLC–Preferred shares, Series B 8%</w:t>
            </w:r>
            <w:r>
              <w:rPr>
                <w:rFonts w:ascii="Times New Roman" w:cs="Times New Roman" w:eastAsia="Times New Roman" w:hAnsi="Times New Roman"/>
                <w:sz w:val="21"/>
                <w:szCs w:val="21"/>
                <w:color w:val="auto"/>
                <w:vertAlign w:val="superscript"/>
              </w:rPr>
              <w:t>(5)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3,279,629</w:t>
            </w:r>
          </w:p>
        </w:tc>
        <w:tc>
          <w:tcPr>
            <w:tcW w:w="16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3,550,631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(265,265)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3,285,366</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03"/>
        </w:trPr>
        <w:tc>
          <w:tcPr>
            <w:tcW w:w="5600" w:type="dxa"/>
            <w:vAlign w:val="bottom"/>
            <w:gridSpan w:val="5"/>
            <w:shd w:val="clear" w:color="auto" w:fill="CCEEFF"/>
          </w:tcPr>
          <w:p>
            <w:pPr>
              <w:ind w:left="360"/>
              <w:spacing w:after="0" w:line="202" w:lineRule="exact"/>
              <w:rPr>
                <w:sz w:val="20"/>
                <w:szCs w:val="20"/>
                <w:color w:val="auto"/>
              </w:rPr>
            </w:pPr>
            <w:r>
              <w:rPr>
                <w:rFonts w:ascii="Times New Roman" w:cs="Times New Roman" w:eastAsia="Times New Roman" w:hAnsi="Times New Roman"/>
                <w:sz w:val="14"/>
                <w:szCs w:val="14"/>
                <w:color w:val="auto"/>
              </w:rPr>
              <w:t>StormWind, LLC–Preferred shares, Series A 8%</w:t>
            </w:r>
            <w:r>
              <w:rPr>
                <w:rFonts w:ascii="Times New Roman" w:cs="Times New Roman" w:eastAsia="Times New Roman" w:hAnsi="Times New Roman"/>
                <w:sz w:val="23"/>
                <w:szCs w:val="23"/>
                <w:color w:val="auto"/>
                <w:vertAlign w:val="superscript"/>
              </w:rPr>
              <w:t>(5)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366,666</w:t>
            </w:r>
          </w:p>
        </w:tc>
        <w:tc>
          <w:tcPr>
            <w:tcW w:w="1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191,694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(29,657)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162,037</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gridSpan w:val="5"/>
            <w:vMerge w:val="restart"/>
          </w:tcPr>
          <w:p>
            <w:pPr>
              <w:ind w:left="180"/>
              <w:spacing w:after="0" w:line="155" w:lineRule="exact"/>
              <w:rPr>
                <w:sz w:val="20"/>
                <w:szCs w:val="20"/>
                <w:color w:val="auto"/>
              </w:rPr>
            </w:pPr>
            <w:r>
              <w:rPr>
                <w:rFonts w:ascii="Times New Roman" w:cs="Times New Roman" w:eastAsia="Times New Roman" w:hAnsi="Times New Roman"/>
                <w:sz w:val="14"/>
                <w:szCs w:val="14"/>
                <w:i w:val="1"/>
                <w:iCs w:val="1"/>
                <w:color w:val="auto"/>
              </w:rPr>
              <w:t>Total Interactive Learning</w:t>
            </w: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60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9,950,835</w:t>
            </w: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(571,228)</w:t>
            </w: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9,379,607</w:t>
            </w:r>
          </w:p>
        </w:tc>
        <w:tc>
          <w:tcPr>
            <w:tcW w:w="1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2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148"/>
        </w:trPr>
        <w:tc>
          <w:tcPr>
            <w:tcW w:w="56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Preferred Stock</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9,950,835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(571,228)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9,379,607</w:t>
            </w:r>
          </w:p>
        </w:tc>
        <w:tc>
          <w:tcPr>
            <w:tcW w:w="9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0" w:type="dxa"/>
            <w:vAlign w:val="bottom"/>
            <w:gridSpan w:val="5"/>
          </w:tcPr>
          <w:p>
            <w:pPr>
              <w:ind w:left="180"/>
              <w:spacing w:after="0"/>
              <w:rPr>
                <w:sz w:val="20"/>
                <w:szCs w:val="20"/>
                <w:color w:val="auto"/>
              </w:rPr>
            </w:pPr>
            <w:r>
              <w:rPr>
                <w:rFonts w:ascii="Times New Roman" w:cs="Times New Roman" w:eastAsia="Times New Roman" w:hAnsi="Times New Roman"/>
                <w:sz w:val="14"/>
                <w:szCs w:val="14"/>
                <w:i w:val="1"/>
                <w:iCs w:val="1"/>
                <w:color w:val="auto"/>
              </w:rPr>
              <w:t>Digital Media Platform</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00" w:type="dxa"/>
            <w:vAlign w:val="bottom"/>
            <w:gridSpan w:val="5"/>
            <w:shd w:val="clear" w:color="auto" w:fill="CCEEFF"/>
          </w:tcPr>
          <w:p>
            <w:pPr>
              <w:ind w:left="360"/>
              <w:spacing w:after="0" w:line="189" w:lineRule="exact"/>
              <w:rPr>
                <w:sz w:val="20"/>
                <w:szCs w:val="20"/>
                <w:color w:val="auto"/>
              </w:rPr>
            </w:pPr>
            <w:r>
              <w:rPr>
                <w:rFonts w:ascii="Times New Roman" w:cs="Times New Roman" w:eastAsia="Times New Roman" w:hAnsi="Times New Roman"/>
                <w:sz w:val="13"/>
                <w:szCs w:val="13"/>
                <w:color w:val="auto"/>
              </w:rPr>
              <w:t>Ozy Media, Inc.–Common Warrants, Strike Price $0.01, Expiration Date 4/9/2028</w:t>
            </w:r>
            <w:r>
              <w:rPr>
                <w:rFonts w:ascii="Times New Roman" w:cs="Times New Roman" w:eastAsia="Times New Roman" w:hAnsi="Times New Roman"/>
                <w:sz w:val="21"/>
                <w:szCs w:val="21"/>
                <w:color w:val="auto"/>
                <w:vertAlign w:val="superscript"/>
              </w:rPr>
              <w:t>(8)</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295,565</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600" w:type="dxa"/>
            <w:vAlign w:val="bottom"/>
            <w:gridSpan w:val="5"/>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Global Innovation Platform</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600" w:type="dxa"/>
            <w:vAlign w:val="bottom"/>
            <w:gridSpan w:val="5"/>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OneValley, Inc. (f/k/a NestGSV, Inc.)–Preferred Warrant Series B, Strike Price $2.31,</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56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Expiration Date 12/31/2023</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250,000</w:t>
            </w:r>
          </w:p>
        </w:tc>
        <w:tc>
          <w:tcPr>
            <w:tcW w:w="16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gridSpan w:val="5"/>
            <w:vMerge w:val="restart"/>
          </w:tcPr>
          <w:p>
            <w:pPr>
              <w:ind w:left="360"/>
              <w:spacing w:after="0" w:line="196" w:lineRule="exact"/>
              <w:rPr>
                <w:sz w:val="20"/>
                <w:szCs w:val="20"/>
                <w:color w:val="auto"/>
              </w:rPr>
            </w:pPr>
            <w:r>
              <w:rPr>
                <w:rFonts w:ascii="Times New Roman" w:cs="Times New Roman" w:eastAsia="Times New Roman" w:hAnsi="Times New Roman"/>
                <w:sz w:val="14"/>
                <w:szCs w:val="14"/>
                <w:color w:val="auto"/>
              </w:rPr>
              <w:t>OneValley, Inc. (f/k/a NestGSV, Inc.)–Derivative Security, Expiration Date 8/23/2024</w:t>
            </w:r>
            <w:r>
              <w:rPr>
                <w:rFonts w:ascii="Times New Roman" w:cs="Times New Roman" w:eastAsia="Times New Roman" w:hAnsi="Times New Roman"/>
                <w:sz w:val="22"/>
                <w:szCs w:val="22"/>
                <w:color w:val="auto"/>
                <w:vertAlign w:val="superscript"/>
              </w:rPr>
              <w:t>(6)</w:t>
            </w: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652,127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(652,127)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600" w:type="dxa"/>
            <w:vAlign w:val="bottom"/>
            <w:gridSpan w:val="5"/>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Total Global Innovation Platform</w:t>
            </w: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600" w:type="dxa"/>
            <w:vAlign w:val="bottom"/>
            <w:gridSpan w:val="5"/>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652,127</w:t>
            </w:r>
          </w:p>
        </w:tc>
        <w:tc>
          <w:tcPr>
            <w:tcW w:w="1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(652,127)</w:t>
            </w:r>
          </w:p>
        </w:tc>
        <w:tc>
          <w:tcPr>
            <w:tcW w:w="1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6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Total Options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652,127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(652,127)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600" w:type="dxa"/>
            <w:vAlign w:val="bottom"/>
            <w:gridSpan w:val="5"/>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Online Education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Curious.com, Inc.–Common shares</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1,135,944</w:t>
            </w:r>
          </w:p>
        </w:tc>
        <w:tc>
          <w:tcPr>
            <w:tcW w:w="160" w:type="dxa"/>
            <w:vAlign w:val="bottom"/>
            <w:tcBorders>
              <w:right w:val="single" w:sz="8" w:color="CCEEFF"/>
            </w:tcBorders>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6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Total Common 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600" w:type="dxa"/>
            <w:vAlign w:val="bottom"/>
            <w:gridSpan w:val="5"/>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TOTAL NON-CONTROLLED/AFFILIATE INVESTMENTS*</w:t>
            </w:r>
            <w:r>
              <w:rPr>
                <w:rFonts w:ascii="Times New Roman" w:cs="Times New Roman" w:eastAsia="Times New Roman" w:hAnsi="Times New Roman"/>
                <w:sz w:val="20"/>
                <w:szCs w:val="20"/>
                <w:b w:val="1"/>
                <w:bCs w:val="1"/>
                <w:color w:val="auto"/>
                <w:vertAlign w:val="superscript"/>
              </w:rPr>
              <w:t>(1)</w:t>
            </w: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600" w:type="dxa"/>
            <w:vAlign w:val="bottom"/>
            <w:gridSpan w:val="5"/>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12,591,162</w:t>
            </w:r>
          </w:p>
        </w:tc>
        <w:tc>
          <w:tcPr>
            <w:tcW w:w="1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11,270,798</w:t>
            </w: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4"/>
        </w:trPr>
        <w:tc>
          <w:tcPr>
            <w:tcW w:w="21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660" w:type="dxa"/>
            <w:vAlign w:val="bottom"/>
            <w:gridSpan w:val="2"/>
            <w:vMerge w:val="continue"/>
            <w:shd w:val="clear" w:color="auto" w:fill="CCEEFF"/>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760" w:type="dxa"/>
            <w:vAlign w:val="bottom"/>
            <w:gridSpan w:val="2"/>
            <w:vMerge w:val="continue"/>
            <w:shd w:val="clear" w:color="auto" w:fill="CCEEFF"/>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20"/>
              <w:spacing w:after="0" w:line="54" w:lineRule="exact"/>
              <w:rPr>
                <w:sz w:val="20"/>
                <w:szCs w:val="20"/>
                <w:color w:val="auto"/>
              </w:rPr>
            </w:pPr>
            <w:r>
              <w:rPr>
                <w:rFonts w:ascii="Times New Roman" w:cs="Times New Roman" w:eastAsia="Times New Roman" w:hAnsi="Times New Roman"/>
                <w:sz w:val="6"/>
                <w:szCs w:val="6"/>
                <w:b w:val="1"/>
                <w:bCs w:val="1"/>
                <w:color w:val="auto"/>
              </w:rPr>
              <w:t>(1,320,364</w:t>
            </w:r>
          </w:p>
        </w:tc>
        <w:tc>
          <w:tcPr>
            <w:tcW w:w="160" w:type="dxa"/>
            <w:vAlign w:val="bottom"/>
            <w:gridSpan w:val="2"/>
            <w:vMerge w:val="continue"/>
            <w:shd w:val="clear" w:color="auto" w:fill="CCEEFF"/>
          </w:tcPr>
          <w:p>
            <w:pPr>
              <w:spacing w:after="0"/>
              <w:rPr>
                <w:sz w:val="4"/>
                <w:szCs w:val="4"/>
                <w:color w:val="auto"/>
              </w:rPr>
            </w:pPr>
          </w:p>
        </w:tc>
        <w:tc>
          <w:tcPr>
            <w:tcW w:w="760" w:type="dxa"/>
            <w:vAlign w:val="bottom"/>
            <w:gridSpan w:val="2"/>
            <w:vMerge w:val="continue"/>
            <w:shd w:val="clear" w:color="auto" w:fill="CCEEFF"/>
          </w:tcPr>
          <w:p>
            <w:pPr>
              <w:spacing w:after="0"/>
              <w:rPr>
                <w:sz w:val="4"/>
                <w:szCs w:val="4"/>
                <w:color w:val="auto"/>
              </w:rPr>
            </w:pPr>
          </w:p>
        </w:tc>
        <w:tc>
          <w:tcPr>
            <w:tcW w:w="920" w:type="dxa"/>
            <w:vAlign w:val="bottom"/>
            <w:gridSpan w:val="3"/>
            <w:shd w:val="clear" w:color="auto" w:fill="CCEEFF"/>
          </w:tcPr>
          <w:p>
            <w:pPr>
              <w:jc w:val="right"/>
              <w:ind w:right="140"/>
              <w:spacing w:after="0" w:line="54" w:lineRule="exact"/>
              <w:rPr>
                <w:sz w:val="20"/>
                <w:szCs w:val="20"/>
                <w:color w:val="auto"/>
              </w:rPr>
            </w:pPr>
            <w:r>
              <w:rPr>
                <w:rFonts w:ascii="Times New Roman" w:cs="Times New Roman" w:eastAsia="Times New Roman" w:hAnsi="Times New Roman"/>
                <w:sz w:val="6"/>
                <w:szCs w:val="6"/>
                <w:b w:val="1"/>
                <w:bCs w:val="1"/>
                <w:color w:val="auto"/>
              </w:rPr>
              <w:t>5.24</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21431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both"/>
        <w:ind w:left="660" w:hanging="652"/>
        <w:spacing w:after="0" w:line="25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92" w:lineRule="exact"/>
        <w:rPr>
          <w:sz w:val="20"/>
          <w:szCs w:val="20"/>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SuRo Capital Corp. believes do not represent “qualifying assets” under Section 55(a) of the 1940 Act. Of the Company’s total investments as of March 31, 2023, 20.49% of its total investments are non-qualifying assets.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income-producing.</w:t>
      </w:r>
    </w:p>
    <w:p>
      <w:pPr>
        <w:spacing w:after="0" w:line="225" w:lineRule="exact"/>
        <w:rPr>
          <w:sz w:val="20"/>
          <w:szCs w:val="20"/>
          <w:color w:val="auto"/>
        </w:rPr>
      </w:pPr>
    </w:p>
    <w:p>
      <w:pPr>
        <w:jc w:val="both"/>
        <w:ind w:left="6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securities with the right to elect directors) of such company.</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2023, the investments noted had been placed on non-accrual status.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SPBRX, INC. (f/k/a GSV Sustainability Partners, Inc.) preferred shares held by SuRo Capital Corp. do not entitle SuRo Capital Corp. to a preferred dividend rate. SuRo Capital Corp. does not anticipate that SPBRX, INC. will pay distributions on a quarterly or regular basis or become a predictable distributor of distributions.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StormWind, LLC are held through SuRo Capital Corp.’s wholly owned subsidiary, GSVC SW Holdings,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 2023, Ozy Media, Inc. suspended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Transactions during the year ended December 31, 2022 involving the Company’s controlled investments and non-controlled/affiliate investments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Pr>
          <w:p>
            <w:pPr>
              <w:spacing w:after="0"/>
              <w:rPr>
                <w:sz w:val="13"/>
                <w:szCs w:val="13"/>
                <w:color w:val="auto"/>
              </w:rPr>
            </w:pPr>
          </w:p>
        </w:tc>
        <w:tc>
          <w:tcPr>
            <w:tcW w:w="8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Fees, or</w:t>
            </w: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9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2760" w:type="dxa"/>
            <w:vAlign w:val="bottom"/>
            <w:gridSpan w:val="7"/>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8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6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6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Fees,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gridSpan w:val="7"/>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6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00" w:type="dxa"/>
            <w:vAlign w:val="bottom"/>
          </w:tcPr>
          <w:p>
            <w:pPr>
              <w:spacing w:after="0"/>
              <w:rPr>
                <w:sz w:val="12"/>
                <w:szCs w:val="12"/>
                <w:color w:val="auto"/>
              </w:rPr>
            </w:pPr>
          </w:p>
        </w:tc>
        <w:tc>
          <w:tcPr>
            <w:tcW w:w="5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9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8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0"/>
        </w:trPr>
        <w:tc>
          <w:tcPr>
            <w:tcW w:w="276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8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60" w:type="dxa"/>
            <w:vAlign w:val="bottom"/>
          </w:tcPr>
          <w:p>
            <w:pPr>
              <w:spacing w:after="0"/>
              <w:rPr>
                <w:sz w:val="15"/>
                <w:szCs w:val="15"/>
                <w:color w:val="auto"/>
              </w:rPr>
            </w:pP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(Out)</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520" w:type="dxa"/>
            <w:vAlign w:val="bottom"/>
            <w:gridSpan w:val="3"/>
            <w:vMerge w:val="continue"/>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1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80" w:type="dxa"/>
            <w:vAlign w:val="bottom"/>
          </w:tcPr>
          <w:p>
            <w:pPr>
              <w:spacing w:after="0"/>
              <w:rPr>
                <w:sz w:val="15"/>
                <w:szCs w:val="15"/>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22"/>
        </w:trPr>
        <w:tc>
          <w:tcPr>
            <w:tcW w:w="2180" w:type="dxa"/>
            <w:vAlign w:val="bottom"/>
            <w:tcBorders>
              <w:top w:val="single" w:sz="8" w:color="auto"/>
              <w:bottom w:val="single" w:sz="8" w:color="auto"/>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CONTROLLED INVESTMENTS*</w:t>
            </w:r>
          </w:p>
        </w:tc>
        <w:tc>
          <w:tcPr>
            <w:tcW w:w="140" w:type="dxa"/>
            <w:vAlign w:val="bottom"/>
            <w:tcBorders>
              <w:top w:val="single" w:sz="8" w:color="auto"/>
              <w:bottom w:val="single" w:sz="8" w:color="auto"/>
            </w:tcBorders>
            <w:gridSpan w:val="2"/>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w w:val="93"/>
              </w:rPr>
              <w:t>(2)</w:t>
            </w:r>
          </w:p>
        </w:tc>
        <w:tc>
          <w:tcPr>
            <w:tcW w:w="380" w:type="dxa"/>
            <w:vAlign w:val="bottom"/>
            <w:tcBorders>
              <w:top w:val="single" w:sz="8" w:color="auto"/>
              <w:bottom w:val="single" w:sz="8" w:color="auto"/>
            </w:tcBorders>
            <w:vMerge w:val="restart"/>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180" w:type="dxa"/>
            <w:vAlign w:val="bottom"/>
            <w:tcBorders>
              <w:bottom w:val="single" w:sz="8" w:color="auto"/>
            </w:tcBorders>
            <w:gridSpan w:val="3"/>
            <w:vMerge w:val="continue"/>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4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74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7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760" w:type="dxa"/>
            <w:vAlign w:val="bottom"/>
            <w:gridSpan w:val="7"/>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gridSpan w:val="7"/>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i w:val="1"/>
                <w:iCs w:val="1"/>
                <w:color w:val="auto"/>
              </w:rPr>
              <w:t>Special Purpose Acquisition Company</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60" w:type="dxa"/>
            <w:vAlign w:val="bottom"/>
            <w:gridSpan w:val="7"/>
          </w:tcPr>
          <w:p>
            <w:pPr>
              <w:ind w:left="360"/>
              <w:spacing w:after="0" w:line="138" w:lineRule="exact"/>
              <w:rPr>
                <w:sz w:val="20"/>
                <w:szCs w:val="20"/>
                <w:color w:val="auto"/>
              </w:rPr>
            </w:pPr>
            <w:r>
              <w:rPr>
                <w:rFonts w:ascii="Times New Roman" w:cs="Times New Roman" w:eastAsia="Times New Roman" w:hAnsi="Times New Roman"/>
                <w:sz w:val="14"/>
                <w:szCs w:val="14"/>
                <w:color w:val="auto"/>
              </w:rPr>
              <w:t>Colombier Sponsor LLC**–Class W</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760" w:type="dxa"/>
            <w:vAlign w:val="bottom"/>
            <w:gridSpan w:val="7"/>
          </w:tcPr>
          <w:p>
            <w:pPr>
              <w:ind w:left="360"/>
              <w:spacing w:after="0" w:line="200" w:lineRule="exact"/>
              <w:rPr>
                <w:sz w:val="20"/>
                <w:szCs w:val="20"/>
                <w:color w:val="auto"/>
              </w:rPr>
            </w:pPr>
            <w:r>
              <w:rPr>
                <w:rFonts w:ascii="Times New Roman" w:cs="Times New Roman" w:eastAsia="Times New Roman" w:hAnsi="Times New Roman"/>
                <w:sz w:val="14"/>
                <w:szCs w:val="14"/>
                <w:color w:val="auto"/>
              </w:rPr>
              <w:t>Units</w:t>
            </w:r>
            <w:r>
              <w:rPr>
                <w:rFonts w:ascii="Times New Roman" w:cs="Times New Roman" w:eastAsia="Times New Roman" w:hAnsi="Times New Roman"/>
                <w:sz w:val="23"/>
                <w:szCs w:val="23"/>
                <w:color w:val="auto"/>
                <w:vertAlign w:val="superscript"/>
              </w:rPr>
              <w:t>(7)</w:t>
            </w:r>
          </w:p>
        </w:tc>
        <w:tc>
          <w:tcPr>
            <w:tcW w:w="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1,157,487</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1,157,487</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0.55%</w:t>
            </w:r>
          </w:p>
        </w:tc>
        <w:tc>
          <w:tcPr>
            <w:tcW w:w="0" w:type="dxa"/>
            <w:vAlign w:val="bottom"/>
          </w:tcPr>
          <w:p>
            <w:pPr>
              <w:spacing w:after="0"/>
              <w:rPr>
                <w:sz w:val="1"/>
                <w:szCs w:val="1"/>
                <w:color w:val="auto"/>
              </w:rPr>
            </w:pPr>
          </w:p>
        </w:tc>
      </w:tr>
      <w:tr>
        <w:trPr>
          <w:trHeight w:val="148"/>
        </w:trPr>
        <w:tc>
          <w:tcPr>
            <w:tcW w:w="2760" w:type="dxa"/>
            <w:vAlign w:val="bottom"/>
            <w:gridSpan w:val="7"/>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Options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1,157,487</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1,157,487</w:t>
            </w:r>
          </w:p>
        </w:tc>
        <w:tc>
          <w:tcPr>
            <w:tcW w:w="9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0.55%</w:t>
            </w:r>
          </w:p>
        </w:tc>
        <w:tc>
          <w:tcPr>
            <w:tcW w:w="0" w:type="dxa"/>
            <w:vAlign w:val="bottom"/>
          </w:tcPr>
          <w:p>
            <w:pPr>
              <w:spacing w:after="0"/>
              <w:rPr>
                <w:sz w:val="1"/>
                <w:szCs w:val="1"/>
                <w:color w:val="auto"/>
              </w:rPr>
            </w:pPr>
          </w:p>
        </w:tc>
      </w:tr>
      <w:tr>
        <w:trPr>
          <w:trHeight w:val="149"/>
        </w:trPr>
        <w:tc>
          <w:tcPr>
            <w:tcW w:w="276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gridSpan w:val="7"/>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Clean Technology</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gridSpan w:val="7"/>
          </w:tcPr>
          <w:p>
            <w:pPr>
              <w:ind w:left="360"/>
              <w:spacing w:after="0" w:line="126" w:lineRule="exact"/>
              <w:rPr>
                <w:sz w:val="20"/>
                <w:szCs w:val="20"/>
                <w:color w:val="auto"/>
              </w:rPr>
            </w:pPr>
            <w:r>
              <w:rPr>
                <w:rFonts w:ascii="Times New Roman" w:cs="Times New Roman" w:eastAsia="Times New Roman" w:hAnsi="Times New Roman"/>
                <w:sz w:val="14"/>
                <w:szCs w:val="14"/>
                <w:color w:val="auto"/>
              </w:rPr>
              <w:t>SPBRX, INC. (f/k/a GSV Sustainability</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76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auto"/>
              </w:rPr>
              <w:t>Partners, Inc.)–Preferred shares, Class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760" w:type="dxa"/>
            <w:vAlign w:val="bottom"/>
            <w:gridSpan w:val="7"/>
          </w:tcPr>
          <w:p>
            <w:pPr>
              <w:ind w:left="360"/>
              <w:spacing w:after="0" w:line="200" w:lineRule="exact"/>
              <w:rPr>
                <w:sz w:val="20"/>
                <w:szCs w:val="20"/>
                <w:color w:val="auto"/>
              </w:rPr>
            </w:pPr>
            <w:r>
              <w:rPr>
                <w:rFonts w:ascii="Times New Roman" w:cs="Times New Roman" w:eastAsia="Times New Roman" w:hAnsi="Times New Roman"/>
                <w:sz w:val="23"/>
                <w:szCs w:val="23"/>
                <w:color w:val="auto"/>
                <w:vertAlign w:val="subscript"/>
              </w:rPr>
              <w:t>A</w:t>
            </w:r>
            <w:r>
              <w:rPr>
                <w:rFonts w:ascii="Times New Roman" w:cs="Times New Roman" w:eastAsia="Times New Roman" w:hAnsi="Times New Roman"/>
                <w:sz w:val="11"/>
                <w:szCs w:val="11"/>
                <w:color w:val="auto"/>
              </w:rPr>
              <w:t>(4)</w:t>
            </w:r>
          </w:p>
        </w:tc>
        <w:tc>
          <w:tcPr>
            <w:tcW w:w="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14,300,000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1,047,033</w:t>
            </w:r>
          </w:p>
        </w:tc>
        <w:tc>
          <w:tcPr>
            <w:tcW w:w="10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(63,005)</w:t>
            </w: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984,028</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0.47%</w:t>
            </w:r>
          </w:p>
        </w:tc>
        <w:tc>
          <w:tcPr>
            <w:tcW w:w="0" w:type="dxa"/>
            <w:vAlign w:val="bottom"/>
          </w:tcPr>
          <w:p>
            <w:pPr>
              <w:spacing w:after="0"/>
              <w:rPr>
                <w:sz w:val="1"/>
                <w:szCs w:val="1"/>
                <w:color w:val="auto"/>
              </w:rPr>
            </w:pPr>
          </w:p>
        </w:tc>
      </w:tr>
      <w:tr>
        <w:trPr>
          <w:trHeight w:val="148"/>
        </w:trPr>
        <w:tc>
          <w:tcPr>
            <w:tcW w:w="2760" w:type="dxa"/>
            <w:vAlign w:val="bottom"/>
            <w:gridSpan w:val="7"/>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Preferred Stock</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1,047,033</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(63,005)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984,028</w:t>
            </w:r>
          </w:p>
        </w:tc>
        <w:tc>
          <w:tcPr>
            <w:tcW w:w="9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0.47%</w:t>
            </w:r>
          </w:p>
        </w:tc>
        <w:tc>
          <w:tcPr>
            <w:tcW w:w="0" w:type="dxa"/>
            <w:vAlign w:val="bottom"/>
          </w:tcPr>
          <w:p>
            <w:pPr>
              <w:spacing w:after="0"/>
              <w:rPr>
                <w:sz w:val="1"/>
                <w:szCs w:val="1"/>
                <w:color w:val="auto"/>
              </w:rPr>
            </w:pPr>
          </w:p>
        </w:tc>
      </w:tr>
      <w:tr>
        <w:trPr>
          <w:trHeight w:val="148"/>
        </w:trPr>
        <w:tc>
          <w:tcPr>
            <w:tcW w:w="276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gridSpan w:val="7"/>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Clean Technology</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gridSpan w:val="7"/>
          </w:tcPr>
          <w:p>
            <w:pPr>
              <w:ind w:left="360"/>
              <w:spacing w:after="0" w:line="126" w:lineRule="exact"/>
              <w:rPr>
                <w:sz w:val="20"/>
                <w:szCs w:val="20"/>
                <w:color w:val="auto"/>
              </w:rPr>
            </w:pPr>
            <w:r>
              <w:rPr>
                <w:rFonts w:ascii="Times New Roman" w:cs="Times New Roman" w:eastAsia="Times New Roman" w:hAnsi="Times New Roman"/>
                <w:sz w:val="14"/>
                <w:szCs w:val="14"/>
                <w:color w:val="auto"/>
              </w:rPr>
              <w:t>SPBRX, INC. (f/k/a GSV Sustainability</w:t>
            </w:r>
          </w:p>
        </w:tc>
        <w:tc>
          <w:tcPr>
            <w:tcW w:w="8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100,000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6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auto"/>
              </w:rPr>
              <w:t>Partners, Inc.)–Common shares</w:t>
            </w: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gridSpan w:val="7"/>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Mobile Finance Technology</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gridSpan w:val="7"/>
          </w:tcPr>
          <w:p>
            <w:pPr>
              <w:ind w:left="360"/>
              <w:spacing w:after="0" w:line="126" w:lineRule="exact"/>
              <w:rPr>
                <w:sz w:val="20"/>
                <w:szCs w:val="20"/>
                <w:color w:val="auto"/>
              </w:rPr>
            </w:pPr>
            <w:r>
              <w:rPr>
                <w:rFonts w:ascii="Times New Roman" w:cs="Times New Roman" w:eastAsia="Times New Roman" w:hAnsi="Times New Roman"/>
                <w:sz w:val="14"/>
                <w:szCs w:val="14"/>
                <w:color w:val="auto"/>
              </w:rPr>
              <w:t>Architect Capital PayJoy SPV, LLC**–</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60" w:type="dxa"/>
            <w:vAlign w:val="bottom"/>
            <w:gridSpan w:val="7"/>
          </w:tcPr>
          <w:p>
            <w:pPr>
              <w:ind w:left="360"/>
              <w:spacing w:after="0" w:line="149" w:lineRule="exact"/>
              <w:rPr>
                <w:sz w:val="20"/>
                <w:szCs w:val="20"/>
                <w:color w:val="auto"/>
              </w:rPr>
            </w:pPr>
            <w:r>
              <w:rPr>
                <w:rFonts w:ascii="Times New Roman" w:cs="Times New Roman" w:eastAsia="Times New Roman" w:hAnsi="Times New Roman"/>
                <w:sz w:val="14"/>
                <w:szCs w:val="14"/>
                <w:color w:val="auto"/>
              </w:rPr>
              <w:t>Membership Interest in Lending</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10,000,000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1,685,000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tcPr>
          <w:p>
            <w:pPr>
              <w:spacing w:after="0"/>
              <w:rPr>
                <w:sz w:val="12"/>
                <w:szCs w:val="12"/>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10,000,000</w:t>
            </w:r>
          </w:p>
        </w:tc>
        <w:tc>
          <w:tcPr>
            <w:tcW w:w="9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171"/>
        </w:trPr>
        <w:tc>
          <w:tcPr>
            <w:tcW w:w="276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auto"/>
              </w:rPr>
              <w:t>SPV***</w:t>
            </w:r>
          </w:p>
        </w:tc>
        <w:tc>
          <w:tcPr>
            <w:tcW w:w="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gridSpan w:val="7"/>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Special Purpose Acquisition Company</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60" w:type="dxa"/>
            <w:vAlign w:val="bottom"/>
            <w:gridSpan w:val="7"/>
          </w:tcPr>
          <w:p>
            <w:pPr>
              <w:ind w:left="360"/>
              <w:spacing w:after="0" w:line="138" w:lineRule="exact"/>
              <w:rPr>
                <w:sz w:val="20"/>
                <w:szCs w:val="20"/>
                <w:color w:val="auto"/>
              </w:rPr>
            </w:pPr>
            <w:r>
              <w:rPr>
                <w:rFonts w:ascii="Times New Roman" w:cs="Times New Roman" w:eastAsia="Times New Roman" w:hAnsi="Times New Roman"/>
                <w:sz w:val="14"/>
                <w:szCs w:val="14"/>
                <w:color w:val="auto"/>
              </w:rPr>
              <w:t>Colombier Sponsor LLC**–Class B</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760" w:type="dxa"/>
            <w:vAlign w:val="bottom"/>
            <w:gridSpan w:val="7"/>
          </w:tcPr>
          <w:p>
            <w:pPr>
              <w:ind w:left="360"/>
              <w:spacing w:after="0" w:line="200" w:lineRule="exact"/>
              <w:rPr>
                <w:sz w:val="20"/>
                <w:szCs w:val="20"/>
                <w:color w:val="auto"/>
              </w:rPr>
            </w:pPr>
            <w:r>
              <w:rPr>
                <w:rFonts w:ascii="Times New Roman" w:cs="Times New Roman" w:eastAsia="Times New Roman" w:hAnsi="Times New Roman"/>
                <w:sz w:val="14"/>
                <w:szCs w:val="14"/>
                <w:color w:val="auto"/>
              </w:rPr>
              <w:t>Units</w:t>
            </w:r>
            <w:r>
              <w:rPr>
                <w:rFonts w:ascii="Times New Roman" w:cs="Times New Roman" w:eastAsia="Times New Roman" w:hAnsi="Times New Roman"/>
                <w:sz w:val="23"/>
                <w:szCs w:val="23"/>
                <w:color w:val="auto"/>
                <w:vertAlign w:val="superscript"/>
              </w:rPr>
              <w:t>(7)</w:t>
            </w:r>
          </w:p>
        </w:tc>
        <w:tc>
          <w:tcPr>
            <w:tcW w:w="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1,976,033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1,554,354</w:t>
            </w:r>
          </w:p>
        </w:tc>
        <w:tc>
          <w:tcPr>
            <w:tcW w:w="10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1,554,355</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0.74%</w:t>
            </w:r>
          </w:p>
        </w:tc>
        <w:tc>
          <w:tcPr>
            <w:tcW w:w="0" w:type="dxa"/>
            <w:vAlign w:val="bottom"/>
          </w:tcPr>
          <w:p>
            <w:pPr>
              <w:spacing w:after="0"/>
              <w:rPr>
                <w:sz w:val="1"/>
                <w:szCs w:val="1"/>
                <w:color w:val="auto"/>
              </w:rPr>
            </w:pPr>
          </w:p>
        </w:tc>
      </w:tr>
      <w:tr>
        <w:trPr>
          <w:trHeight w:val="182"/>
        </w:trPr>
        <w:tc>
          <w:tcPr>
            <w:tcW w:w="27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Common Stock</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1,685,000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11,554,354</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11,554,355</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107"/>
        </w:trPr>
        <w:tc>
          <w:tcPr>
            <w:tcW w:w="2760" w:type="dxa"/>
            <w:vAlign w:val="bottom"/>
            <w:tcBorders>
              <w:top w:val="single" w:sz="8" w:color="CCEEFF"/>
            </w:tcBorders>
            <w:gridSpan w:val="7"/>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TOTAL CONTROLLED</w:t>
            </w:r>
          </w:p>
        </w:tc>
        <w:tc>
          <w:tcPr>
            <w:tcW w:w="80" w:type="dxa"/>
            <w:vAlign w:val="bottom"/>
            <w:tcBorders>
              <w:top w:val="single" w:sz="8" w:color="CCEEFF"/>
            </w:tcBorders>
          </w:tcPr>
          <w:p>
            <w:pPr>
              <w:spacing w:after="0"/>
              <w:rPr>
                <w:sz w:val="9"/>
                <w:szCs w:val="9"/>
                <w:color w:val="auto"/>
              </w:rPr>
            </w:pPr>
          </w:p>
        </w:tc>
        <w:tc>
          <w:tcPr>
            <w:tcW w:w="66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760" w:type="dxa"/>
            <w:vAlign w:val="bottom"/>
            <w:gridSpan w:val="7"/>
          </w:tcPr>
          <w:p>
            <w:pPr>
              <w:spacing w:after="0" w:line="203" w:lineRule="exact"/>
              <w:rPr>
                <w:sz w:val="20"/>
                <w:szCs w:val="20"/>
                <w:color w:val="auto"/>
              </w:rPr>
            </w:pPr>
            <w:r>
              <w:rPr>
                <w:rFonts w:ascii="Times New Roman" w:cs="Times New Roman" w:eastAsia="Times New Roman" w:hAnsi="Times New Roman"/>
                <w:sz w:val="14"/>
                <w:szCs w:val="14"/>
                <w:b w:val="1"/>
                <w:bCs w:val="1"/>
                <w:color w:val="auto"/>
              </w:rPr>
              <w:t>INVESTMENTS*</w:t>
            </w:r>
            <w:r>
              <w:rPr>
                <w:rFonts w:ascii="Times New Roman" w:cs="Times New Roman" w:eastAsia="Times New Roman" w:hAnsi="Times New Roman"/>
                <w:sz w:val="23"/>
                <w:szCs w:val="23"/>
                <w:b w:val="1"/>
                <w:bCs w:val="1"/>
                <w:color w:val="auto"/>
                <w:vertAlign w:val="superscript"/>
              </w:rPr>
              <w:t>(2)</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1,685,000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13,758,874</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(63,004)</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13,695,870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6.52%</w:t>
            </w:r>
          </w:p>
        </w:tc>
        <w:tc>
          <w:tcPr>
            <w:tcW w:w="0" w:type="dxa"/>
            <w:vAlign w:val="bottom"/>
          </w:tcPr>
          <w:p>
            <w:pPr>
              <w:spacing w:after="0"/>
              <w:rPr>
                <w:sz w:val="1"/>
                <w:szCs w:val="1"/>
                <w:color w:val="auto"/>
              </w:rPr>
            </w:pPr>
          </w:p>
        </w:tc>
      </w:tr>
      <w:tr>
        <w:trPr>
          <w:trHeight w:val="135"/>
        </w:trPr>
        <w:tc>
          <w:tcPr>
            <w:tcW w:w="2760" w:type="dxa"/>
            <w:vAlign w:val="bottom"/>
            <w:gridSpan w:val="7"/>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NON-CONTROLLED/AFFILIATE</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20" w:type="dxa"/>
            <w:vAlign w:val="bottom"/>
            <w:tcBorders>
              <w:top w:val="single" w:sz="8" w:color="auto"/>
              <w:bottom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4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w w:val="93"/>
              </w:rPr>
              <w:t>(1)</w:t>
            </w:r>
          </w:p>
        </w:tc>
        <w:tc>
          <w:tcPr>
            <w:tcW w:w="960" w:type="dxa"/>
            <w:vAlign w:val="bottom"/>
            <w:tcBorders>
              <w:top w:val="single" w:sz="8" w:color="auto"/>
              <w:bottom w:val="single" w:sz="8" w:color="auto"/>
            </w:tcBorders>
            <w:gridSpan w:val="2"/>
            <w:vMerge w:val="restart"/>
            <w:shd w:val="clear" w:color="auto" w:fill="CCEEFF"/>
          </w:tcPr>
          <w:p>
            <w:pPr>
              <w:spacing w:after="0"/>
              <w:rPr>
                <w:sz w:val="10"/>
                <w:szCs w:val="10"/>
                <w:color w:val="auto"/>
              </w:rPr>
            </w:pPr>
          </w:p>
        </w:tc>
        <w:tc>
          <w:tcPr>
            <w:tcW w:w="54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74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7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120" w:type="dxa"/>
            <w:vAlign w:val="bottom"/>
            <w:tcBorders>
              <w:bottom w:val="single" w:sz="8" w:color="auto"/>
            </w:tcBorders>
            <w:vMerge w:val="continue"/>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960" w:type="dxa"/>
            <w:vAlign w:val="bottom"/>
            <w:tcBorders>
              <w:bottom w:val="single" w:sz="8" w:color="CCEEFF"/>
            </w:tcBorders>
            <w:gridSpan w:val="2"/>
            <w:vMerge w:val="continue"/>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4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74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7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760" w:type="dxa"/>
            <w:vAlign w:val="bottom"/>
            <w:gridSpan w:val="7"/>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Debt Investments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gridSpan w:val="7"/>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Global Innovation Platform</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gridSpan w:val="7"/>
          </w:tcPr>
          <w:p>
            <w:pPr>
              <w:ind w:left="360"/>
              <w:spacing w:after="0" w:line="126" w:lineRule="exact"/>
              <w:rPr>
                <w:sz w:val="20"/>
                <w:szCs w:val="20"/>
                <w:color w:val="auto"/>
              </w:rPr>
            </w:pPr>
            <w:r>
              <w:rPr>
                <w:rFonts w:ascii="Times New Roman" w:cs="Times New Roman" w:eastAsia="Times New Roman" w:hAnsi="Times New Roman"/>
                <w:sz w:val="14"/>
                <w:szCs w:val="14"/>
                <w:color w:val="auto"/>
              </w:rPr>
              <w:t>OneValley, Inc. (f/k/a NestGSV, Inc.) –</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76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auto"/>
              </w:rPr>
              <w:t>Convertible Promissory Note 8%, Due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360"/>
              <w:spacing w:after="0" w:line="200" w:lineRule="exact"/>
              <w:rPr>
                <w:sz w:val="20"/>
                <w:szCs w:val="20"/>
                <w:color w:val="auto"/>
              </w:rPr>
            </w:pPr>
            <w:r>
              <w:rPr>
                <w:rFonts w:ascii="Times New Roman" w:cs="Times New Roman" w:eastAsia="Times New Roman" w:hAnsi="Times New Roman"/>
                <w:sz w:val="14"/>
                <w:szCs w:val="14"/>
                <w:color w:val="auto"/>
                <w:w w:val="99"/>
              </w:rPr>
              <w:t>8/23/2024</w:t>
            </w:r>
            <w:r>
              <w:rPr>
                <w:rFonts w:ascii="Times New Roman" w:cs="Times New Roman" w:eastAsia="Times New Roman" w:hAnsi="Times New Roman"/>
                <w:sz w:val="23"/>
                <w:szCs w:val="23"/>
                <w:color w:val="auto"/>
                <w:w w:val="99"/>
                <w:vertAlign w:val="superscript"/>
              </w:rPr>
              <w:t>(3)</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1,010,198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505,099</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1,483,101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1,988,200</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0.95%</w:t>
            </w:r>
          </w:p>
        </w:tc>
        <w:tc>
          <w:tcPr>
            <w:tcW w:w="0" w:type="dxa"/>
            <w:vAlign w:val="bottom"/>
          </w:tcPr>
          <w:p>
            <w:pPr>
              <w:spacing w:after="0"/>
              <w:rPr>
                <w:sz w:val="1"/>
                <w:szCs w:val="1"/>
                <w:color w:val="auto"/>
              </w:rPr>
            </w:pPr>
          </w:p>
        </w:tc>
      </w:tr>
      <w:tr>
        <w:trPr>
          <w:trHeight w:val="148"/>
        </w:trPr>
        <w:tc>
          <w:tcPr>
            <w:tcW w:w="2760" w:type="dxa"/>
            <w:vAlign w:val="bottom"/>
            <w:gridSpan w:val="7"/>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505,099</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1,483,101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1,988,200</w:t>
            </w:r>
          </w:p>
        </w:tc>
        <w:tc>
          <w:tcPr>
            <w:tcW w:w="9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0.95%</w:t>
            </w:r>
          </w:p>
        </w:tc>
        <w:tc>
          <w:tcPr>
            <w:tcW w:w="0" w:type="dxa"/>
            <w:vAlign w:val="bottom"/>
          </w:tcPr>
          <w:p>
            <w:pPr>
              <w:spacing w:after="0"/>
              <w:rPr>
                <w:sz w:val="1"/>
                <w:szCs w:val="1"/>
                <w:color w:val="auto"/>
              </w:rPr>
            </w:pPr>
          </w:p>
        </w:tc>
      </w:tr>
      <w:tr>
        <w:trPr>
          <w:trHeight w:val="148"/>
        </w:trPr>
        <w:tc>
          <w:tcPr>
            <w:tcW w:w="276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gridSpan w:val="7"/>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Knowledge Networks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gridSpan w:val="7"/>
          </w:tcPr>
          <w:p>
            <w:pPr>
              <w:ind w:left="360"/>
              <w:spacing w:after="0" w:line="126" w:lineRule="exact"/>
              <w:rPr>
                <w:sz w:val="20"/>
                <w:szCs w:val="20"/>
                <w:color w:val="auto"/>
              </w:rPr>
            </w:pPr>
            <w:r>
              <w:rPr>
                <w:rFonts w:ascii="Times New Roman" w:cs="Times New Roman" w:eastAsia="Times New Roman" w:hAnsi="Times New Roman"/>
                <w:sz w:val="14"/>
                <w:szCs w:val="14"/>
                <w:color w:val="auto"/>
              </w:rPr>
              <w:t>Maven Research, Inc.–Preferred shares,</w:t>
            </w:r>
          </w:p>
        </w:tc>
        <w:tc>
          <w:tcPr>
            <w:tcW w:w="8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318,979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6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auto"/>
              </w:rPr>
              <w:t>Series C</w:t>
            </w: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gridSpan w:val="7"/>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Maven Research, Inc.–Preferred shares,</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6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Series B</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49,505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gridSpan w:val="7"/>
            <w:vMerge w:val="restart"/>
          </w:tcPr>
          <w:p>
            <w:pPr>
              <w:ind w:left="180"/>
              <w:spacing w:after="0" w:line="155" w:lineRule="exact"/>
              <w:rPr>
                <w:sz w:val="20"/>
                <w:szCs w:val="20"/>
                <w:color w:val="auto"/>
              </w:rPr>
            </w:pPr>
            <w:r>
              <w:rPr>
                <w:rFonts w:ascii="Times New Roman" w:cs="Times New Roman" w:eastAsia="Times New Roman" w:hAnsi="Times New Roman"/>
                <w:sz w:val="14"/>
                <w:szCs w:val="14"/>
                <w:i w:val="1"/>
                <w:iCs w:val="1"/>
                <w:color w:val="auto"/>
              </w:rPr>
              <w:t>Total Knowledge Networks</w:t>
            </w: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76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ind w:left="30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580"/>
              <w:spacing w:after="0" w:line="136"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ind w:left="8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60" w:type="dxa"/>
            <w:vAlign w:val="bottom"/>
            <w:gridSpan w:val="7"/>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Digital Media Platform</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gridSpan w:val="7"/>
          </w:tcPr>
          <w:p>
            <w:pPr>
              <w:ind w:left="360"/>
              <w:spacing w:after="0" w:line="126" w:lineRule="exact"/>
              <w:rPr>
                <w:sz w:val="20"/>
                <w:szCs w:val="20"/>
                <w:color w:val="auto"/>
              </w:rPr>
            </w:pPr>
            <w:r>
              <w:rPr>
                <w:rFonts w:ascii="Times New Roman" w:cs="Times New Roman" w:eastAsia="Times New Roman" w:hAnsi="Times New Roman"/>
                <w:sz w:val="14"/>
                <w:szCs w:val="14"/>
                <w:color w:val="auto"/>
              </w:rPr>
              <w:t>Ozy Media, Inc.–Preferred shares,</w:t>
            </w:r>
          </w:p>
        </w:tc>
        <w:tc>
          <w:tcPr>
            <w:tcW w:w="8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683,482</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6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auto"/>
              </w:rPr>
              <w:t>Series C-2 6%</w:t>
            </w: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gridSpan w:val="7"/>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Ozy Media, Inc.–Preferred shares,</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922,509</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6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Series B 6%</w:t>
            </w: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gridSpan w:val="7"/>
          </w:tcPr>
          <w:p>
            <w:pPr>
              <w:ind w:left="360"/>
              <w:spacing w:after="0" w:line="126" w:lineRule="exact"/>
              <w:rPr>
                <w:sz w:val="20"/>
                <w:szCs w:val="20"/>
                <w:color w:val="auto"/>
              </w:rPr>
            </w:pPr>
            <w:r>
              <w:rPr>
                <w:rFonts w:ascii="Times New Roman" w:cs="Times New Roman" w:eastAsia="Times New Roman" w:hAnsi="Times New Roman"/>
                <w:sz w:val="14"/>
                <w:szCs w:val="14"/>
                <w:color w:val="auto"/>
              </w:rPr>
              <w:t>Ozy Media, Inc.–Preferred shares,</w:t>
            </w:r>
          </w:p>
        </w:tc>
        <w:tc>
          <w:tcPr>
            <w:tcW w:w="8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1,090,909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6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auto"/>
              </w:rPr>
              <w:t>Series A 6%</w:t>
            </w: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gridSpan w:val="7"/>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Ozy Media, Inc.–Preferred shares,</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6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Series Seed 6%</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500,000</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gridSpan w:val="7"/>
            <w:vMerge w:val="restart"/>
          </w:tcPr>
          <w:p>
            <w:pPr>
              <w:ind w:left="180"/>
              <w:spacing w:after="0" w:line="155" w:lineRule="exact"/>
              <w:rPr>
                <w:sz w:val="20"/>
                <w:szCs w:val="20"/>
                <w:color w:val="auto"/>
              </w:rPr>
            </w:pPr>
            <w:r>
              <w:rPr>
                <w:rFonts w:ascii="Times New Roman" w:cs="Times New Roman" w:eastAsia="Times New Roman" w:hAnsi="Times New Roman"/>
                <w:sz w:val="14"/>
                <w:szCs w:val="14"/>
                <w:i w:val="1"/>
                <w:iCs w:val="1"/>
                <w:color w:val="auto"/>
              </w:rPr>
              <w:t>Total Digital Media Platform</w:t>
            </w: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76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ind w:left="30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580"/>
              <w:spacing w:after="0" w:line="136"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ind w:left="8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60" w:type="dxa"/>
            <w:vAlign w:val="bottom"/>
            <w:gridSpan w:val="7"/>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Interactive Learning</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60" w:type="dxa"/>
            <w:vAlign w:val="bottom"/>
            <w:gridSpan w:val="7"/>
          </w:tcPr>
          <w:p>
            <w:pPr>
              <w:ind w:left="360"/>
              <w:spacing w:after="0" w:line="138" w:lineRule="exact"/>
              <w:rPr>
                <w:sz w:val="20"/>
                <w:szCs w:val="20"/>
                <w:color w:val="auto"/>
              </w:rPr>
            </w:pPr>
            <w:r>
              <w:rPr>
                <w:rFonts w:ascii="Times New Roman" w:cs="Times New Roman" w:eastAsia="Times New Roman" w:hAnsi="Times New Roman"/>
                <w:sz w:val="14"/>
                <w:szCs w:val="14"/>
                <w:color w:val="auto"/>
              </w:rPr>
              <w:t>StormWind, LLC–Preferred shares,</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760" w:type="dxa"/>
            <w:vAlign w:val="bottom"/>
            <w:gridSpan w:val="7"/>
          </w:tcPr>
          <w:p>
            <w:pPr>
              <w:ind w:left="360"/>
              <w:spacing w:after="0" w:line="200" w:lineRule="exact"/>
              <w:rPr>
                <w:sz w:val="20"/>
                <w:szCs w:val="20"/>
                <w:color w:val="auto"/>
              </w:rPr>
            </w:pPr>
            <w:r>
              <w:rPr>
                <w:rFonts w:ascii="Times New Roman" w:cs="Times New Roman" w:eastAsia="Times New Roman" w:hAnsi="Times New Roman"/>
                <w:sz w:val="14"/>
                <w:szCs w:val="14"/>
                <w:color w:val="auto"/>
              </w:rPr>
              <w:t>Series D 8%</w:t>
            </w:r>
            <w:r>
              <w:rPr>
                <w:rFonts w:ascii="Times New Roman" w:cs="Times New Roman" w:eastAsia="Times New Roman" w:hAnsi="Times New Roman"/>
                <w:sz w:val="23"/>
                <w:szCs w:val="23"/>
                <w:color w:val="auto"/>
                <w:vertAlign w:val="superscript"/>
              </w:rPr>
              <w:t>(5)</w:t>
            </w:r>
          </w:p>
        </w:tc>
        <w:tc>
          <w:tcPr>
            <w:tcW w:w="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329,337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621,093</w:t>
            </w:r>
          </w:p>
        </w:tc>
        <w:tc>
          <w:tcPr>
            <w:tcW w:w="10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(87,664)</w:t>
            </w: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533,429</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38"/>
        </w:trPr>
        <w:tc>
          <w:tcPr>
            <w:tcW w:w="2760" w:type="dxa"/>
            <w:vAlign w:val="bottom"/>
            <w:gridSpan w:val="7"/>
            <w:shd w:val="clear" w:color="auto" w:fill="CCEEFF"/>
          </w:tcPr>
          <w:p>
            <w:pPr>
              <w:ind w:left="360"/>
              <w:spacing w:after="0" w:line="138" w:lineRule="exact"/>
              <w:rPr>
                <w:sz w:val="20"/>
                <w:szCs w:val="20"/>
                <w:color w:val="auto"/>
              </w:rPr>
            </w:pPr>
            <w:r>
              <w:rPr>
                <w:rFonts w:ascii="Times New Roman" w:cs="Times New Roman" w:eastAsia="Times New Roman" w:hAnsi="Times New Roman"/>
                <w:sz w:val="14"/>
                <w:szCs w:val="14"/>
                <w:color w:val="auto"/>
              </w:rPr>
              <w:t>StormWind, LLC–Preferred shares,</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760" w:type="dxa"/>
            <w:vAlign w:val="bottom"/>
            <w:gridSpan w:val="7"/>
            <w:shd w:val="clear" w:color="auto" w:fill="CCEEFF"/>
          </w:tcPr>
          <w:p>
            <w:pPr>
              <w:ind w:left="360"/>
              <w:spacing w:after="0" w:line="200" w:lineRule="exact"/>
              <w:rPr>
                <w:sz w:val="20"/>
                <w:szCs w:val="20"/>
                <w:color w:val="auto"/>
              </w:rPr>
            </w:pPr>
            <w:r>
              <w:rPr>
                <w:rFonts w:ascii="Times New Roman" w:cs="Times New Roman" w:eastAsia="Times New Roman" w:hAnsi="Times New Roman"/>
                <w:sz w:val="14"/>
                <w:szCs w:val="14"/>
                <w:color w:val="auto"/>
              </w:rPr>
              <w:t>Series C 8%</w:t>
            </w:r>
            <w:r>
              <w:rPr>
                <w:rFonts w:ascii="Times New Roman" w:cs="Times New Roman" w:eastAsia="Times New Roman" w:hAnsi="Times New Roman"/>
                <w:sz w:val="23"/>
                <w:szCs w:val="23"/>
                <w:color w:val="auto"/>
                <w:vertAlign w:val="superscript"/>
              </w:rPr>
              <w:t>(5)</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2,779,134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6,496,729</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(821,648)</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5,675,081</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38"/>
        </w:trPr>
        <w:tc>
          <w:tcPr>
            <w:tcW w:w="2760" w:type="dxa"/>
            <w:vAlign w:val="bottom"/>
            <w:gridSpan w:val="7"/>
          </w:tcPr>
          <w:p>
            <w:pPr>
              <w:ind w:left="360"/>
              <w:spacing w:after="0" w:line="138" w:lineRule="exact"/>
              <w:rPr>
                <w:sz w:val="20"/>
                <w:szCs w:val="20"/>
                <w:color w:val="auto"/>
              </w:rPr>
            </w:pPr>
            <w:r>
              <w:rPr>
                <w:rFonts w:ascii="Times New Roman" w:cs="Times New Roman" w:eastAsia="Times New Roman" w:hAnsi="Times New Roman"/>
                <w:sz w:val="14"/>
                <w:szCs w:val="14"/>
                <w:color w:val="auto"/>
              </w:rPr>
              <w:t>StormWind, LLC–Preferred shares,</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760" w:type="dxa"/>
            <w:vAlign w:val="bottom"/>
            <w:gridSpan w:val="7"/>
          </w:tcPr>
          <w:p>
            <w:pPr>
              <w:ind w:left="360"/>
              <w:spacing w:after="0" w:line="200" w:lineRule="exact"/>
              <w:rPr>
                <w:sz w:val="20"/>
                <w:szCs w:val="20"/>
                <w:color w:val="auto"/>
              </w:rPr>
            </w:pPr>
            <w:r>
              <w:rPr>
                <w:rFonts w:ascii="Times New Roman" w:cs="Times New Roman" w:eastAsia="Times New Roman" w:hAnsi="Times New Roman"/>
                <w:sz w:val="14"/>
                <w:szCs w:val="14"/>
                <w:color w:val="auto"/>
              </w:rPr>
              <w:t>Series B 8%</w:t>
            </w:r>
            <w:r>
              <w:rPr>
                <w:rFonts w:ascii="Times New Roman" w:cs="Times New Roman" w:eastAsia="Times New Roman" w:hAnsi="Times New Roman"/>
                <w:sz w:val="23"/>
                <w:szCs w:val="23"/>
                <w:color w:val="auto"/>
                <w:vertAlign w:val="superscript"/>
              </w:rPr>
              <w:t>(5)</w:t>
            </w:r>
          </w:p>
        </w:tc>
        <w:tc>
          <w:tcPr>
            <w:tcW w:w="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3,279,629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4,423,607</w:t>
            </w:r>
          </w:p>
        </w:tc>
        <w:tc>
          <w:tcPr>
            <w:tcW w:w="10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(872,976)</w:t>
            </w: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3,550,631</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38"/>
        </w:trPr>
        <w:tc>
          <w:tcPr>
            <w:tcW w:w="2760" w:type="dxa"/>
            <w:vAlign w:val="bottom"/>
            <w:gridSpan w:val="7"/>
            <w:shd w:val="clear" w:color="auto" w:fill="CCEEFF"/>
          </w:tcPr>
          <w:p>
            <w:pPr>
              <w:ind w:left="360"/>
              <w:spacing w:after="0" w:line="138" w:lineRule="exact"/>
              <w:rPr>
                <w:sz w:val="20"/>
                <w:szCs w:val="20"/>
                <w:color w:val="auto"/>
              </w:rPr>
            </w:pPr>
            <w:r>
              <w:rPr>
                <w:rFonts w:ascii="Times New Roman" w:cs="Times New Roman" w:eastAsia="Times New Roman" w:hAnsi="Times New Roman"/>
                <w:sz w:val="14"/>
                <w:szCs w:val="14"/>
                <w:color w:val="auto"/>
              </w:rPr>
              <w:t>StormWind, LLC–Preferred shares,</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760" w:type="dxa"/>
            <w:vAlign w:val="bottom"/>
            <w:gridSpan w:val="7"/>
            <w:shd w:val="clear" w:color="auto" w:fill="CCEEFF"/>
          </w:tcPr>
          <w:p>
            <w:pPr>
              <w:ind w:left="360"/>
              <w:spacing w:after="0" w:line="213" w:lineRule="exact"/>
              <w:rPr>
                <w:sz w:val="20"/>
                <w:szCs w:val="20"/>
                <w:color w:val="auto"/>
              </w:rPr>
            </w:pPr>
            <w:r>
              <w:rPr>
                <w:rFonts w:ascii="Times New Roman" w:cs="Times New Roman" w:eastAsia="Times New Roman" w:hAnsi="Times New Roman"/>
                <w:sz w:val="14"/>
                <w:szCs w:val="14"/>
                <w:color w:val="auto"/>
              </w:rPr>
              <w:t>Series A 8%</w:t>
            </w:r>
            <w:r>
              <w:rPr>
                <w:rFonts w:ascii="Times New Roman" w:cs="Times New Roman" w:eastAsia="Times New Roman" w:hAnsi="Times New Roman"/>
                <w:sz w:val="23"/>
                <w:szCs w:val="23"/>
                <w:color w:val="auto"/>
                <w:vertAlign w:val="superscript"/>
              </w:rPr>
              <w:t>(5)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366,666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(97,599)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191,694</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gridSpan w:val="7"/>
            <w:vMerge w:val="restart"/>
          </w:tcPr>
          <w:p>
            <w:pPr>
              <w:ind w:left="180"/>
              <w:spacing w:after="0" w:line="155" w:lineRule="exact"/>
              <w:rPr>
                <w:sz w:val="20"/>
                <w:szCs w:val="20"/>
                <w:color w:val="auto"/>
              </w:rPr>
            </w:pPr>
            <w:r>
              <w:rPr>
                <w:rFonts w:ascii="Times New Roman" w:cs="Times New Roman" w:eastAsia="Times New Roman" w:hAnsi="Times New Roman"/>
                <w:sz w:val="14"/>
                <w:szCs w:val="14"/>
                <w:i w:val="1"/>
                <w:iCs w:val="1"/>
                <w:color w:val="auto"/>
              </w:rPr>
              <w:t>Total Interactive Learning</w:t>
            </w: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76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11,830,722</w:t>
            </w: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ind w:left="30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580"/>
              <w:spacing w:after="0" w:line="136"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ind w:left="8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(1,879,887)</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9,950,835</w:t>
            </w:r>
          </w:p>
        </w:tc>
        <w:tc>
          <w:tcPr>
            <w:tcW w:w="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2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49"/>
        </w:trPr>
        <w:tc>
          <w:tcPr>
            <w:tcW w:w="2760" w:type="dxa"/>
            <w:vAlign w:val="bottom"/>
            <w:gridSpan w:val="7"/>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Preferred Stock</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11,830,722</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(1,879,887)</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9,950,835</w:t>
            </w:r>
          </w:p>
        </w:tc>
        <w:tc>
          <w:tcPr>
            <w:tcW w:w="9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7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gridSpan w:val="7"/>
          </w:tcPr>
          <w:p>
            <w:pPr>
              <w:ind w:left="180"/>
              <w:spacing w:after="0"/>
              <w:rPr>
                <w:sz w:val="20"/>
                <w:szCs w:val="20"/>
                <w:color w:val="auto"/>
              </w:rPr>
            </w:pPr>
            <w:r>
              <w:rPr>
                <w:rFonts w:ascii="Times New Roman" w:cs="Times New Roman" w:eastAsia="Times New Roman" w:hAnsi="Times New Roman"/>
                <w:sz w:val="14"/>
                <w:szCs w:val="14"/>
                <w:i w:val="1"/>
                <w:iCs w:val="1"/>
                <w:color w:val="auto"/>
              </w:rPr>
              <w:t>Digital Media Platform</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760" w:type="dxa"/>
            <w:vAlign w:val="bottom"/>
            <w:gridSpan w:val="7"/>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Ozy Media, Inc.–Common Warrants,</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60" w:type="dxa"/>
            <w:vAlign w:val="bottom"/>
            <w:gridSpan w:val="7"/>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Strike Price $0.01, Expiration Date</w:t>
            </w:r>
          </w:p>
        </w:tc>
        <w:tc>
          <w:tcPr>
            <w:tcW w:w="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295,565</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4/9/2028</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gridSpan w:val="7"/>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Global Innovation Platform</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gridSpan w:val="7"/>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OneValley, Inc. (f/k/a NestGSV, Inc.)–</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60" w:type="dxa"/>
            <w:vAlign w:val="bottom"/>
            <w:gridSpan w:val="7"/>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Preferred Warrant Series B, Strike Price</w:t>
            </w:r>
          </w:p>
        </w:tc>
        <w:tc>
          <w:tcPr>
            <w:tcW w:w="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(70,379)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70,379</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6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$2.31, Expiration Date 5/29/2022</w:t>
            </w: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gridSpan w:val="7"/>
          </w:tcPr>
          <w:p>
            <w:pPr>
              <w:ind w:left="360"/>
              <w:spacing w:after="0" w:line="126" w:lineRule="exact"/>
              <w:rPr>
                <w:sz w:val="20"/>
                <w:szCs w:val="20"/>
                <w:color w:val="auto"/>
              </w:rPr>
            </w:pPr>
            <w:r>
              <w:rPr>
                <w:rFonts w:ascii="Times New Roman" w:cs="Times New Roman" w:eastAsia="Times New Roman" w:hAnsi="Times New Roman"/>
                <w:sz w:val="14"/>
                <w:szCs w:val="14"/>
                <w:color w:val="auto"/>
              </w:rPr>
              <w:t>OneValley, Inc. (f/k/a NestGSV, Inc.)–</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60" w:type="dxa"/>
            <w:vAlign w:val="bottom"/>
            <w:gridSpan w:val="7"/>
          </w:tcPr>
          <w:p>
            <w:pPr>
              <w:ind w:left="360"/>
              <w:spacing w:after="0" w:line="149" w:lineRule="exact"/>
              <w:rPr>
                <w:sz w:val="20"/>
                <w:szCs w:val="20"/>
                <w:color w:val="auto"/>
              </w:rPr>
            </w:pPr>
            <w:r>
              <w:rPr>
                <w:rFonts w:ascii="Times New Roman" w:cs="Times New Roman" w:eastAsia="Times New Roman" w:hAnsi="Times New Roman"/>
                <w:sz w:val="14"/>
                <w:szCs w:val="14"/>
                <w:color w:val="auto"/>
              </w:rPr>
              <w:t>Preferred Warrant Series B, Strike Price</w:t>
            </w:r>
          </w:p>
        </w:tc>
        <w:tc>
          <w:tcPr>
            <w:tcW w:w="80" w:type="dxa"/>
            <w:vAlign w:val="bottom"/>
          </w:tcPr>
          <w:p>
            <w:pPr>
              <w:spacing w:after="0"/>
              <w:rPr>
                <w:sz w:val="12"/>
                <w:szCs w:val="12"/>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250,000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2"/>
                <w:szCs w:val="12"/>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tcPr>
          <w:p>
            <w:pPr>
              <w:spacing w:after="0"/>
              <w:rPr>
                <w:sz w:val="12"/>
                <w:szCs w:val="12"/>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76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auto"/>
              </w:rPr>
              <w:t>$2.31, Expiration Date 12/31/2023</w:t>
            </w: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760" w:type="dxa"/>
            <w:vAlign w:val="bottom"/>
            <w:gridSpan w:val="7"/>
            <w:shd w:val="clear" w:color="auto" w:fill="CCEEFF"/>
          </w:tcPr>
          <w:p>
            <w:pPr>
              <w:ind w:left="360"/>
              <w:spacing w:after="0" w:line="131" w:lineRule="exact"/>
              <w:rPr>
                <w:sz w:val="20"/>
                <w:szCs w:val="20"/>
                <w:color w:val="auto"/>
              </w:rPr>
            </w:pPr>
            <w:r>
              <w:rPr>
                <w:rFonts w:ascii="Times New Roman" w:cs="Times New Roman" w:eastAsia="Times New Roman" w:hAnsi="Times New Roman"/>
                <w:sz w:val="14"/>
                <w:szCs w:val="14"/>
                <w:color w:val="auto"/>
              </w:rPr>
              <w:t>OneValley, Inc. (f/k/a NestGSV, Inc.)–</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6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 Security, Expiration Date</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120" w:type="dxa"/>
            <w:vAlign w:val="bottom"/>
            <w:shd w:val="clear" w:color="auto" w:fill="CCEEFF"/>
          </w:tcPr>
          <w:p>
            <w:pPr>
              <w:ind w:left="360"/>
              <w:spacing w:after="0" w:line="213" w:lineRule="exact"/>
              <w:rPr>
                <w:sz w:val="20"/>
                <w:szCs w:val="20"/>
                <w:color w:val="auto"/>
              </w:rPr>
            </w:pPr>
            <w:r>
              <w:rPr>
                <w:rFonts w:ascii="Times New Roman" w:cs="Times New Roman" w:eastAsia="Times New Roman" w:hAnsi="Times New Roman"/>
                <w:sz w:val="14"/>
                <w:szCs w:val="14"/>
                <w:color w:val="auto"/>
                <w:w w:val="99"/>
              </w:rPr>
              <w:t>8/23/2024</w:t>
            </w:r>
            <w:r>
              <w:rPr>
                <w:rFonts w:ascii="Times New Roman" w:cs="Times New Roman" w:eastAsia="Times New Roman" w:hAnsi="Times New Roman"/>
                <w:sz w:val="23"/>
                <w:szCs w:val="23"/>
                <w:color w:val="auto"/>
                <w:w w:val="99"/>
                <w:vertAlign w:val="superscript"/>
              </w:rPr>
              <w:t>(6)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2,268,268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(1,616,141)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652,127</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gridSpan w:val="7"/>
            <w:vMerge w:val="restart"/>
          </w:tcPr>
          <w:p>
            <w:pPr>
              <w:ind w:left="180"/>
              <w:spacing w:after="0" w:line="155" w:lineRule="exact"/>
              <w:rPr>
                <w:sz w:val="20"/>
                <w:szCs w:val="20"/>
                <w:color w:val="auto"/>
              </w:rPr>
            </w:pPr>
            <w:r>
              <w:rPr>
                <w:rFonts w:ascii="Times New Roman" w:cs="Times New Roman" w:eastAsia="Times New Roman" w:hAnsi="Times New Roman"/>
                <w:sz w:val="14"/>
                <w:szCs w:val="14"/>
                <w:i w:val="1"/>
                <w:iCs w:val="1"/>
                <w:color w:val="auto"/>
              </w:rPr>
              <w:t>Total Global Innovation Platform</w:t>
            </w: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76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2,273,268</w:t>
            </w: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ind w:left="30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580"/>
              <w:spacing w:after="0" w:line="136"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(70,379)</w:t>
            </w:r>
          </w:p>
        </w:tc>
        <w:tc>
          <w:tcPr>
            <w:tcW w:w="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(1,550,762)</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652,127</w:t>
            </w:r>
          </w:p>
        </w:tc>
        <w:tc>
          <w:tcPr>
            <w:tcW w:w="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2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176"/>
        </w:trPr>
        <w:tc>
          <w:tcPr>
            <w:tcW w:w="27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Options</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2,273,268</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(70,379)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(1,550,762)</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652,127</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175"/>
        </w:trPr>
        <w:tc>
          <w:tcPr>
            <w:tcW w:w="27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60" w:type="dxa"/>
            <w:vAlign w:val="bottom"/>
            <w:gridSpan w:val="7"/>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Online Education</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6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auto"/>
              </w:rPr>
              <w:t>Curious.com, Inc.–Common shares</w:t>
            </w:r>
          </w:p>
        </w:tc>
        <w:tc>
          <w:tcPr>
            <w:tcW w:w="8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1,135,944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2760" w:type="dxa"/>
            <w:vAlign w:val="bottom"/>
            <w:gridSpan w:val="7"/>
            <w:shd w:val="clear" w:color="auto" w:fill="CCEEFF"/>
          </w:tcPr>
          <w:p>
            <w:pPr>
              <w:ind w:left="360"/>
              <w:spacing w:after="0" w:line="144" w:lineRule="exact"/>
              <w:rPr>
                <w:sz w:val="20"/>
                <w:szCs w:val="20"/>
                <w:color w:val="auto"/>
              </w:rPr>
            </w:pPr>
            <w:r>
              <w:rPr>
                <w:rFonts w:ascii="Times New Roman" w:cs="Times New Roman" w:eastAsia="Times New Roman" w:hAnsi="Times New Roman"/>
                <w:sz w:val="14"/>
                <w:szCs w:val="14"/>
                <w:b w:val="1"/>
                <w:bCs w:val="1"/>
                <w:color w:val="auto"/>
              </w:rPr>
              <w:t>Total Common Stock</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ectPr>
          <w:pgSz w:w="11900" w:h="16900" w:orient="portrait"/>
          <w:cols w:equalWidth="0" w:num="1">
            <w:col w:w="11240"/>
          </w:cols>
          <w:pgMar w:left="320" w:top="229" w:right="339" w:bottom="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TOTAL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CONTROLLED/AFFILIATE</w:t>
      </w:r>
    </w:p>
    <w:p>
      <w:pPr>
        <w:spacing w:after="0"/>
        <w:tabs>
          <w:tab w:leader="none" w:pos="3620" w:val="left"/>
          <w:tab w:leader="none" w:pos="4160" w:val="left"/>
          <w:tab w:leader="none" w:pos="4420" w:val="left"/>
          <w:tab w:leader="none" w:pos="5300" w:val="left"/>
          <w:tab w:leader="none" w:pos="5700" w:val="left"/>
          <w:tab w:leader="none" w:pos="5980" w:val="left"/>
          <w:tab w:leader="none" w:pos="6640" w:val="left"/>
          <w:tab w:leader="none" w:pos="6920" w:val="left"/>
          <w:tab w:leader="none" w:pos="7160" w:val="left"/>
          <w:tab w:leader="none" w:pos="7440" w:val="left"/>
          <w:tab w:leader="none" w:pos="7880" w:val="left"/>
          <w:tab w:leader="none" w:pos="8740" w:val="left"/>
          <w:tab w:leader="none" w:pos="10820" w:val="left"/>
        </w:tabs>
        <w:rPr>
          <w:sz w:val="20"/>
          <w:szCs w:val="20"/>
          <w:color w:val="auto"/>
        </w:rPr>
      </w:pPr>
      <w:r>
        <w:rPr>
          <w:rFonts w:ascii="Times New Roman" w:cs="Times New Roman" w:eastAsia="Times New Roman" w:hAnsi="Times New Roman"/>
          <w:sz w:val="28"/>
          <w:szCs w:val="28"/>
          <w:b w:val="1"/>
          <w:bCs w:val="1"/>
          <w:color w:val="auto"/>
          <w:vertAlign w:val="superscript"/>
        </w:rPr>
        <w:t>INVESTMENTS*</w:t>
      </w:r>
      <w:r>
        <w:rPr>
          <w:rFonts w:ascii="Times New Roman" w:cs="Times New Roman" w:eastAsia="Times New Roman" w:hAnsi="Times New Roman"/>
          <w:sz w:val="23"/>
          <w:szCs w:val="23"/>
          <w:b w:val="1"/>
          <w:bCs w:val="1"/>
          <w:color w:val="auto"/>
          <w:vertAlign w:val="superscript"/>
        </w:rPr>
        <w:t>(1)</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u w:val="single" w:color="auto"/>
          <w:color w:val="auto"/>
        </w:rPr>
        <w:t>$ 14,609,089</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tab/>
        <w:t>$</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u w:val="single" w:color="auto"/>
          <w:color w:val="auto"/>
        </w:rPr>
        <w:t>$</w:t>
        <w:tab/>
        <w:t>—</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(70,379</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u w:val="single" w:color="auto"/>
          <w:color w:val="auto"/>
        </w:rPr>
        <w:t>$</w:t>
      </w:r>
      <w:r>
        <w:rPr>
          <w:sz w:val="20"/>
          <w:szCs w:val="20"/>
          <w:color w:val="auto"/>
        </w:rPr>
        <w:tab/>
      </w:r>
      <w:r>
        <w:rPr>
          <w:rFonts w:ascii="Times New Roman" w:cs="Times New Roman" w:eastAsia="Times New Roman" w:hAnsi="Times New Roman"/>
          <w:sz w:val="14"/>
          <w:szCs w:val="14"/>
          <w:b w:val="1"/>
          <w:bCs w:val="1"/>
          <w:u w:val="single" w:color="auto"/>
          <w:color w:val="auto"/>
        </w:rPr>
        <w:t>(1,947,548</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14"/>
          <w:szCs w:val="14"/>
          <w:b w:val="1"/>
          <w:bCs w:val="1"/>
          <w:u w:val="single" w:color="auto"/>
          <w:color w:val="auto"/>
        </w:rPr>
        <w:t xml:space="preserve">  $ 12,591,162</w:t>
      </w:r>
      <w:r>
        <w:rPr>
          <w:sz w:val="20"/>
          <w:szCs w:val="20"/>
          <w:color w:val="auto"/>
        </w:rPr>
        <w:tab/>
      </w:r>
      <w:r>
        <w:rPr>
          <w:rFonts w:ascii="Times New Roman" w:cs="Times New Roman" w:eastAsia="Times New Roman" w:hAnsi="Times New Roman"/>
          <w:sz w:val="13"/>
          <w:szCs w:val="13"/>
          <w:b w:val="1"/>
          <w:bCs w:val="1"/>
          <w:color w:val="auto"/>
        </w:rPr>
        <w:t>6.00</w:t>
      </w:r>
      <w:r>
        <w:rPr>
          <w:rFonts w:ascii="Times New Roman" w:cs="Times New Roman" w:eastAsia="Times New Roman" w:hAnsi="Times New Roman"/>
          <w:sz w:val="25"/>
          <w:szCs w:val="25"/>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6614160</wp:posOffset>
            </wp:positionH>
            <wp:positionV relativeFrom="paragraph">
              <wp:posOffset>-67310</wp:posOffset>
            </wp:positionV>
            <wp:extent cx="4286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-67310</wp:posOffset>
            </wp:positionV>
            <wp:extent cx="473202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32020" cy="26035"/>
                    </a:xfrm>
                    <a:prstGeom prst="rect">
                      <a:avLst/>
                    </a:prstGeom>
                    <a:noFill/>
                  </pic:spPr>
                </pic:pic>
              </a:graphicData>
            </a:graphic>
          </wp:anchor>
        </w:drawing>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214312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both"/>
        <w:ind w:left="660" w:hanging="652"/>
        <w:spacing w:after="0" w:line="254"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92" w:lineRule="exact"/>
        <w:rPr>
          <w:sz w:val="20"/>
          <w:szCs w:val="20"/>
          <w:color w:val="auto"/>
        </w:rPr>
      </w:pPr>
    </w:p>
    <w:p>
      <w:pPr>
        <w:ind w:left="66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SuRo Capital Corp. believes do not represent “qualifying assets” under Section 55(a) of the 1940 Act. Of the Company’s total investments as of December 31, 2022, 14.47% of its total investments are non-qualifying assets.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income-producing.</w:t>
      </w:r>
    </w:p>
    <w:p>
      <w:pPr>
        <w:spacing w:after="0" w:line="225" w:lineRule="exact"/>
        <w:rPr>
          <w:sz w:val="20"/>
          <w:szCs w:val="20"/>
          <w:color w:val="auto"/>
        </w:rPr>
      </w:pPr>
    </w:p>
    <w:p>
      <w:pPr>
        <w:jc w:val="both"/>
        <w:ind w:left="66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securities with the right to elect directors) of such company.</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investments noted had been placed on non-accrual status.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SPBRX, INC. (f/k/a GSV Sustainability Partners, Inc.) preferred shares held by SuRo Capital Corp. do not entitle SuRo Capital Corp. to a preferred dividend rate. SuRo Capital Corp. does not anticipate that SPBRX, INC. will pay distributions on a quarterly or regular basis or become a predictable distributor of distributions.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StormWind, LLC are held through SuRo Capital Corp.’s wholly owned subsidiary, GSVC SW Holdings,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 common stock. On October 27, 2021, our Board of Directors approved an extension of the Share Repurchase Program until the earlier of (i) October 31, 2022 or (ii) the repurchase of $40.0 million in aggregate amount of our common stock. On March 13, 2022, our Board of Directors authorized a $15.0 million increase in the amount of shares of our common stock that may be repurchased under the discretionary Share Repurchase Program until the earlier of (i) October 31, 2022 or (ii) the repurchase of $55.0 million in aggregate amount of our common stock. On October 19, 2022, the Company’s Board of Directors approved an extension of the Share Repurchase Program until the earlier of (i) October 31, 2023 or (ii) the repurchase of $55.0 million in aggregate amount of the Company’s common stock.</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2023, the Company did not repurchase any shares of the Company’s common stock under the Share Repurchase Program. During the three months ended March 31, 2022, the Company repurchased 153,517 shares of the Company’s common stock under the Share Repurchase Program. As of March 31, 2023, the dollar value of shares that remained available to be purchased by the Company under the Share Repurchase Program was approximately $16.4 million. On October 19, 2022, the Company’s Board of Directors approved an extension of the Share Repurchase Program until the earlier of (i) October 31, 2023 or (ii) the repurchase of $55.0 million in aggregate amount of the Company’s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2019 Equity Incentive Plan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Refer to “Note 11—Stock-Based Compensation” for a description of the Company’s restricted shares of common stock granted under the Amended &amp; Restated 2019 Equity Incentive Plan (as defined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 million in aggregate amount of shares of its common stock (the “Shares”) from time to time through the Agents or to them as principal for their own account (the “ATM Program”). On September 23, 2020, the Company increased the maximum amount of Shares to be sold through the ATM Program to $150.0 million from $50.0 million. In connection with the upsize of the ATM Program to $150.0 million, the Company entered into Amendment No. 1 to the At-the-Market Sales Agreement, dated September 23, 2020, with the Agents (the “Amendment No. 1 to the Sales Agreement,” and together with the Initial Sales Agreement, the “Sales Agreement”). The Company intends to use the net proceeds from the ATM Program to make investments in portfolio companies in accordance with its investment objective and strategy and for general corporate purposes.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of the Shares, if any, will be made by any method that is deemed to be an “at-the-market” offering as defined in Rule 415 under the Securities Act, including sales made directly on the Nasdaq Global Select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2023, the Company did not issue or sell shares under the ATM program. During the three months ended March 31, 2022, the Company issued and sold 17,807 Shares under the ATM Program at weighted-average price of $13.01 per share, for gross proceeds of $231,677 and net proceeds of $229,896, after deducting commissions to the Agents on Shares sold. As of March 31, 2023, up to approximately $98.8 million in aggregate amount of the Shares remain available for sale under the ATM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6—NET CHANGE IN NET ASSETS RESULTING FROM OPERATIONS PER COMMON SHARE—BASIC AND DILUTED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 of basic and diluted net increase in net assets resulting from operations per common share, pursuant to ASC 260, for the three months ended March 31,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37"/>
        </w:trPr>
        <w:tc>
          <w:tcPr>
            <w:tcW w:w="27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70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Earnings per common share–basic:</w:t>
            </w:r>
          </w:p>
        </w:tc>
        <w:tc>
          <w:tcPr>
            <w:tcW w:w="2840" w:type="dxa"/>
            <w:vAlign w:val="bottom"/>
            <w:tcBorders>
              <w:bottom w:val="single" w:sz="8" w:color="CCEEFF"/>
            </w:tcBorders>
            <w:gridSpan w:val="2"/>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right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change in net assets resulting from operations</w:t>
            </w:r>
          </w:p>
        </w:tc>
        <w:tc>
          <w:tcPr>
            <w:tcW w:w="18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4,616,509</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20,456,455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shares–basic</w:t>
            </w:r>
          </w:p>
        </w:tc>
        <w:tc>
          <w:tcPr>
            <w:tcW w:w="1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28,378,529</w:t>
            </w:r>
          </w:p>
        </w:tc>
        <w:tc>
          <w:tcPr>
            <w:tcW w:w="420" w:type="dxa"/>
            <w:vAlign w:val="bottom"/>
            <w:shd w:val="clear" w:color="auto" w:fill="CCEEFF"/>
          </w:tcPr>
          <w:p>
            <w:pPr>
              <w:spacing w:after="0"/>
              <w:rPr>
                <w:sz w:val="21"/>
                <w:szCs w:val="21"/>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31,228,046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60" w:type="dxa"/>
            <w:vAlign w:val="bottom"/>
            <w:tcBorders>
              <w:top w:val="single" w:sz="8" w:color="CCEEFF"/>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share–basic</w:t>
            </w:r>
          </w:p>
        </w:tc>
        <w:tc>
          <w:tcPr>
            <w:tcW w:w="142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340" w:type="dxa"/>
            <w:vAlign w:val="bottom"/>
            <w:tcBorders>
              <w:top w:val="single" w:sz="8" w:color="CCEEFF"/>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556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Earnings per common share–diluted:</w:t>
            </w: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5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7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change in net assets resulting from operations</w:t>
            </w:r>
          </w:p>
        </w:tc>
        <w:tc>
          <w:tcPr>
            <w:tcW w:w="14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4,616,509</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20,456,455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60" w:type="dxa"/>
            <w:vAlign w:val="bottom"/>
            <w:gridSpan w:val="3"/>
            <w:vMerge w:val="restart"/>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Weighted-average common shares outstanding–diluted</w:t>
            </w:r>
            <w:r>
              <w:rPr>
                <w:rFonts w:ascii="Times New Roman" w:cs="Times New Roman" w:eastAsia="Times New Roman" w:hAnsi="Times New Roman"/>
                <w:sz w:val="29"/>
                <w:szCs w:val="29"/>
                <w:color w:val="auto"/>
                <w:vertAlign w:val="superscript"/>
              </w:rPr>
              <w:t>(1)</w:t>
            </w:r>
          </w:p>
        </w:tc>
        <w:tc>
          <w:tcPr>
            <w:tcW w:w="14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5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5560" w:type="dxa"/>
            <w:vAlign w:val="bottom"/>
            <w:gridSpan w:val="3"/>
            <w:vMerge w:val="continue"/>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8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28,378,529</w:t>
            </w:r>
          </w:p>
        </w:tc>
        <w:tc>
          <w:tcPr>
            <w:tcW w:w="420" w:type="dxa"/>
            <w:vAlign w:val="bottom"/>
            <w:shd w:val="clear" w:color="auto" w:fill="CCEEFF"/>
          </w:tcPr>
          <w:p>
            <w:pPr>
              <w:spacing w:after="0"/>
              <w:rPr>
                <w:sz w:val="24"/>
                <w:szCs w:val="24"/>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31,228,046</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6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share–diluted</w:t>
            </w:r>
          </w:p>
        </w:tc>
        <w:tc>
          <w:tcPr>
            <w:tcW w:w="142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1431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45" w:lineRule="exact"/>
        <w:rPr>
          <w:sz w:val="20"/>
          <w:szCs w:val="20"/>
          <w:color w:val="auto"/>
        </w:rPr>
      </w:pPr>
    </w:p>
    <w:p>
      <w:pPr>
        <w:ind w:left="5540" w:right="2060" w:hanging="5532"/>
        <w:spacing w:after="0" w:line="532" w:lineRule="auto"/>
        <w:tabs>
          <w:tab w:leader="none" w:pos="3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2023 and March 31, 2022, there were no potentially dilutive securities outstanding.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7—COMMITMENTS AND CONTINGENCIES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may enter into investment agreements under which it commits to make an investment in a portfolio company at some future date or over a specified period of time.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&amp; Related Deposits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currently has one operating lease for office space for which the Company has recorded a right-of-use asset and lease liability for the operating lease obligation. The lease commenced June 3, 2019 and expires July 31, 2024. The lease expense is presented as a single lease cost that is amortized on a straight-line basis over the life of the lease.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March 31, 2023 and December 31, 2022, the Company booked a right-of-use asset and operating lease liability of $252,135 and $288,268, respectively, on the Condensed Consolidated Statement of Assets and Liabilities. As of March 31, 2023 and December 31, 2022, the Company recorded a security deposit of $16,574 and $16,574, respectively, on the Condensed Consolidated Statement of Assets and Liabilities. For the three months ended March 31, 2023 and 2022, the Company incurred $48,723 and $47,332, respectively, of operating lease expense. The amounts reflected on the Condensed Consolidated Statement of Assets and Liabilities have been discounted using the rate implicit in the lease. As of March 31, 2023, the remaining lease term was 1.3 years and the discount rate was 3.00%.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shows future minimum payments under the Company’s operating lease as of March 31, 2023:</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700" w:type="dxa"/>
            <w:vAlign w:val="bottom"/>
            <w:gridSpan w:val="4"/>
          </w:tcPr>
          <w:p>
            <w:pPr>
              <w:ind w:left="11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143,883</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113,603</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70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257,486</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jc w:val="right"/>
              <w:ind w:right="233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140" w:type="dxa"/>
            <w:vAlign w:val="bottom"/>
            <w:tcBorders>
              <w:bottom w:val="single" w:sz="8" w:color="auto"/>
            </w:tcBorders>
            <w:gridSpan w:val="2"/>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8—FINANCIAL HIGHLIGHTS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8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37"/>
        </w:trPr>
        <w:tc>
          <w:tcPr>
            <w:tcW w:w="77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Basic Share Data</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at beginning of the year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7.39</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11.72</w:t>
            </w:r>
          </w:p>
        </w:tc>
        <w:tc>
          <w:tcPr>
            <w:tcW w:w="0" w:type="dxa"/>
            <w:vAlign w:val="bottom"/>
          </w:tcPr>
          <w:p>
            <w:pPr>
              <w:spacing w:after="0"/>
              <w:rPr>
                <w:sz w:val="1"/>
                <w:szCs w:val="1"/>
                <w:color w:val="auto"/>
              </w:rPr>
            </w:pPr>
          </w:p>
        </w:tc>
      </w:tr>
      <w:tr>
        <w:trPr>
          <w:trHeight w:val="257"/>
        </w:trPr>
        <w:tc>
          <w:tcPr>
            <w:tcW w:w="770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Net investment loss</w:t>
            </w:r>
            <w:r>
              <w:rPr>
                <w:rFonts w:ascii="Times New Roman" w:cs="Times New Roman" w:eastAsia="Times New Roman" w:hAnsi="Times New Roman"/>
                <w:sz w:val="29"/>
                <w:szCs w:val="29"/>
                <w:color w:val="auto"/>
                <w:vertAlign w:val="superscript"/>
              </w:rPr>
              <w:t>(1)</w:t>
            </w:r>
          </w:p>
        </w:tc>
        <w:tc>
          <w:tcPr>
            <w:tcW w:w="2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57"/>
        </w:trPr>
        <w:tc>
          <w:tcPr>
            <w:tcW w:w="770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Net realized gain on investments</w:t>
            </w:r>
            <w:r>
              <w:rPr>
                <w:rFonts w:ascii="Times New Roman" w:cs="Times New Roman" w:eastAsia="Times New Roman" w:hAnsi="Times New Roman"/>
                <w:sz w:val="29"/>
                <w:szCs w:val="29"/>
                <w:color w:val="auto"/>
                <w:vertAlign w:val="superscript"/>
              </w:rPr>
              <w:t>(1)</w:t>
            </w:r>
          </w:p>
        </w:tc>
        <w:tc>
          <w:tcPr>
            <w:tcW w:w="260" w:type="dxa"/>
            <w:vAlign w:val="bottom"/>
          </w:tcPr>
          <w:p>
            <w:pPr>
              <w:spacing w:after="0"/>
              <w:rPr>
                <w:sz w:val="22"/>
                <w:szCs w:val="22"/>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57"/>
        </w:trPr>
        <w:tc>
          <w:tcPr>
            <w:tcW w:w="770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Net change in unrealized appreciation/(depreciation) of investments</w:t>
            </w:r>
            <w:r>
              <w:rPr>
                <w:rFonts w:ascii="Times New Roman" w:cs="Times New Roman" w:eastAsia="Times New Roman" w:hAnsi="Times New Roman"/>
                <w:sz w:val="29"/>
                <w:szCs w:val="29"/>
                <w:color w:val="auto"/>
                <w:vertAlign w:val="superscript"/>
              </w:rPr>
              <w:t>(1)</w:t>
            </w:r>
          </w:p>
        </w:tc>
        <w:tc>
          <w:tcPr>
            <w:tcW w:w="2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16"/>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declared</w:t>
            </w:r>
          </w:p>
        </w:tc>
        <w:tc>
          <w:tcPr>
            <w:tcW w:w="2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57"/>
        </w:trPr>
        <w:tc>
          <w:tcPr>
            <w:tcW w:w="770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Issuance of common stock from public offering</w:t>
            </w:r>
            <w:r>
              <w:rPr>
                <w:rFonts w:ascii="Times New Roman" w:cs="Times New Roman" w:eastAsia="Times New Roman" w:hAnsi="Times New Roman"/>
                <w:sz w:val="29"/>
                <w:szCs w:val="29"/>
                <w:color w:val="auto"/>
                <w:vertAlign w:val="superscript"/>
              </w:rPr>
              <w:t>(1)</w:t>
            </w:r>
          </w:p>
        </w:tc>
        <w:tc>
          <w:tcPr>
            <w:tcW w:w="2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56"/>
        </w:trPr>
        <w:tc>
          <w:tcPr>
            <w:tcW w:w="770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Repurchase of common stock</w:t>
            </w:r>
            <w:r>
              <w:rPr>
                <w:rFonts w:ascii="Times New Roman" w:cs="Times New Roman" w:eastAsia="Times New Roman" w:hAnsi="Times New Roman"/>
                <w:sz w:val="29"/>
                <w:szCs w:val="29"/>
                <w:color w:val="auto"/>
                <w:vertAlign w:val="superscript"/>
              </w:rPr>
              <w:t>(1)</w:t>
            </w:r>
          </w:p>
        </w:tc>
        <w:tc>
          <w:tcPr>
            <w:tcW w:w="260" w:type="dxa"/>
            <w:vAlign w:val="bottom"/>
          </w:tcPr>
          <w:p>
            <w:pPr>
              <w:spacing w:after="0"/>
              <w:rPr>
                <w:sz w:val="22"/>
                <w:szCs w:val="22"/>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90"/>
        </w:trPr>
        <w:tc>
          <w:tcPr>
            <w:tcW w:w="770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9"/>
                <w:szCs w:val="29"/>
                <w:color w:val="auto"/>
                <w:vertAlign w:val="superscript"/>
              </w:rPr>
              <w:t>(1)</w:t>
            </w:r>
          </w:p>
        </w:tc>
        <w:tc>
          <w:tcPr>
            <w:tcW w:w="26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57"/>
        </w:trPr>
        <w:tc>
          <w:tcPr>
            <w:tcW w:w="77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asset value at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3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2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 share market value at end of period</w:t>
            </w:r>
          </w:p>
        </w:tc>
        <w:tc>
          <w:tcPr>
            <w:tcW w:w="260" w:type="dxa"/>
            <w:vAlign w:val="bottom"/>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8.63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7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Total return based on market value</w:t>
            </w:r>
            <w:r>
              <w:rPr>
                <w:rFonts w:ascii="Times New Roman" w:cs="Times New Roman" w:eastAsia="Times New Roman" w:hAnsi="Times New Roman"/>
                <w:sz w:val="29"/>
                <w:szCs w:val="29"/>
                <w:color w:val="auto"/>
                <w:vertAlign w:val="superscript"/>
              </w:rPr>
              <w:t>(2)</w:t>
            </w:r>
          </w:p>
        </w:tc>
        <w:tc>
          <w:tcPr>
            <w:tcW w:w="260" w:type="dxa"/>
            <w:vAlign w:val="bottom"/>
          </w:tcPr>
          <w:p>
            <w:pPr>
              <w:spacing w:after="0"/>
              <w:rPr>
                <w:sz w:val="22"/>
                <w:szCs w:val="22"/>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256"/>
        </w:trPr>
        <w:tc>
          <w:tcPr>
            <w:tcW w:w="77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29"/>
                <w:szCs w:val="29"/>
                <w:color w:val="auto"/>
                <w:vertAlign w:val="superscript"/>
              </w:rPr>
              <w:t>(2)</w:t>
            </w:r>
          </w:p>
        </w:tc>
        <w:tc>
          <w:tcPr>
            <w:tcW w:w="2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2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28,338,580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31,164,443</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Ratios/Supplemental Data:</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215,043,069</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380,701,527</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net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209,347,362</w:t>
            </w:r>
          </w:p>
        </w:tc>
        <w:tc>
          <w:tcPr>
            <w:tcW w:w="4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364,015,960</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vMerge w:val="restart"/>
          </w:tcPr>
          <w:p>
            <w:pPr>
              <w:spacing w:after="0" w:line="277" w:lineRule="exact"/>
              <w:rPr>
                <w:sz w:val="20"/>
                <w:szCs w:val="20"/>
                <w:color w:val="auto"/>
              </w:rPr>
            </w:pPr>
            <w:r>
              <w:rPr>
                <w:rFonts w:ascii="Times New Roman" w:cs="Times New Roman" w:eastAsia="Times New Roman" w:hAnsi="Times New Roman"/>
                <w:sz w:val="18"/>
                <w:szCs w:val="18"/>
                <w:color w:val="auto"/>
              </w:rPr>
              <w:t>Ratio of net operating expenses to average net assets</w:t>
            </w:r>
            <w:r>
              <w:rPr>
                <w:rFonts w:ascii="Times New Roman" w:cs="Times New Roman" w:eastAsia="Times New Roman" w:hAnsi="Times New Roman"/>
                <w:sz w:val="29"/>
                <w:szCs w:val="29"/>
                <w:color w:val="auto"/>
                <w:vertAlign w:val="superscript"/>
              </w:rPr>
              <w:t>(3)</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vMerge w:val="restart"/>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Ratio of net investment loss to average net assets</w:t>
            </w:r>
            <w:r>
              <w:rPr>
                <w:rFonts w:ascii="Times New Roman" w:cs="Times New Roman" w:eastAsia="Times New Roman" w:hAnsi="Times New Roman"/>
                <w:sz w:val="26"/>
                <w:szCs w:val="26"/>
                <w:color w:val="auto"/>
                <w:vertAlign w:val="superscript"/>
              </w:rPr>
              <w:t>(3)</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Portfolio Turnover Ratio</w:t>
            </w:r>
          </w:p>
        </w:tc>
        <w:tc>
          <w:tcPr>
            <w:tcW w:w="26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weighted-average number of shares outstanding for the relevant period.</w:t>
      </w:r>
    </w:p>
    <w:p>
      <w:pPr>
        <w:spacing w:after="0" w:line="27"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is based upon the change in market price per share between the opening and ending market values per share in the period, adjusted for dividends and equity issuances. Total return based on net asset value is based upon the change in net asset value per share between the opening and ending net asset values per share in the period, adjusted for dividends and equity issuances.</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highlights for periods of less than one year are annualized and the ratios of operating expenses to average net assets and net investment loss to average net assets are adjusted accordingly. Because the ratios are calculated for the Company’s common stock taken as a whole, an individual investor’s ratios may vary from these ratios.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w:t>
      </w:r>
    </w:p>
    <w:p>
      <w:pPr>
        <w:spacing w:after="0" w:line="229"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The Company elected to be treated as a RIC under Subchapter M of the Code beginning with its taxable year ended December 31, 2014 and has qualified to be treated as a RIC for subsequent taxable years. The Company intends to continue to operate so as to qualify to be subject to tax treatment as a RIC under Subchapter M of the Code and, as such, will not be subject to U.S. federal income tax on the portion of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qualify and be subject to tax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our ordinary income (taking into account certain deferrals and elections) for each calendar year, (2) 98.2% of our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taxable subsidiaries which hold certain portfolio investments in an effort to limit potential legal liability and/or comply with source-income type requirements contained in the RIC tax provisions of the Code. These taxable subsidiaries are consolidated for GAAP and the portfolio investments held by the taxable subsidiaries are included in the Company’s consolidated financial statements and are recorded at fair value. These taxable subsidiaries are not consolidated with the Company for income tax purposes and may generate income tax expense, or benefit, and tax assets and liabilities as a result of their ownership of certain portfolio investments. Any income generated by these taxable subsidiaries generally would be subject to tax at normal corporate tax rates based on its taxable income.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8"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Company is required to include net deferred tax provision/benefit in calculating its total expenses even though these net deferred taxes are not currently payable/receivable.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80"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80"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Company and the Taxable Subsidiaries identified their major tax jurisdictions as U.S. federal, New York, and California and may be subject to the taxing authorities’ examination for the tax years 2020–2023 in New York and 2019–2023 in California, respectively. Further, the Company and the Taxable Subsidiaries accrue all interest and penalties related to uncertain tax positions as incurred. As of March 31, 2023, there were no material interest or penalties incurred related to uncertain tax positions.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 CAPITAL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6.00% Notes due 2026</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17, 2021, the Company issued $70.0 million aggregate principal amount of its 6.00% Notes due 2026 (the “6.00% Notes due 2026”), pursuant to an Indenture, dated as of March 28, 2018 (the “Base Indenture”), between the Company and U.S. Bank Trust Company, National Association (as successor in interest to U.S. Bank National Association), as trustee (the “Trustee”), as supplemented by a second supplemental indenture, dated as of December 17, 2021 (together with the Base Indenture, the “Indenture”), between the Company and the Trustee. On December 21, 2021, the Company issued an additional $5.0 million aggregate principal amount of 6.00% Notes due 2026 pursuant to an overallotment option. The 6.00% Notes due 2026 bear interest at a fixed rate of 6.00% per year, payable quarterly in arrears on March 30, June 30, September 30, and December 30 of each year, commencing on March 30, 2022. The 6.00% Notes due 2026 have a maturity date of December 30, 2026, unless previously repurchased in accordance with their terms. The Company has the right to redeem the 6.00% Notes due 2026, in whole or in part, at any time or from time to time, on or after December 30, 2024 at a redemption price of 100% of the outstanding principal amount of the 6.00% Notes due 2026 plus accrued and unpaid interest.</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6.00% Notes due 2026 are direct unsecured obligations of the Company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or equal in right of payment, with all outstanding and future unsecured, unsubordinated indebtedness of the Company; senior to any of the Company’s future indebtedness that expressly provides it is subordinated to the 6.00% Notes due 2026; effectively subordinated to any of the Company’s future secured indebtedness (including indebtedness that is initially unsecured in respect of which the Company subsequently grants a security interest), to the extent of the value of the assets securing such indebtedness (provided, however, that the Company has agreed under the Indenture to not incur any secured or unsecured indebtedness that would be senior to the 6.00% Notes due 2026 while the 6.00% Notes due 2026 are outstanding, subject to certain exceptions); and structurally subordinated to all existing and future indebtedness and other obligations of any of the Company’s subsidiaries.</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6.00% Notes due 2026 are listed for trading on the Nasdaq Global Select Market under the symbol “SSSSL”. The reported closing market price of SSSSL on March 31, 2023 and December 31, 2022 was $23.50 and $23.51 per note, respectively. As of March 31, 2023 and December 31, 2022, the fair value of the 6.00% Notes due 2026 was $70.5 million and $70.5 million, respectively. The 6.00% Notes due 2026 are classified as Level 1 of the fair value hierarchy (Refer to “Note 2 — Significant Accounting Policies”). As of March 31, 2023 and December 31, 2022, the Company was in compliance with the terms of the Indenture.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5, 2019, our Board of Directors adopted, and our stockholders approved, an equity-based incentive plan (the “2019 Equity Incentive Plan”), which authorized equity awards to be granted for up to 1,976,264 shares of our common stock. Under the 2019 Equity Incentive Plan, the exercise price of awards would be set on the grant date and could not be less than the fair market value per share on such date, however, that in the case of an incentive stock option granted to an employee who, at the time of the grant of such option, owned stock representing more than ten percent (10%) of the voting power of all classes of stock of the Company or the Company’s present or future parent or subsidiary corporations, as defined in Section 424(e) or (f) of the Code, or other Affiliates the employees of which were eligible to receive incentive stock options under the Code (the “10% Shareholders”), the exercise price per share would be no less than one hundred ten percent (110%) of the fair market value per share on the date of grant. The fair market value would be the closing price of the shares on Nasdaq on the date of grant.</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17, 2019, stock options providing the right to purchase up to 1,165,000 shares were granted under the 2019 Equity Incentive Plan with an exercise price equal to the market price of our common stock at the grant date. These stock options had a vesting period of 3 years with 1/3 vesting immediately on the grant date, 1/3 vesting on July 17, 2020, and the remaining 1/3 vesting on July 17,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Cancellation of Stock Option Awards Under 2019 Equity Incentive Plan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April 28, 2020, all stock option awards granted under the 2019 Equity Incentive Plan were canceled for no payment pursuant to an option cancellation agreement (the “Option Cancellation Agreement”). As a result, there are no stock option awards outstanding under the 2019 Equity Incentive Plan. In accordance with FASB ASC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718”) all unrecognized compensation cost related to still unvested shares was recognized as of the date of cancellation. For more information, including a description of the Option Cancellation Agreement, please refer to our current report on Form 8-K filed with the SEC on April 29, 2020. Such description of the Option Cancellation Agreement is qualified in its entirety by reference to the text of such Option Cancellation Agreement filed as Exhibit 10.3 to our quarterly report on Form 10-Q for the period ended March 31, 2020 filed with the SEC on May 8, 2020.</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follows ASC 718 to account for stock options granted. Under ASC 718, compensation expense associated with stock-based compensation is measured at the grant date based on the fair value of the award and is recognized over the vesting period. Determining the appropriate fair value model and calculating the fair value of stock-based awards at the grant date requires judgment, including estimating stock price volatility, forfeiture rate, and expected option life. The time-based options granted on July 17, 2019 were ascribed a weighted-average fair value of $2.57 per share. The fair value of options granted under the 2019 Equity Incentive Plan was based upon a Black Scholes option pricing model using the assumptions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of July 17,</w:t>
            </w:r>
          </w:p>
        </w:tc>
      </w:tr>
      <w:tr>
        <w:trPr>
          <w:trHeight w:val="245"/>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Input Assumptions</w:t>
            </w: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2019 Grant Date</w:t>
            </w:r>
          </w:p>
        </w:tc>
      </w:tr>
      <w:tr>
        <w:trPr>
          <w:trHeight w:val="216"/>
        </w:trPr>
        <w:tc>
          <w:tcPr>
            <w:tcW w:w="9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(years)</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tcBorders>
              <w:top w:val="single" w:sz="8" w:color="CCEEFF"/>
            </w:tcBorders>
            <w:shd w:val="clear" w:color="auto" w:fill="CCEEFF"/>
          </w:tcPr>
          <w:p>
            <w:pPr>
              <w:spacing w:after="0"/>
              <w:rPr>
                <w:sz w:val="18"/>
                <w:szCs w:val="18"/>
                <w:color w:val="auto"/>
              </w:rPr>
            </w:pPr>
          </w:p>
        </w:tc>
      </w:tr>
      <w:tr>
        <w:trPr>
          <w:trHeight w:val="24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39.47%</w:t>
            </w: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r>
      <w:tr>
        <w:trPr>
          <w:trHeight w:val="234"/>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45"/>
        </w:trPr>
        <w:tc>
          <w:tcPr>
            <w:tcW w:w="5400" w:type="dxa"/>
            <w:vAlign w:val="bottom"/>
          </w:tcPr>
          <w:p>
            <w:pPr>
              <w:spacing w:after="0"/>
              <w:rPr>
                <w:sz w:val="21"/>
                <w:szCs w:val="21"/>
                <w:color w:val="auto"/>
              </w:rPr>
            </w:pPr>
          </w:p>
        </w:tc>
        <w:tc>
          <w:tcPr>
            <w:tcW w:w="2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1"/>
                <w:szCs w:val="21"/>
                <w:color w:val="auto"/>
              </w:rPr>
            </w:pPr>
          </w:p>
        </w:tc>
        <w:tc>
          <w:tcPr>
            <w:tcW w:w="19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1"/>
                <w:szCs w:val="21"/>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5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1,155,000</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54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Vested and Exercisable as of December 31, 2019</w:t>
            </w:r>
          </w:p>
        </w:tc>
        <w:tc>
          <w:tcPr>
            <w:tcW w:w="1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385,000</w:t>
            </w:r>
          </w:p>
        </w:tc>
        <w:tc>
          <w:tcPr>
            <w:tcW w:w="36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320"/>
              <w:spacing w:after="0" w:line="203" w:lineRule="exact"/>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2.57</w:t>
            </w:r>
          </w:p>
        </w:tc>
      </w:tr>
      <w:tr>
        <w:trPr>
          <w:trHeight w:val="25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2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(1,155,000)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r>
      <w:tr>
        <w:trPr>
          <w:trHeight w:val="221"/>
        </w:trPr>
        <w:tc>
          <w:tcPr>
            <w:tcW w:w="5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March 31, 2023 and December 31, 2022</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421"/>
        </w:trPr>
        <w:tc>
          <w:tcPr>
            <w:tcW w:w="5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2023 and December 31, 2022, there was $0 of total unrecognized compensation cost related to non-vested stock options granted under the 2019 Equity Incentive Plan, as the options were cancelled effective April 28,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2019 Equity Incentive Plan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19, 2020, our Board of Directors adopted, and our stockholders approved, an amendment and restatement of the Company’s 2019 Equity Incentive Plan (the “Amended &amp; Restated 2019 Equity Incentive Plan”) under which the Company is authorized to grant equity awards for up to 1,627,967 shares of its common stock. In accordance with the exemptive relief granted to the Company by the SEC on June 16, 2020 with respect to the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Amended &amp; Restated 2019 Equity Incentive Plan, and (iv) permit the Participants to pay the exercise price of Options granted to them with shares of the Company’s common stock.</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 the Company through the anniversary of such grant (or, if earlier, the annual meeting of the Company’s stockholders that is closest to the anniversary of such grant).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than such restricted shares granted to non-employee directors, the Company’s Compensation Committee may determine the time or times at which Options and restricted shares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2023, the Company did not grant any restricted shares to the Company’s officers pursuant to the Amended &amp; Restated 2019 Equity Incentive Plan. The Company determined that the fair values, based on the grant date close price of such restricted shares granted under the Amended &amp; Restated 2019 Equity Incentive Plan during the three months ended March 31, 2023 and 2022 were approximately $0 and $2,885,000, respectively, in the aggregate.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2023 and 2022, we recognized stock-based compensation expense of $755,581 and $633,193, respectively. As of March 31, 2023 and December 31, 2022, there were approximately $5,696,028 and $6,451,610 of total unrecognized compensation costs related to the restricted share grants. Compensation expense associated with the restricted shares is recognized on a quarterly basis over the respective vesting periods. On June 1, 2022, 15,080 restricted shares related to the 2021 non-employee director grants vested. The Company expensed the full value of restricted stock compensation related to annual non-employee director grants on the vesting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2023</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activities for the Company’s restricted share grants for the three months ended March 31, 2023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&amp; Restated 2019 Equity Incentive Plan:</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19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7020" w:type="dxa"/>
            <w:vAlign w:val="bottom"/>
          </w:tcPr>
          <w:p>
            <w:pPr>
              <w:spacing w:after="0"/>
              <w:rPr>
                <w:sz w:val="21"/>
                <w:szCs w:val="21"/>
                <w:color w:val="auto"/>
              </w:rPr>
            </w:pPr>
          </w:p>
        </w:tc>
        <w:tc>
          <w:tcPr>
            <w:tcW w:w="1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Restricted Shares</w:t>
            </w:r>
          </w:p>
        </w:tc>
      </w:tr>
      <w:tr>
        <w:trPr>
          <w:trHeight w:val="216"/>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606,620</w:t>
            </w: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9"/>
                <w:szCs w:val="29"/>
                <w:color w:val="auto"/>
                <w:vertAlign w:val="superscript"/>
              </w:rPr>
              <w:t>(1)</w:t>
            </w:r>
          </w:p>
        </w:tc>
        <w:tc>
          <w:tcPr>
            <w:tcW w:w="1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(177,937)</w:t>
            </w:r>
          </w:p>
        </w:tc>
      </w:tr>
      <w:tr>
        <w:trPr>
          <w:trHeight w:val="237"/>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2023</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428,683</w:t>
            </w:r>
          </w:p>
        </w:tc>
        <w:tc>
          <w:tcPr>
            <w:tcW w:w="80" w:type="dxa"/>
            <w:vAlign w:val="bottom"/>
            <w:tcBorders>
              <w:top w:val="single" w:sz="8" w:color="CCEEFF"/>
            </w:tcBorders>
            <w:shd w:val="clear" w:color="auto" w:fill="CCEEFF"/>
          </w:tcPr>
          <w:p>
            <w:pPr>
              <w:spacing w:after="0"/>
              <w:rPr>
                <w:sz w:val="21"/>
                <w:szCs w:val="21"/>
                <w:color w:val="auto"/>
              </w:rPr>
            </w:pPr>
          </w:p>
        </w:tc>
      </w:t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March 31, 2023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348,737</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jc w:val="both"/>
        <w:ind w:left="66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vested shares as of March 31, 2023 reflects the total shares vested during the period and has not been reduced for those vested shares forfeited at time of vest related to net share settlement. Of the 177,937 shares vested, 90,919 shares were forfeited at time of vest related to net share settlement.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Amended &amp; Restated 2019 Equity Incentive Plan provides for the concept of “net share settlement.” Specifically, it provides that the Company is authorized to withhold the Common Stock at the time the restricted shares are vested and taxed in satisfaction of the Participant’s tax obligations. On June 16, 2020, the Company received exemptive relief from the SEC to permit such withholding of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Activity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April 1, 2023 through May 9, 2023, the Company exited or received proceeds from the following investments (excluding short-term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investments):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5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Realized</w:t>
            </w:r>
          </w:p>
        </w:tc>
      </w:tr>
      <w:tr>
        <w:trPr>
          <w:trHeight w:val="282"/>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0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Transaction Date</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Net Proceeds</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78"/>
              <w:spacing w:after="0" w:line="276" w:lineRule="exact"/>
              <w:rPr>
                <w:sz w:val="20"/>
                <w:szCs w:val="20"/>
                <w:color w:val="auto"/>
              </w:rPr>
            </w:pPr>
            <w:r>
              <w:rPr>
                <w:rFonts w:ascii="Times New Roman" w:cs="Times New Roman" w:eastAsia="Times New Roman" w:hAnsi="Times New Roman"/>
                <w:sz w:val="18"/>
                <w:szCs w:val="18"/>
                <w:b w:val="1"/>
                <w:bCs w:val="1"/>
                <w:color w:val="auto"/>
                <w:w w:val="97"/>
              </w:rPr>
              <w:t>Gain/(Loss)</w:t>
            </w:r>
            <w:r>
              <w:rPr>
                <w:rFonts w:ascii="Times New Roman" w:cs="Times New Roman" w:eastAsia="Times New Roman" w:hAnsi="Times New Roman"/>
                <w:sz w:val="29"/>
                <w:szCs w:val="29"/>
                <w:b w:val="1"/>
                <w:bCs w:val="1"/>
                <w:color w:val="auto"/>
                <w:w w:val="97"/>
                <w:vertAlign w:val="superscript"/>
              </w:rPr>
              <w:t>(1)</w:t>
            </w:r>
          </w:p>
        </w:tc>
        <w:tc>
          <w:tcPr>
            <w:tcW w:w="100" w:type="dxa"/>
            <w:vAlign w:val="bottom"/>
            <w:tcBorders>
              <w:bottom w:val="single" w:sz="8" w:color="CCEEFF"/>
            </w:tcBorders>
          </w:tcPr>
          <w:p>
            <w:pPr>
              <w:spacing w:after="0"/>
              <w:rPr>
                <w:sz w:val="24"/>
                <w:szCs w:val="24"/>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Ozy Media, Inc.</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5/4/2023</w:t>
            </w:r>
          </w:p>
        </w:tc>
        <w:tc>
          <w:tcPr>
            <w:tcW w:w="3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1"/>
              <w:spacing w:after="0" w:line="202" w:lineRule="exact"/>
              <w:rPr>
                <w:sz w:val="20"/>
                <w:szCs w:val="20"/>
                <w:color w:val="auto"/>
              </w:rPr>
            </w:pPr>
            <w:r>
              <w:rPr>
                <w:rFonts w:ascii="Times New Roman" w:cs="Times New Roman" w:eastAsia="Times New Roman" w:hAnsi="Times New Roman"/>
                <w:sz w:val="18"/>
                <w:szCs w:val="18"/>
                <w:color w:val="auto"/>
              </w:rPr>
              <w:t>(10,945,024</w:t>
            </w:r>
          </w:p>
        </w:tc>
      </w:tr>
      <w:tr>
        <w:trPr>
          <w:trHeight w:val="81"/>
        </w:trPr>
        <w:tc>
          <w:tcPr>
            <w:tcW w:w="50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8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r>
      <w:tr>
        <w:trPr>
          <w:trHeight w:val="277"/>
        </w:trPr>
        <w:tc>
          <w:tcPr>
            <w:tcW w:w="526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Residential Homes For Rent, LLC (d/b/a Second Avenue)</w:t>
            </w:r>
            <w:r>
              <w:rPr>
                <w:rFonts w:ascii="Times New Roman" w:cs="Times New Roman" w:eastAsia="Times New Roman" w:hAnsi="Times New Roman"/>
                <w:sz w:val="29"/>
                <w:szCs w:val="29"/>
                <w:color w:val="auto"/>
                <w:vertAlign w:val="superscript"/>
              </w:rPr>
              <w:t>(3)</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4/21/2023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83,333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83,333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(10,945,024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loss does not include adjustments to amounts held in escrow receivable.</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4, 2023, SuRo Capital Corp. abandoned its investment in Ozy Media, Inc.</w:t>
      </w:r>
    </w:p>
    <w:p>
      <w:pPr>
        <w:spacing w:after="0" w:line="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March 31, 2023, $0.1 million has been received from Residential Homes for Rent, LLC (d/b/a Second Avenue) related to the 15% term loan due December 23, 2023. Of the proceeds received, $0.1 million repaid a portion of the outstanding principal and the remaining proceeds were attributed to interest.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April 1, 2023 through May 9, 2023, the Company did not purchase any investments (excluding short-term U.S. Treasury investments).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NOTES TO CONDENSED CONSOLIDATED FINANCIAL STATEMENTS March 31, 2023</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Modified Dutch Auction Tender Offer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17, 2023, the Company’s Board approved a tender offer, which commenced on March 21, 2023, to purchase up to 3,000,000 shares of its common stock at a price per share not less than $3.00 and not greater than $4.50 in $0.10 increments, using available cash, expiring on April 17, 2023. Pursuant to the terms of the tender offer, the Company repurchased 3,000,000 shares, representing 10.6% of its outstanding shares, on or about April 21, 2023 at a price of $4.50 per share. The Company used available cash to fund the purchase of its shares of common stock in the tender offer and to pay for all related fees and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Custody Agreements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19, 2023, the Company and Western Alliance Trust Company, National Association (the “Custodian”) entered into a custody agreement (the “Custody Agreement”), pursuant to which the Custodian was appointed to serve as the Company’s custodian to hold securities, loans, cash, and other assets on behalf of the Company. Either party may terminate the Custody Agreement at any time upon sixty (60) days’ prior written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13—SUPPLEMENTAL FINANCIAL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Summarized Financial Information of Unconsolidated Subsidiaries</w:t>
      </w:r>
    </w:p>
    <w:p>
      <w:pPr>
        <w:spacing w:after="0" w:line="229" w:lineRule="exact"/>
        <w:rPr>
          <w:sz w:val="20"/>
          <w:szCs w:val="20"/>
          <w:color w:val="auto"/>
        </w:rPr>
      </w:pPr>
    </w:p>
    <w:p>
      <w:pPr>
        <w:jc w:val="both"/>
        <w:ind w:right="20" w:firstLine="364"/>
        <w:spacing w:after="0" w:line="266" w:lineRule="auto"/>
        <w:rPr>
          <w:sz w:val="20"/>
          <w:szCs w:val="20"/>
          <w:color w:val="auto"/>
        </w:rPr>
      </w:pPr>
      <w:r>
        <w:rPr>
          <w:rFonts w:ascii="Times New Roman" w:cs="Times New Roman" w:eastAsia="Times New Roman" w:hAnsi="Times New Roman"/>
          <w:sz w:val="18"/>
          <w:szCs w:val="18"/>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May 2020, the SEC adopted rule amendments that impacted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amended the definition of “significant subsidiary” in a manner that was intended to more accurately capture those portfolio companies that were more likely to materially impact the financial condition of an investment company.</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three controlled portfolio companies as of March 31, 2023, SPBRX, INC. (f/k/a GSV Sustainability Partners, Inc.), Architect Capital PayJoy SPV, LLC and Colombier Sponsor LLC, did not meet the definition of a “significant subsidiary” as set forth in Rule 1-02(w)(2). For comparability purposes, the Company has omitted the previously disclosed summarized financial information of the Company’s significant subsidiaries for the quarter ended March 31, 2022 as the Company’s significant subsidiaries would not have been considered significant subsidiaries under the Final Rules.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3"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involve risks and uncertainties, including, without limitation, statements as to:</w:t>
      </w:r>
    </w:p>
    <w:p>
      <w:pPr>
        <w:spacing w:after="0" w:line="162" w:lineRule="exact"/>
        <w:rPr>
          <w:sz w:val="20"/>
          <w:szCs w:val="20"/>
          <w:color w:val="auto"/>
        </w:rPr>
      </w:pPr>
    </w:p>
    <w:p>
      <w:pPr>
        <w:jc w:val="both"/>
        <w:ind w:left="6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and consequences of the novel coronavirus (“COVID-19”) public health crisis on matters including global, U.S. and local economies, our business operations and continuity, potential disruption to our portfolio companies, tightened availability to capital and financing, the health and productivity of our employees, the ability of third-party providers to continue uninterrupted service, and the regulatory environment in which we operate;</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225"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76" w:lineRule="exact"/>
        <w:rPr>
          <w:sz w:val="20"/>
          <w:szCs w:val="20"/>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ability to continue to operate, which could lead to the loss of some or all of our investments in such portfolio companies;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disproportionately impact the market sectors in which a significant portion of our portfolio is concentrated, causing us to suffer losses in our portfolio;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could impair our investment activities;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inflation or an inflationary economic environment could adversely affect our portfolio companies’ operating results, causing us to suffer losses in our portfolio;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could adversely affect our results, particularly because we use leverage as part of our investment strategy;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sections entitled “Risk Factors” in our quarterly reports on Form 10-Q, our annual report on Form 10-K, and in our other filings with the SEC.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consolidated financial statements and the related notes thereto contained elsewhere in this quarterly report on Form 10-Q.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We are an internally-managed,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76"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In addition, we may invest in private credit and in the founders equity, founders warrants, forward purchase agreements, and private investment in public equity (“PIPE”) transactions of special purpose acquisition companies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188"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87"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Our investment philosophy is based on a disciplined approach of identifying promising investments in high-growth, venture-backed companies across several key industry themes which may include, among others, social/mobile, cloud 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187"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seek to create a low-turnover portfolio that includes investments in companies representing a broad range of investment themes.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formed in 2010 as a Maryland corporation and operate as an internally managed, non-diversified closed-end management investment company. Our investment activities are supervised by our Board of Directors and managed by our executive officers and investments professionals, all of which are our employees.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date of inception was January 6, 2011, which is the date we commenced development stage activities. We commenced operations as a BDC upon completion of our IPO in May 2011 and began our investment operations during the second quarter of 2011.</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and effective June 22, 2020, we changed our name to “SuRo Capital Corp.” from “Sutter Rock Capital Corp.”</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and effective March 12, 2019, our Board of Directors approved our internalization (the “Internalization”) and we began operating as an internally-managed non-diversified closed-end management investment company that has elected to be regulated as a BDC under the 1940 Act. Our Board of Directors approved the Internalization in order to better align the interests of our stockholders with its management. As an internally managed BDC, we are managed by our employees, rather than the employees of an external investment adviser, thereby allowing for greater transparency to stockholders through robust disclosure regarding our compensation structure. As a result of the Internalization,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disclosed herein, this Form 10-Q discusses our business and operations as an internally-managed BDC during the period covered by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2023</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March 31, 2023, of all of our portfolio investments, excluding U.S. Treasury bills, was $165,088,040.</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we funded investments in an aggregate amount of $3,330,000 (not including capitalized transaction costs or investments in short-term U.S. Treasury investments) as shown in the following table: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20" w:type="dxa"/>
            <w:vAlign w:val="bottom"/>
            <w:tcBorders>
              <w:bottom w:val="single" w:sz="8" w:color="CCEEFF"/>
            </w:tcBorders>
          </w:tcPr>
          <w:p>
            <w:pPr>
              <w:spacing w:after="0"/>
              <w:rPr>
                <w:sz w:val="19"/>
                <w:szCs w:val="19"/>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240" w:type="dxa"/>
            <w:vAlign w:val="bottom"/>
            <w:tcBorders>
              <w:bottom w:val="single" w:sz="8" w:color="CCEEFF"/>
            </w:tcBorders>
          </w:tcPr>
          <w:p>
            <w:pPr>
              <w:spacing w:after="0"/>
              <w:rPr>
                <w:sz w:val="19"/>
                <w:szCs w:val="19"/>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Transaction Date</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Gross Payments</w:t>
            </w:r>
          </w:p>
        </w:tc>
        <w:tc>
          <w:tcPr>
            <w:tcW w:w="100" w:type="dxa"/>
            <w:vAlign w:val="bottom"/>
            <w:tcBorders>
              <w:bottom w:val="single" w:sz="8" w:color="CCEEFF"/>
            </w:tcBorders>
          </w:tcPr>
          <w:p>
            <w:pPr>
              <w:spacing w:after="0"/>
              <w:rPr>
                <w:sz w:val="19"/>
                <w:szCs w:val="19"/>
                <w:color w:val="auto"/>
              </w:rPr>
            </w:pPr>
          </w:p>
        </w:tc>
      </w:tr>
      <w:tr>
        <w:trPr>
          <w:trHeight w:val="243"/>
        </w:trPr>
        <w:tc>
          <w:tcPr>
            <w:tcW w:w="35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Orchard Technologies, Inc.</w:t>
            </w:r>
            <w:r>
              <w:rPr>
                <w:rFonts w:ascii="Times New Roman" w:cs="Times New Roman" w:eastAsia="Times New Roman" w:hAnsi="Times New Roman"/>
                <w:sz w:val="26"/>
                <w:szCs w:val="26"/>
                <w:color w:val="auto"/>
                <w:vertAlign w:val="superscript"/>
              </w:rPr>
              <w:t>(1)</w:t>
            </w:r>
          </w:p>
        </w:tc>
        <w:tc>
          <w:tcPr>
            <w:tcW w:w="220" w:type="dxa"/>
            <w:vAlign w:val="bottom"/>
            <w:shd w:val="clear" w:color="auto" w:fill="CCEEFF"/>
          </w:tcPr>
          <w:p>
            <w:pPr>
              <w:spacing w:after="0"/>
              <w:rPr>
                <w:sz w:val="21"/>
                <w:szCs w:val="21"/>
                <w:color w:val="auto"/>
              </w:rPr>
            </w:pPr>
          </w:p>
        </w:tc>
        <w:tc>
          <w:tcPr>
            <w:tcW w:w="26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Preferred shares, Series 1</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1/13/2023</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2,000,000</w:t>
            </w:r>
          </w:p>
        </w:tc>
      </w:tr>
      <w:tr>
        <w:trPr>
          <w:trHeight w:val="263"/>
        </w:trPr>
        <w:tc>
          <w:tcPr>
            <w:tcW w:w="3720" w:type="dxa"/>
            <w:vAlign w:val="bottom"/>
            <w:tcBorders>
              <w:bottom w:val="single" w:sz="8" w:color="CCEEFF"/>
            </w:tcBorders>
            <w:gridSpan w:val="2"/>
          </w:tcPr>
          <w:p>
            <w:pPr>
              <w:spacing w:after="0" w:line="256" w:lineRule="exact"/>
              <w:rPr>
                <w:sz w:val="20"/>
                <w:szCs w:val="20"/>
                <w:color w:val="auto"/>
              </w:rPr>
            </w:pPr>
            <w:r>
              <w:rPr>
                <w:rFonts w:ascii="Times New Roman" w:cs="Times New Roman" w:eastAsia="Times New Roman" w:hAnsi="Times New Roman"/>
                <w:sz w:val="16"/>
                <w:szCs w:val="16"/>
                <w:color w:val="auto"/>
              </w:rPr>
              <w:t>True Global Ventures 4 Plus Pte Ltd</w:t>
            </w:r>
            <w:r>
              <w:rPr>
                <w:rFonts w:ascii="Times New Roman" w:cs="Times New Roman" w:eastAsia="Times New Roman" w:hAnsi="Times New Roman"/>
                <w:sz w:val="26"/>
                <w:szCs w:val="26"/>
                <w:color w:val="auto"/>
                <w:vertAlign w:val="superscript"/>
              </w:rPr>
              <w:t>(2)</w:t>
            </w:r>
          </w:p>
        </w:tc>
        <w:tc>
          <w:tcPr>
            <w:tcW w:w="2600" w:type="dxa"/>
            <w:vAlign w:val="bottom"/>
            <w:tcBorders>
              <w:bottom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Limited Partner Fund Investment</w:t>
            </w:r>
          </w:p>
        </w:tc>
        <w:tc>
          <w:tcPr>
            <w:tcW w:w="2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3/31/2023</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1,330,000</w:t>
            </w:r>
          </w:p>
        </w:tc>
        <w:tc>
          <w:tcPr>
            <w:tcW w:w="100" w:type="dxa"/>
            <w:vAlign w:val="bottom"/>
            <w:tcBorders>
              <w:bottom w:val="single" w:sz="8" w:color="CCEEFF"/>
            </w:tcBorders>
          </w:tcPr>
          <w:p>
            <w:pPr>
              <w:spacing w:after="0"/>
              <w:rPr>
                <w:sz w:val="22"/>
                <w:szCs w:val="22"/>
                <w:color w:val="auto"/>
              </w:rPr>
            </w:pPr>
          </w:p>
        </w:tc>
      </w:tr>
      <w:tr>
        <w:trPr>
          <w:trHeight w:val="254"/>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3,330,000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5"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13, 2023, SuRo Capital Corp. invested $2.0 million in Orchard Technologies, Inc.’s Series 1 Senior Preferred financing round. As part of the transaction, SuRo Capital Corp. exchanged a portion of its existing Series D Preferred shares investment for Series 1 Senior Preferred shares, Series 2 Senior Preferred shares, and Common shares. Additionally, SuRo Capital Corp.’s previous investment in the Simple Agreement for Future Equity was converted into additional Series 1 Senior Preferred shares.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previously unfunded capital commitment of $1.3 million was deemed fully contributed in lieu of cash distributions.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2023, we capitalized fees of $3,698.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we exited or received proceeds from investments in the amount of $4,190,159, net of transaction costs, and realized a net gain on investments of $189,343 (including adjustments to amounts held in escrow receivable) as shown in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Average Net</w:t>
            </w:r>
          </w:p>
        </w:tc>
        <w:tc>
          <w:tcPr>
            <w:tcW w:w="240" w:type="dxa"/>
            <w:vAlign w:val="bottom"/>
          </w:tcPr>
          <w:p>
            <w:pPr>
              <w:spacing w:after="0"/>
              <w:rPr>
                <w:sz w:val="19"/>
                <w:szCs w:val="19"/>
                <w:color w:val="auto"/>
              </w:rPr>
            </w:pPr>
          </w:p>
        </w:tc>
        <w:tc>
          <w:tcPr>
            <w:tcW w:w="15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Net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Realized</w:t>
            </w:r>
          </w:p>
        </w:tc>
      </w:tr>
      <w:tr>
        <w:trPr>
          <w:trHeight w:val="277"/>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4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90"/>
              <w:spacing w:after="0" w:line="270" w:lineRule="exact"/>
              <w:rPr>
                <w:sz w:val="20"/>
                <w:szCs w:val="20"/>
                <w:color w:val="auto"/>
              </w:rPr>
            </w:pPr>
            <w:r>
              <w:rPr>
                <w:rFonts w:ascii="Times New Roman" w:cs="Times New Roman" w:eastAsia="Times New Roman" w:hAnsi="Times New Roman"/>
                <w:sz w:val="18"/>
                <w:szCs w:val="18"/>
                <w:b w:val="1"/>
                <w:bCs w:val="1"/>
                <w:color w:val="auto"/>
                <w:w w:val="97"/>
              </w:rPr>
              <w:t xml:space="preserve">Share Price </w:t>
            </w:r>
            <w:r>
              <w:rPr>
                <w:rFonts w:ascii="Times New Roman" w:cs="Times New Roman" w:eastAsia="Times New Roman" w:hAnsi="Times New Roman"/>
                <w:sz w:val="29"/>
                <w:szCs w:val="29"/>
                <w:b w:val="1"/>
                <w:bCs w:val="1"/>
                <w:color w:val="auto"/>
                <w:w w:val="97"/>
                <w:vertAlign w:val="superscript"/>
              </w:rPr>
              <w:t>(1)</w:t>
            </w:r>
          </w:p>
        </w:tc>
        <w:tc>
          <w:tcPr>
            <w:tcW w:w="3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10"/>
              <w:spacing w:after="0" w:line="270" w:lineRule="exact"/>
              <w:rPr>
                <w:sz w:val="20"/>
                <w:szCs w:val="20"/>
                <w:color w:val="auto"/>
              </w:rPr>
            </w:pPr>
            <w:r>
              <w:rPr>
                <w:rFonts w:ascii="Times New Roman" w:cs="Times New Roman" w:eastAsia="Times New Roman" w:hAnsi="Times New Roman"/>
                <w:sz w:val="18"/>
                <w:szCs w:val="18"/>
                <w:b w:val="1"/>
                <w:bCs w:val="1"/>
                <w:color w:val="auto"/>
                <w:w w:val="97"/>
              </w:rPr>
              <w:t>Gain/(Loss)</w:t>
            </w:r>
            <w:r>
              <w:rPr>
                <w:rFonts w:ascii="Times New Roman" w:cs="Times New Roman" w:eastAsia="Times New Roman" w:hAnsi="Times New Roman"/>
                <w:sz w:val="29"/>
                <w:szCs w:val="29"/>
                <w:b w:val="1"/>
                <w:bCs w:val="1"/>
                <w:color w:val="auto"/>
                <w:w w:val="97"/>
                <w:vertAlign w:val="superscript"/>
              </w:rPr>
              <w:t>(2)</w:t>
            </w:r>
          </w:p>
        </w:tc>
        <w:tc>
          <w:tcPr>
            <w:tcW w:w="100" w:type="dxa"/>
            <w:vAlign w:val="bottom"/>
            <w:tcBorders>
              <w:bottom w:val="single" w:sz="8" w:color="CCEEFF"/>
            </w:tcBorders>
            <w:gridSpan w:val="2"/>
          </w:tcPr>
          <w:p>
            <w:pPr>
              <w:spacing w:after="0"/>
              <w:rPr>
                <w:sz w:val="24"/>
                <w:szCs w:val="24"/>
                <w:color w:val="auto"/>
              </w:rPr>
            </w:pPr>
          </w:p>
        </w:tc>
      </w:tr>
      <w:tr>
        <w:trPr>
          <w:trHeight w:val="257"/>
        </w:trPr>
        <w:tc>
          <w:tcPr>
            <w:tcW w:w="25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Rent the Runway, Inc.</w:t>
            </w:r>
            <w:r>
              <w:rPr>
                <w:rFonts w:ascii="Times New Roman" w:cs="Times New Roman" w:eastAsia="Times New Roman" w:hAnsi="Times New Roman"/>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1/4/2023</w:t>
            </w:r>
          </w:p>
        </w:tc>
        <w:tc>
          <w:tcPr>
            <w:tcW w:w="2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79,191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241,456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(961,837)</w:t>
            </w:r>
          </w:p>
        </w:tc>
      </w:tr>
      <w:tr>
        <w:trPr>
          <w:trHeight w:val="257"/>
        </w:trPr>
        <w:tc>
          <w:tcPr>
            <w:tcW w:w="27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Kahoot! ASA</w:t>
            </w:r>
            <w:r>
              <w:rPr>
                <w:rFonts w:ascii="Times New Roman" w:cs="Times New Roman" w:eastAsia="Times New Roman" w:hAnsi="Times New Roman"/>
                <w:sz w:val="29"/>
                <w:szCs w:val="29"/>
                <w:color w:val="auto"/>
                <w:vertAlign w:val="superscript"/>
              </w:rPr>
              <w:t>(4)</w:t>
            </w: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4"/>
              </w:rPr>
              <w:t>Various</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38,305</w:t>
            </w:r>
          </w:p>
        </w:tc>
        <w:tc>
          <w:tcPr>
            <w:tcW w:w="120" w:type="dxa"/>
            <w:vAlign w:val="bottom"/>
          </w:tcPr>
          <w:p>
            <w:pPr>
              <w:spacing w:after="0"/>
              <w:rPr>
                <w:sz w:val="22"/>
                <w:szCs w:val="22"/>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tcPr>
          <w:p>
            <w:pPr>
              <w:spacing w:after="0"/>
              <w:rPr>
                <w:sz w:val="22"/>
                <w:szCs w:val="22"/>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75,601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(100,466)</w:t>
            </w:r>
          </w:p>
        </w:tc>
      </w:tr>
      <w:tr>
        <w:trPr>
          <w:trHeight w:val="198"/>
        </w:trPr>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NewLake Capital Partners, Inc.</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0"/>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(f/k/a GreenAcreage Real Estate</w:t>
            </w: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71"/>
        </w:trPr>
        <w:tc>
          <w:tcPr>
            <w:tcW w:w="2720" w:type="dxa"/>
            <w:vAlign w:val="bottom"/>
            <w:gridSpan w:val="2"/>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Corp.)</w:t>
            </w:r>
            <w:r>
              <w:rPr>
                <w:rFonts w:ascii="Times New Roman" w:cs="Times New Roman" w:eastAsia="Times New Roman" w:hAnsi="Times New Roman"/>
                <w:sz w:val="29"/>
                <w:szCs w:val="29"/>
                <w:color w:val="auto"/>
                <w:vertAlign w:val="superscript"/>
              </w:rPr>
              <w:t>(5)</w:t>
            </w:r>
          </w:p>
        </w:tc>
        <w:tc>
          <w:tcPr>
            <w:tcW w:w="18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4"/>
              </w:rPr>
              <w:t>Various</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123,938</w:t>
            </w:r>
          </w:p>
        </w:tc>
        <w:tc>
          <w:tcPr>
            <w:tcW w:w="12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18.50</w:t>
            </w:r>
          </w:p>
        </w:tc>
        <w:tc>
          <w:tcPr>
            <w:tcW w:w="24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2,293,102</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(186,748)</w:t>
            </w:r>
          </w:p>
        </w:tc>
      </w:tr>
      <w:tr>
        <w:trPr>
          <w:trHeight w:val="201"/>
        </w:trPr>
        <w:tc>
          <w:tcPr>
            <w:tcW w:w="27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Residential Homes for Rent, LLC</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71"/>
        </w:trPr>
        <w:tc>
          <w:tcPr>
            <w:tcW w:w="2720" w:type="dxa"/>
            <w:vAlign w:val="bottom"/>
            <w:gridSpan w:val="2"/>
          </w:tcPr>
          <w:p>
            <w:pPr>
              <w:spacing w:after="0" w:line="271" w:lineRule="exact"/>
              <w:rPr>
                <w:sz w:val="20"/>
                <w:szCs w:val="20"/>
                <w:color w:val="auto"/>
              </w:rPr>
            </w:pPr>
            <w:r>
              <w:rPr>
                <w:rFonts w:ascii="Times New Roman" w:cs="Times New Roman" w:eastAsia="Times New Roman" w:hAnsi="Times New Roman"/>
                <w:sz w:val="18"/>
                <w:szCs w:val="18"/>
                <w:color w:val="auto"/>
              </w:rPr>
              <w:t>(d/b/a Second Avenue)</w:t>
            </w:r>
            <w:r>
              <w:rPr>
                <w:rFonts w:ascii="Times New Roman" w:cs="Times New Roman" w:eastAsia="Times New Roman" w:hAnsi="Times New Roman"/>
                <w:sz w:val="29"/>
                <w:szCs w:val="29"/>
                <w:color w:val="auto"/>
                <w:vertAlign w:val="superscript"/>
              </w:rPr>
              <w:t>(6)</w:t>
            </w: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4"/>
              </w:rPr>
              <w:t>Various</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3"/>
                <w:szCs w:val="23"/>
                <w:color w:val="auto"/>
              </w:rPr>
            </w:pPr>
          </w:p>
        </w:tc>
        <w:tc>
          <w:tcPr>
            <w:tcW w:w="16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3"/>
                <w:szCs w:val="23"/>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27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True Global Ventures 4 Plus Pte</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305"/>
        </w:trPr>
        <w:tc>
          <w:tcPr>
            <w:tcW w:w="272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Ltd</w:t>
            </w:r>
            <w:r>
              <w:rPr>
                <w:rFonts w:ascii="Times New Roman" w:cs="Times New Roman" w:eastAsia="Times New Roman" w:hAnsi="Times New Roman"/>
                <w:sz w:val="29"/>
                <w:szCs w:val="29"/>
                <w:color w:val="auto"/>
                <w:vertAlign w:val="superscript"/>
              </w:rPr>
              <w:t>(7)</w:t>
            </w:r>
          </w:p>
        </w:tc>
        <w:tc>
          <w:tcPr>
            <w:tcW w:w="1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3/31/2023</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1,330,000</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1,330,000</w:t>
            </w:r>
          </w:p>
        </w:tc>
        <w:tc>
          <w:tcPr>
            <w:tcW w:w="80" w:type="dxa"/>
            <w:vAlign w:val="bottom"/>
            <w:shd w:val="clear" w:color="auto" w:fill="CCEEFF"/>
          </w:tcPr>
          <w:p>
            <w:pPr>
              <w:spacing w:after="0"/>
              <w:rPr>
                <w:sz w:val="24"/>
                <w:szCs w:val="24"/>
                <w:color w:val="auto"/>
              </w:rPr>
            </w:pPr>
          </w:p>
        </w:tc>
      </w:tr>
      <w:tr>
        <w:trPr>
          <w:trHeight w:val="217"/>
        </w:trPr>
        <w:tc>
          <w:tcPr>
            <w:tcW w:w="27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4,190,159</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80,949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net share price is the net share price realized after deducting all commissions and fees on the sale(s), if applicable.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gain/(loss) does not include adjustments to amounts held in escrow receivable.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4, 2023, SuRo Capital had sold its remaining Rent the Runway, Inc. public common shares.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8, 2023, SuRo Capital had sold its remaining Kahoot! ASA public common shares.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2023, SuRo Capital held 105,820 remaining NewLake Capital Partners, Inc. public common shares.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2023, approximately $0.3 million has been received from Residential Homes for Rent, LLC (d/b/a Second Avenue) related to the 15% term loan due December 23, 2023. Of the proceeds received, approximately $0.3 million repaid a portion of the outstanding principal and the remaining was attributed to interest.</w:t>
      </w:r>
    </w:p>
    <w:p>
      <w:pPr>
        <w:spacing w:after="0" w:line="1" w:lineRule="exact"/>
        <w:rPr>
          <w:rFonts w:ascii="Times New Roman" w:cs="Times New Roman" w:eastAsia="Times New Roman" w:hAnsi="Times New Roman"/>
          <w:sz w:val="18"/>
          <w:szCs w:val="18"/>
          <w:color w:val="auto"/>
        </w:rPr>
      </w:pPr>
    </w:p>
    <w:p>
      <w:pPr>
        <w:ind w:left="340" w:right="2280" w:hanging="332"/>
        <w:spacing w:after="0" w:line="487"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previously unfunded capital commitment of $1.3 million was deemed fully contributed in lieu of cash distributions. During the three months ended March 31, 2023, we did not write-off any investments.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2022</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2022, we did not fund any new investments.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2022, we capitalized fees of $0.</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we exited or received proceeds from investments in an amount of $1,287,722, net of transaction costs, and realized a net gain on investments of $3,096,275 (including adjustments to amounts held in escrow receivable) as shown in following table: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Average Net</w:t>
            </w:r>
          </w:p>
        </w:tc>
        <w:tc>
          <w:tcPr>
            <w:tcW w:w="240" w:type="dxa"/>
            <w:vAlign w:val="bottom"/>
          </w:tcPr>
          <w:p>
            <w:pPr>
              <w:spacing w:after="0"/>
              <w:rPr>
                <w:sz w:val="19"/>
                <w:szCs w:val="19"/>
                <w:color w:val="auto"/>
              </w:rPr>
            </w:pPr>
          </w:p>
        </w:tc>
        <w:tc>
          <w:tcPr>
            <w:tcW w:w="15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Net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Realized</w:t>
            </w:r>
          </w:p>
        </w:tc>
      </w:tr>
      <w:tr>
        <w:trPr>
          <w:trHeight w:val="277"/>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jc w:val="center"/>
              <w:ind w:right="460"/>
              <w:spacing w:after="0" w:line="270" w:lineRule="exact"/>
              <w:rPr>
                <w:sz w:val="20"/>
                <w:szCs w:val="20"/>
                <w:color w:val="auto"/>
              </w:rPr>
            </w:pPr>
            <w:r>
              <w:rPr>
                <w:rFonts w:ascii="Times New Roman" w:cs="Times New Roman" w:eastAsia="Times New Roman" w:hAnsi="Times New Roman"/>
                <w:sz w:val="18"/>
                <w:szCs w:val="18"/>
                <w:b w:val="1"/>
                <w:bCs w:val="1"/>
                <w:color w:val="auto"/>
                <w:w w:val="96"/>
              </w:rPr>
              <w:t xml:space="preserve">Share Price </w:t>
            </w:r>
            <w:r>
              <w:rPr>
                <w:rFonts w:ascii="Times New Roman" w:cs="Times New Roman" w:eastAsia="Times New Roman" w:hAnsi="Times New Roman"/>
                <w:sz w:val="29"/>
                <w:szCs w:val="29"/>
                <w:b w:val="1"/>
                <w:bCs w:val="1"/>
                <w:color w:val="auto"/>
                <w:w w:val="96"/>
                <w:vertAlign w:val="superscript"/>
              </w:rPr>
              <w:t>(1)</w:t>
            </w:r>
          </w:p>
        </w:tc>
        <w:tc>
          <w:tcPr>
            <w:tcW w:w="240" w:type="dxa"/>
            <w:vAlign w:val="bottom"/>
          </w:tcPr>
          <w:p>
            <w:pPr>
              <w:spacing w:after="0"/>
              <w:rPr>
                <w:sz w:val="24"/>
                <w:szCs w:val="24"/>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jc w:val="center"/>
              <w:ind w:right="340"/>
              <w:spacing w:after="0" w:line="270" w:lineRule="exact"/>
              <w:rPr>
                <w:sz w:val="20"/>
                <w:szCs w:val="20"/>
                <w:color w:val="auto"/>
              </w:rPr>
            </w:pPr>
            <w:r>
              <w:rPr>
                <w:rFonts w:ascii="Times New Roman" w:cs="Times New Roman" w:eastAsia="Times New Roman" w:hAnsi="Times New Roman"/>
                <w:sz w:val="18"/>
                <w:szCs w:val="18"/>
                <w:b w:val="1"/>
                <w:bCs w:val="1"/>
                <w:color w:val="auto"/>
                <w:w w:val="89"/>
              </w:rPr>
              <w:t>Gain</w:t>
            </w:r>
            <w:r>
              <w:rPr>
                <w:rFonts w:ascii="Times New Roman" w:cs="Times New Roman" w:eastAsia="Times New Roman" w:hAnsi="Times New Roman"/>
                <w:sz w:val="29"/>
                <w:szCs w:val="29"/>
                <w:b w:val="1"/>
                <w:bCs w:val="1"/>
                <w:color w:val="auto"/>
                <w:w w:val="89"/>
                <w:vertAlign w:val="superscript"/>
              </w:rPr>
              <w:t>(2)</w:t>
            </w:r>
          </w:p>
        </w:tc>
      </w:tr>
      <w:tr>
        <w:trPr>
          <w:trHeight w:val="198"/>
        </w:trPr>
        <w:tc>
          <w:tcPr>
            <w:tcW w:w="29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NewLake Capital Partners, Inc. (f/k/a</w:t>
            </w:r>
          </w:p>
        </w:tc>
        <w:tc>
          <w:tcPr>
            <w:tcW w:w="2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3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GreenAcreage Real Estate Corp.)</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Various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27,352</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27.76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759,225</w:t>
            </w: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212,073</w:t>
            </w:r>
          </w:p>
        </w:tc>
        <w:tc>
          <w:tcPr>
            <w:tcW w:w="80" w:type="dxa"/>
            <w:vAlign w:val="bottom"/>
            <w:shd w:val="clear" w:color="auto" w:fill="CCEEFF"/>
          </w:tcPr>
          <w:p>
            <w:pPr>
              <w:spacing w:after="0"/>
              <w:rPr>
                <w:sz w:val="20"/>
                <w:szCs w:val="20"/>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Rover, Inc.</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1/31/2022</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42,744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278,497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150,725</w:t>
            </w:r>
          </w:p>
        </w:tc>
        <w:tc>
          <w:tcPr>
            <w:tcW w:w="80" w:type="dxa"/>
            <w:vAlign w:val="bottom"/>
          </w:tcPr>
          <w:p>
            <w:pPr>
              <w:spacing w:after="0"/>
              <w:rPr>
                <w:sz w:val="18"/>
                <w:szCs w:val="18"/>
                <w:color w:val="auto"/>
              </w:rPr>
            </w:pPr>
          </w:p>
        </w:tc>
      </w:tr>
      <w:tr>
        <w:trPr>
          <w:trHeight w:val="201"/>
        </w:trPr>
        <w:tc>
          <w:tcPr>
            <w:tcW w:w="31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Residential Homes for Rent, LLC (d/b/a</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305"/>
        </w:trPr>
        <w:tc>
          <w:tcPr>
            <w:tcW w:w="316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Second Avenue)</w:t>
            </w:r>
            <w:r>
              <w:rPr>
                <w:rFonts w:ascii="Times New Roman" w:cs="Times New Roman" w:eastAsia="Times New Roman" w:hAnsi="Times New Roman"/>
                <w:sz w:val="29"/>
                <w:szCs w:val="29"/>
                <w:color w:val="auto"/>
                <w:vertAlign w:val="superscript"/>
              </w:rPr>
              <w:t>(3)</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Various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1,287,722</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362,798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net share price is the net share price realized after deducting all commissions and fees on the sale(s), if applicable.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 does not include adjustments to amounts held in escrow receivable.</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2022, approximately $0.3 million has been received from Residential Homes for Rent, LLC (d/b/a Second Avenue) related to the 15% term loan due December 23, 2023. Of the proceeds received, approximately $0.2 million repaid a portion of the outstanding principal and the remaining was attributed to interest.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2022, we did not write-off any investments.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8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TABLE OF CONTENTS</w:t>
            </w:r>
          </w:p>
        </w:tc>
        <w:tc>
          <w:tcPr>
            <w:tcW w:w="5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2023 and 2022</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results for the three months ended March 31, 2023 and 2022 are as follows:</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18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1840" w:type="dxa"/>
            <w:vAlign w:val="bottom"/>
            <w:tcBorders>
              <w:bottom w:val="single" w:sz="8" w:color="CCEEFF"/>
            </w:tcBorders>
          </w:tcPr>
          <w:p>
            <w:pPr>
              <w:spacing w:after="0"/>
              <w:rPr>
                <w:sz w:val="20"/>
                <w:szCs w:val="20"/>
                <w:color w:val="auto"/>
              </w:rPr>
            </w:pPr>
          </w:p>
        </w:tc>
        <w:tc>
          <w:tcPr>
            <w:tcW w:w="536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1,299,082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583,100</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1,235,937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452,455</w:t>
            </w: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63,145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130,645</w:t>
            </w: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5,520,847</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4,807,805</w:t>
            </w: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2,136,754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1,860,702</w:t>
            </w: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160,565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160,565</w:t>
            </w: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990,834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1,272,713</w:t>
            </w: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1,213,286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1,200,786</w:t>
            </w: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529,780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2,050</w:t>
            </w: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489,628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310,989</w:t>
            </w: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Investment Loss</w:t>
            </w:r>
          </w:p>
        </w:tc>
        <w:tc>
          <w:tcPr>
            <w:tcW w:w="9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(4,221,765)</w:t>
            </w:r>
          </w:p>
        </w:tc>
        <w:tc>
          <w:tcPr>
            <w:tcW w:w="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(4,224,705)</w:t>
            </w: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realized gain/(loss) on investments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189,343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3,096,275</w:t>
            </w: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unrealized appreciation/(depreciation) of investments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8,648,931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21,584,885</w:t>
            </w:r>
          </w:p>
        </w:tc>
      </w:tr>
      <w:tr>
        <w:trPr>
          <w:trHeight w:val="238"/>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Change in Net Assets Resulting from Operations</w:t>
            </w:r>
          </w:p>
        </w:tc>
        <w:tc>
          <w:tcPr>
            <w:tcW w:w="9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4,616,509</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20,456,455</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Investment income increased to $1,299,082 for the three months ended March 31, 2023 from $583,100 for the three months ended March 31, 2022. The net increase between periods was due to the addition of interest income from U.S. Treasury Bills, Xgroup Holdings Limited (d/b/a Xpoint), and Shogun Enterprises, Inc. (d/b/a Hearth). The increase was offset by a decrease in interest income from Architect Capital PayJoy SPV, LLC, Residential Homes for Rent, LLC (d/b/a Second Avenue) and Neutron Holdings, Inc. (d/b/a/ Lime), plus a decrease in dividend income from NewLake Capital Partners, Inc. (f/k/a GreenAcreage Real Estate Corp.) and a cessation in dividend income from Treehouse Real Estate Investment Trust, Inc. during the three months ended March 31, 2023, relative to the three months ended March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Total operating expenses increased to $5,520,847 for the three months ended March 31, 2023 from $4,807,805 for the three months ended March 31, 2022. The increase in operating expense was primarily due to an increase in compensation expense associated with an increased headcount and stock-based compensation, income tax expense due to estimates on blocker corporations, offset by a decrease in professional fees during the three months ended March 31, 2023, relative to the three months ended March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Loss</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we recognized a net investment loss of $4,221,765, compared to a net investment loss of $4,224,705 for the three months ended March 31, 2022. The change between periods resulted from an increase in operating expenses, offset by an increase in total investment income between periods during the three months ended March 31, 2023, relative to the three months ended March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 on Investments</w:t>
      </w:r>
    </w:p>
    <w:p>
      <w:pPr>
        <w:spacing w:after="0" w:line="22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2023, we recognized a net realized gain on our investments of $189,343, compared to a net realized gain of $3,096,275 for the three months ended March 31, 2022. The components of our net realized gains on portfolio investments for the three months ended March 31, 2023 and 2022, excluding U.S. Treasury investments and fluctuations in escrow receivables estimates, are reflected in the tables above, under “—Portfolio and Investment Activity.”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Change in Unrealized Appreciation/(Depreciation) of Investments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we had a net change in unrealized appreciation/(depreciation) of $8,648,931. For the three months ended March 31, 2022, we had a net change in unrealized appreciation/(depreciation) of $21,584,885. The following tables summarize, by portfolio company, the significant changes in unrealized appreciation/(depreciation) of our investment portfolio for the three months ended March 31, 2023 and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Net Change in</w:t>
            </w: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Net Change in</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Appreciation/</w:t>
            </w: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Appreciation/</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(Depreciation) For the</w:t>
            </w: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(Depreciation) For the</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r>
      <w:tr>
        <w:trPr>
          <w:trHeight w:val="216"/>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Colombier Sponsor LLC</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12,082,872</w:t>
            </w:r>
          </w:p>
        </w:tc>
        <w:tc>
          <w:tcPr>
            <w:tcW w:w="36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Forge Global, Inc.</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41,728,933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Varo Money, Inc.</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3,116,622</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True Global Ventures 4 Plus Fund Pte Ltd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3,267,828</w:t>
            </w:r>
          </w:p>
        </w:tc>
        <w:tc>
          <w:tcPr>
            <w:tcW w:w="80" w:type="dxa"/>
            <w:vAlign w:val="bottom"/>
          </w:tcPr>
          <w:p>
            <w:pPr>
              <w:spacing w:after="0"/>
              <w:rPr>
                <w:sz w:val="18"/>
                <w:szCs w:val="18"/>
                <w:color w:val="auto"/>
              </w:rPr>
            </w:pPr>
          </w:p>
        </w:tc>
      </w:tr>
      <w:tr>
        <w:trPr>
          <w:trHeight w:val="201"/>
        </w:trPr>
        <w:tc>
          <w:tcPr>
            <w:tcW w:w="2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5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NewLake Capital Partners, Inc. (f/k/a</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71"/>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Aspiration Partners, Inc.</w:t>
            </w: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(2,544,036)</w:t>
            </w:r>
          </w:p>
        </w:tc>
        <w:tc>
          <w:tcPr>
            <w:tcW w:w="3580" w:type="dxa"/>
            <w:vAlign w:val="bottom"/>
            <w:gridSpan w:val="2"/>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GreenAcreage Real Estate Corp.)</w:t>
            </w:r>
            <w:r>
              <w:rPr>
                <w:rFonts w:ascii="Times New Roman" w:cs="Times New Roman" w:eastAsia="Times New Roman" w:hAnsi="Times New Roman"/>
                <w:sz w:val="29"/>
                <w:szCs w:val="29"/>
                <w:color w:val="auto"/>
                <w:vertAlign w:val="superscript"/>
              </w:rPr>
              <w:t>(1)</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(1,161,292)</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Orchard Technologies, Inc.</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(4,699,728)</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Trax Ltd.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(1,600,177)</w:t>
            </w:r>
          </w:p>
        </w:tc>
      </w:tr>
      <w:tr>
        <w:trPr>
          <w:trHeight w:val="216"/>
        </w:trPr>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Nextdoor, Inc.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(2,452,786)</w:t>
            </w:r>
          </w:p>
        </w:tc>
      </w:tr>
      <w:tr>
        <w:trPr>
          <w:trHeight w:val="257"/>
        </w:trPr>
        <w:tc>
          <w:tcPr>
            <w:tcW w:w="2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5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Rover Group, Inc.</w:t>
            </w:r>
            <w:r>
              <w:rPr>
                <w:rFonts w:ascii="Times New Roman" w:cs="Times New Roman" w:eastAsia="Times New Roman" w:hAnsi="Times New Roman"/>
                <w:sz w:val="29"/>
                <w:szCs w:val="29"/>
                <w:color w:val="auto"/>
                <w:vertAlign w:val="superscript"/>
              </w:rPr>
              <w:t>(1)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(3,028,901)</w:t>
            </w:r>
          </w:p>
        </w:tc>
      </w:tr>
      <w:tr>
        <w:trPr>
          <w:trHeight w:val="216"/>
        </w:trPr>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Skillsoft Corp.</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(3,053,532)</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Course Hero, Inc.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(11,030,543)</w:t>
            </w:r>
          </w:p>
        </w:tc>
      </w:tr>
      <w:tr>
        <w:trPr>
          <w:trHeight w:val="290"/>
        </w:trPr>
        <w:tc>
          <w:tcPr>
            <w:tcW w:w="270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693,201</w:t>
            </w:r>
          </w:p>
        </w:tc>
        <w:tc>
          <w:tcPr>
            <w:tcW w:w="35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(1,084,645)</w:t>
            </w:r>
          </w:p>
        </w:tc>
      </w:tr>
      <w:tr>
        <w:trPr>
          <w:trHeight w:val="217"/>
        </w:trPr>
        <w:tc>
          <w:tcPr>
            <w:tcW w:w="2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8,648,931</w:t>
            </w:r>
          </w:p>
        </w:tc>
        <w:tc>
          <w:tcPr>
            <w:tcW w:w="36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21,584,885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unrealized appreciation/(depreciation) reflected for these investments resulted in full or in part from the full or partial exit of the investment, which resulted in the reversal of previously accrued unrealized appreciation/(depreciation), as applicable.</w:t>
      </w: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represents investments for which individual changes in unrealized appreciation/(depreciation) was less than $1.0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Activity</w:t>
      </w:r>
    </w:p>
    <w:p>
      <w:pPr>
        <w:spacing w:after="0" w:line="22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Please refer to “Note 12—Subsequent Events” to our condensed consolidated financial statements as of March 31, 2023 for details regarding activity in our investment portfolio from April 1, 2023 through May 9, 2023.</w:t>
      </w:r>
    </w:p>
    <w:p>
      <w:pPr>
        <w:spacing w:after="0" w:line="162"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Modified Dutch Auction Tender Offer</w:t>
      </w:r>
    </w:p>
    <w:p>
      <w:pPr>
        <w:spacing w:after="0" w:line="229"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On March 17, 2023, the Company’s Board approved a tender offer, which commenced on March 21, 2023, to purchase up to 3,000,000 shares of its common stock at a price per share not less than $3.00 and not greater than $4.50 in $0.10 increments, using available cash, expiring on April 17, 2023. Pursuant to the terms of the tender offer, the Company repurchased 3,000,000 shares, representing 10.6% of its outstanding shares, on or about April 21, 2023 at a price of $4.50 per share. The Company used available cash to fund the purchase of its shares of common stock in the tender offer and to pay for all related fees and expenses.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Custody Agreement</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On April 19, 2023, the Company and Western Alliance Trust Company, National Association (the “Custodian”) entered into a custody agreement (the “Custody Agreement”), pursuant to which the Custodian was appointed to serve as the Company’s custodian to hold securities, loans, cash, and other assets on behalf of the Company. Either party may terminate the Custody Agreement at any time upon sixty (60) days’ prior written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Our liquidity and capital resources are generated primarily from the sales of our investments and the net proceeds from public offerings of our equity and debt securities, including pursuant to our continuous at-the-market offering of shares of our common stock as discussed below under “At-the-Market Offering”. In addition, on December 17, 2021, we issued $75.0 million aggregate principal amount of 6.00% Notes due 2026, all of which remain outstanding. For additional information, see below and “Note 10—Debt Capital Activities” to our condensed consolidated financial statements as of March 31, 2023.</w:t>
      </w:r>
    </w:p>
    <w:p>
      <w:pPr>
        <w:spacing w:after="0" w:line="183"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Our primary uses of cash are to make investments, pay our operating expenses, and make distributions to our stockholders. For the three months ended March 31, 2023 and 2022, our operating expenses were $5,520,847 and $4,807,805,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Reserves and Liquid Securities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6"/>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48,113,676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40,117,598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67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U.S. Treasury bills</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75,986,912</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85,056,817</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 publicly traded portfolio companies: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67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Unrestricted securities</w:t>
            </w:r>
            <w:r>
              <w:rPr>
                <w:rFonts w:ascii="Times New Roman" w:cs="Times New Roman" w:eastAsia="Times New Roman" w:hAnsi="Times New Roman"/>
                <w:sz w:val="29"/>
                <w:szCs w:val="29"/>
                <w:color w:val="auto"/>
                <w:vertAlign w:val="superscript"/>
              </w:rPr>
              <w:t>(2)</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11,534,888</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13,298,992</w:t>
            </w:r>
          </w:p>
        </w:tc>
      </w:tr>
      <w:tr>
        <w:trPr>
          <w:trHeight w:val="277"/>
        </w:trPr>
        <w:tc>
          <w:tcPr>
            <w:tcW w:w="67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Subject to other sales restrictions</w:t>
            </w:r>
            <w:r>
              <w:rPr>
                <w:rFonts w:ascii="Times New Roman" w:cs="Times New Roman" w:eastAsia="Times New Roman" w:hAnsi="Times New Roman"/>
                <w:sz w:val="29"/>
                <w:szCs w:val="29"/>
                <w:color w:val="auto"/>
                <w:vertAlign w:val="superscript"/>
              </w:rPr>
              <w:t>(3)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24,493</w:t>
            </w:r>
          </w:p>
        </w:tc>
      </w:tr>
      <w:tr>
        <w:trPr>
          <w:trHeight w:val="236"/>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of publicly traded portfolio companies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11,534,888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13,323,485</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7"/>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Reserves and Liquid Securities</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135,635,476</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138,497,900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short-term U.S. Treasury bills.</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securities” represents common stock of our publicly traded portfolio companies that are not subject to any restrictions upon sale. We may incur losses.</w:t>
      </w:r>
    </w:p>
    <w:p>
      <w:pPr>
        <w:ind w:left="340" w:hanging="332"/>
        <w:spacing w:after="0" w:line="26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publicly traded portfolio companies “subject to other sales restrictions” represents common stock of our publicly traded companies that are subject to certain lock-up restrictions.</w:t>
      </w:r>
    </w:p>
    <w:p>
      <w:pPr>
        <w:spacing w:after="0" w:line="181"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cash increased to $48,113,676 from $40,117,598 at the beginning of the year. The increase in cash was primarily due to the sale or exit of investments, including U.S. Treasury bills and other investment income received, offset by the purchase of new investments including U.S. Treasury bills, interest on the 6.00% Notes due 2026, and to pay our operating expenses.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Currently, we believe we have ample liquidity to support our near-term capital requirements. Consistent with past and current practices, we will continue to evaluate our overall liquidity position and take proactive steps to maintain the appropriate liquidity position based upon the current circumstances.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significant contractual payment obligations as of March 31, 2023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340" w:type="dxa"/>
            <w:vAlign w:val="bottom"/>
            <w:tcBorders>
              <w:bottom w:val="single" w:sz="8" w:color="auto"/>
            </w:tcBorders>
            <w:gridSpan w:val="9"/>
          </w:tcPr>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Payments Due By Period </w:t>
            </w:r>
            <w:r>
              <w:rPr>
                <w:rFonts w:ascii="Times New Roman" w:cs="Times New Roman" w:eastAsia="Times New Roman" w:hAnsi="Times New Roman"/>
                <w:sz w:val="18"/>
                <w:szCs w:val="18"/>
                <w:b w:val="1"/>
                <w:bCs w:val="1"/>
                <w:i w:val="1"/>
                <w:iCs w:val="1"/>
                <w:color w:val="auto"/>
              </w:rPr>
              <w:t>(in millions)</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More than</w:t>
            </w:r>
          </w:p>
        </w:tc>
        <w:tc>
          <w:tcPr>
            <w:tcW w:w="100" w:type="dxa"/>
            <w:vAlign w:val="bottom"/>
          </w:tcPr>
          <w:p>
            <w:pPr>
              <w:spacing w:after="0"/>
              <w:rPr>
                <w:sz w:val="16"/>
                <w:szCs w:val="16"/>
                <w:color w:val="auto"/>
              </w:rPr>
            </w:pPr>
          </w:p>
        </w:tc>
      </w:tr>
      <w:tr>
        <w:trPr>
          <w:trHeight w:val="245"/>
        </w:trPr>
        <w:tc>
          <w:tcPr>
            <w:tcW w:w="324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3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5 years</w:t>
            </w:r>
          </w:p>
        </w:tc>
        <w:tc>
          <w:tcPr>
            <w:tcW w:w="100" w:type="dxa"/>
            <w:vAlign w:val="bottom"/>
            <w:tcBorders>
              <w:bottom w:val="single" w:sz="8" w:color="CCEEFF"/>
            </w:tcBorders>
          </w:tcPr>
          <w:p>
            <w:pPr>
              <w:spacing w:after="0"/>
              <w:rPr>
                <w:sz w:val="21"/>
                <w:szCs w:val="21"/>
                <w:color w:val="auto"/>
              </w:rPr>
            </w:pPr>
          </w:p>
        </w:tc>
      </w:tr>
      <w:tr>
        <w:trPr>
          <w:trHeight w:val="243"/>
        </w:trPr>
        <w:tc>
          <w:tcPr>
            <w:tcW w:w="32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6.00% Notes due December 30, 2026</w:t>
            </w:r>
            <w:r>
              <w:rPr>
                <w:rFonts w:ascii="Times New Roman" w:cs="Times New Roman" w:eastAsia="Times New Roman" w:hAnsi="Times New Roman"/>
                <w:sz w:val="28"/>
                <w:szCs w:val="28"/>
                <w:color w:val="auto"/>
                <w:vertAlign w:val="superscript"/>
              </w:rPr>
              <w:t>(1)</w:t>
            </w:r>
          </w:p>
        </w:tc>
        <w:tc>
          <w:tcPr>
            <w:tcW w:w="1260" w:type="dxa"/>
            <w:vAlign w:val="bottom"/>
            <w:gridSpan w:val="2"/>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220" w:right="20" w:hanging="215"/>
        <w:spacing w:after="0" w:line="282" w:lineRule="auto"/>
        <w:rPr>
          <w:sz w:val="20"/>
          <w:szCs w:val="20"/>
          <w:color w:val="auto"/>
        </w:rPr>
      </w:pPr>
      <w:r>
        <w:rPr>
          <w:rFonts w:ascii="Times New Roman" w:cs="Times New Roman" w:eastAsia="Times New Roman" w:hAnsi="Times New Roman"/>
          <w:sz w:val="18"/>
          <w:szCs w:val="18"/>
          <w:color w:val="auto"/>
        </w:rPr>
        <w:t>(1)Reflects the principal balance payable to investors for the 6.00% Notes due 2026 as of March 31, 2023. Refer to “Note 10—Debt Capital Activities” in our condensed consolidated financial statements as of March 31, 2023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2023, the Company did not repurchase any shares of the Company’s common stock under the Share Repurchase Program. During the three months ended March 31, 2022, the Company repurchased 153,517 shares of the Company’s common stock under the Share Repurchase Program. As of March 31, 2023, the dollar value of shares that remained available to be purchased by the Company under the Share Repurchase Program was approximately $16.4 million. On October 19, 2022, the Company’s Board of Directors approved an extension of the Share Repurchase Program until the earlier of (i) October 31, 2023 or (ii) the repurchase of $55.0 million in aggregate amount of the Company’s common stock.</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Share Repurchase Program, we may repurchase our outstanding common stock in the open market provided that we comply with the prohibitions under our insider trading policies and procedures and the applicable provisions of the 1940 Act and the Exchange Act. For more information on the Share Repurchase Program, see “Note 5—Common Stock” to our condensed consolidated financial statements as of March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As of March 31, 2023 and December 31, 2022, we had no off-balance sheet arrangements, including any risk management of commodity pricing or other hedging practices. However, we may employ hedging and other risk management techniques in the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Issuances &amp; Debt Capital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 million in aggregate amount of shares of its common stock (the “Shares”) from time to time through the Agents or to them as principal for their own account (the “ATM Program”). On September 23, 2020, the Company increased the maximum amount of Shares to be sold through the ATM Program to $150.0 million from $50.0 million. In connection with the upsize of the ATM Program to $150.0 million, the Company entered into the Amendment No. 1 to the At-the-Market Sales Agreement, dated September 23, 2020, with the Agents. The Company intends to use the net proceeds from the ATM Program to make investments in portfolio companies in accordance with its investment objective and strategy and for general corporate purposes.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2023, the Company did not issue or sell shares under the ATM program. During the three months ended March 31, 2022, the Company issued and sold 17,807 Shares under the ATM Program at weighted-average price of $13.01 per share, for gross proceeds of $231,677 and net proceeds of $229,896, after deducting commissions to the Agents on Shares sold. As of March 31, 2023, up to approximately $98.8 million in aggregate amount of the Shares remain available for sale under the ATM Program.</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“Note 5—Common Stock” to our condensed consolidated financial statements as of March 31, 2023 for more information regarding the ATM Program.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6.00% Notes due 2026</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17, 2021, we issued $70.0 million aggregate principal amount of 6.00% Notes due 2026, which bear interest at a fixed rate of 6.00% per year, payable quarterly in arrears on March 31, June 30, September 30, and December 30 of each year, commencing on March 30, 2022. On December 21, 2021, we issued an additional $5.0 million aggregate principal amount of 6.00% Notes due 2026. We received approximately $73.0 million in proceeds from the offering, net of underwriting discounts and commissions and other offering expenses. The 6.00% Notes due 2026 have a maturity date of December 30, 2026, unless previously repurchased or redeemed in accordance with their terms. We have the right to redeem the 6.00% Notes due 2026, in whole or in part, at any time or from time to time, on or after December 30, 2024 at a redemption price of 100% of the aggregate principal amount thereof plus accrued and unpaid interest.</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Refer to “Note 10—Debt Capital Activities” to our condensed consolidated financial statements as of March 31, 2023 for more information regarding the 6.00% Notes due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March 31, 2023. The table is divided by fiscal year according to record date: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280" w:type="dxa"/>
            <w:vAlign w:val="bottom"/>
          </w:tcPr>
          <w:p>
            <w:pPr>
              <w:spacing w:after="0"/>
              <w:rPr>
                <w:sz w:val="21"/>
                <w:szCs w:val="21"/>
                <w:color w:val="auto"/>
              </w:rPr>
            </w:pPr>
          </w:p>
        </w:tc>
        <w:tc>
          <w:tcPr>
            <w:tcW w:w="21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Amount per Share</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2015:</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7"/>
        </w:trPr>
        <w:tc>
          <w:tcPr>
            <w:tcW w:w="38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November 4, 2015</w:t>
            </w:r>
            <w:r>
              <w:rPr>
                <w:rFonts w:ascii="Times New Roman" w:cs="Times New Roman" w:eastAsia="Times New Roman" w:hAnsi="Times New Roman"/>
                <w:sz w:val="29"/>
                <w:szCs w:val="29"/>
                <w:color w:val="auto"/>
                <w:vertAlign w:val="superscript"/>
              </w:rPr>
              <w:t>(1)</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November 16, 2015</w:t>
            </w: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December 31, 2015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2016:</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6"/>
        </w:trPr>
        <w:tc>
          <w:tcPr>
            <w:tcW w:w="38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August 3, 2016</w:t>
            </w:r>
            <w:r>
              <w:rPr>
                <w:rFonts w:ascii="Times New Roman" w:cs="Times New Roman" w:eastAsia="Times New Roman" w:hAnsi="Times New Roman"/>
                <w:sz w:val="29"/>
                <w:szCs w:val="29"/>
                <w:color w:val="auto"/>
                <w:vertAlign w:val="superscript"/>
              </w:rPr>
              <w:t>(2)</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August 16, 2016</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August 24, 2016</w:t>
            </w:r>
          </w:p>
        </w:tc>
        <w:tc>
          <w:tcPr>
            <w:tcW w:w="280" w:type="dxa"/>
            <w:vAlign w:val="bottom"/>
          </w:tcPr>
          <w:p>
            <w:pPr>
              <w:spacing w:after="0"/>
              <w:rPr>
                <w:sz w:val="22"/>
                <w:szCs w:val="22"/>
                <w:color w:val="auto"/>
              </w:rPr>
            </w:pPr>
          </w:p>
        </w:tc>
        <w:tc>
          <w:tcPr>
            <w:tcW w:w="2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2019:</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6"/>
        </w:trPr>
        <w:tc>
          <w:tcPr>
            <w:tcW w:w="38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November 5, 2019</w:t>
            </w:r>
            <w:r>
              <w:rPr>
                <w:rFonts w:ascii="Times New Roman" w:cs="Times New Roman" w:eastAsia="Times New Roman" w:hAnsi="Times New Roman"/>
                <w:sz w:val="29"/>
                <w:szCs w:val="29"/>
                <w:color w:val="auto"/>
                <w:vertAlign w:val="superscript"/>
              </w:rPr>
              <w:t>(3)</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December 2, 2019</w:t>
            </w: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December 12, 2019</w:t>
            </w:r>
          </w:p>
        </w:tc>
        <w:tc>
          <w:tcPr>
            <w:tcW w:w="280" w:type="dxa"/>
            <w:vAlign w:val="bottom"/>
          </w:tcPr>
          <w:p>
            <w:pPr>
              <w:spacing w:after="0"/>
              <w:rPr>
                <w:sz w:val="22"/>
                <w:szCs w:val="22"/>
                <w:color w:val="auto"/>
              </w:rPr>
            </w:pPr>
          </w:p>
        </w:tc>
        <w:tc>
          <w:tcPr>
            <w:tcW w:w="2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r>
      <w:tr>
        <w:trPr>
          <w:trHeight w:val="257"/>
        </w:trPr>
        <w:tc>
          <w:tcPr>
            <w:tcW w:w="38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December 20, 2019</w:t>
            </w:r>
            <w:r>
              <w:rPr>
                <w:rFonts w:ascii="Times New Roman" w:cs="Times New Roman" w:eastAsia="Times New Roman" w:hAnsi="Times New Roman"/>
                <w:sz w:val="29"/>
                <w:szCs w:val="29"/>
                <w:color w:val="auto"/>
                <w:vertAlign w:val="superscript"/>
              </w:rPr>
              <w:t>(4)</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2019</w:t>
            </w:r>
          </w:p>
        </w:tc>
        <w:tc>
          <w:tcPr>
            <w:tcW w:w="24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January 15, 2020</w:t>
            </w:r>
          </w:p>
        </w:tc>
        <w:tc>
          <w:tcPr>
            <w:tcW w:w="280" w:type="dxa"/>
            <w:vAlign w:val="bottom"/>
            <w:shd w:val="clear" w:color="auto" w:fill="CCEEFF"/>
          </w:tcPr>
          <w:p>
            <w:pPr>
              <w:spacing w:after="0"/>
              <w:rPr>
                <w:sz w:val="22"/>
                <w:szCs w:val="22"/>
                <w:color w:val="auto"/>
              </w:rPr>
            </w:pPr>
          </w:p>
        </w:tc>
        <w:tc>
          <w:tcPr>
            <w:tcW w:w="2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2020:</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38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July 29, 2020</w:t>
            </w:r>
            <w:r>
              <w:rPr>
                <w:rFonts w:ascii="Times New Roman" w:cs="Times New Roman" w:eastAsia="Times New Roman" w:hAnsi="Times New Roman"/>
                <w:sz w:val="29"/>
                <w:szCs w:val="29"/>
                <w:color w:val="auto"/>
                <w:vertAlign w:val="superscript"/>
              </w:rPr>
              <w:t>(5)</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August 11, 2020</w:t>
            </w:r>
          </w:p>
        </w:tc>
        <w:tc>
          <w:tcPr>
            <w:tcW w:w="24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August 25, 2020</w:t>
            </w:r>
          </w:p>
        </w:tc>
        <w:tc>
          <w:tcPr>
            <w:tcW w:w="280" w:type="dxa"/>
            <w:vAlign w:val="bottom"/>
            <w:shd w:val="clear" w:color="auto" w:fill="CCEEFF"/>
          </w:tcPr>
          <w:p>
            <w:pPr>
              <w:spacing w:after="0"/>
              <w:rPr>
                <w:sz w:val="22"/>
                <w:szCs w:val="22"/>
                <w:color w:val="auto"/>
              </w:rPr>
            </w:pPr>
          </w:p>
        </w:tc>
        <w:tc>
          <w:tcPr>
            <w:tcW w:w="2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r>
      <w:tr>
        <w:trPr>
          <w:trHeight w:val="257"/>
        </w:trPr>
        <w:tc>
          <w:tcPr>
            <w:tcW w:w="38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September 28, 2020</w:t>
            </w:r>
            <w:r>
              <w:rPr>
                <w:rFonts w:ascii="Times New Roman" w:cs="Times New Roman" w:eastAsia="Times New Roman" w:hAnsi="Times New Roman"/>
                <w:sz w:val="29"/>
                <w:szCs w:val="29"/>
                <w:color w:val="auto"/>
                <w:vertAlign w:val="superscript"/>
              </w:rPr>
              <w:t>(6)</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October 5, 2020</w:t>
            </w: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October 20, 2020</w:t>
            </w:r>
          </w:p>
        </w:tc>
        <w:tc>
          <w:tcPr>
            <w:tcW w:w="280" w:type="dxa"/>
            <w:vAlign w:val="bottom"/>
          </w:tcPr>
          <w:p>
            <w:pPr>
              <w:spacing w:after="0"/>
              <w:rPr>
                <w:sz w:val="22"/>
                <w:szCs w:val="22"/>
                <w:color w:val="auto"/>
              </w:rPr>
            </w:pPr>
          </w:p>
        </w:tc>
        <w:tc>
          <w:tcPr>
            <w:tcW w:w="2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7"/>
        </w:trPr>
        <w:tc>
          <w:tcPr>
            <w:tcW w:w="38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October 28, 2020</w:t>
            </w:r>
            <w:r>
              <w:rPr>
                <w:rFonts w:ascii="Times New Roman" w:cs="Times New Roman" w:eastAsia="Times New Roman" w:hAnsi="Times New Roman"/>
                <w:sz w:val="29"/>
                <w:szCs w:val="29"/>
                <w:color w:val="auto"/>
                <w:vertAlign w:val="superscript"/>
              </w:rPr>
              <w:t>(7)</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November 10, 2020</w:t>
            </w:r>
          </w:p>
        </w:tc>
        <w:tc>
          <w:tcPr>
            <w:tcW w:w="24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November 30, 2020</w:t>
            </w:r>
          </w:p>
        </w:tc>
        <w:tc>
          <w:tcPr>
            <w:tcW w:w="280" w:type="dxa"/>
            <w:vAlign w:val="bottom"/>
            <w:shd w:val="clear" w:color="auto" w:fill="CCEEFF"/>
          </w:tcPr>
          <w:p>
            <w:pPr>
              <w:spacing w:after="0"/>
              <w:rPr>
                <w:sz w:val="22"/>
                <w:szCs w:val="22"/>
                <w:color w:val="auto"/>
              </w:rPr>
            </w:pPr>
          </w:p>
        </w:tc>
        <w:tc>
          <w:tcPr>
            <w:tcW w:w="2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6"/>
        </w:trPr>
        <w:tc>
          <w:tcPr>
            <w:tcW w:w="38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December 16, 2020</w:t>
            </w:r>
            <w:r>
              <w:rPr>
                <w:rFonts w:ascii="Times New Roman" w:cs="Times New Roman" w:eastAsia="Times New Roman" w:hAnsi="Times New Roman"/>
                <w:sz w:val="29"/>
                <w:szCs w:val="29"/>
                <w:color w:val="auto"/>
                <w:vertAlign w:val="superscript"/>
              </w:rPr>
              <w:t>(8)</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December 30, 2020</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January 15, 2021</w:t>
            </w:r>
          </w:p>
        </w:tc>
        <w:tc>
          <w:tcPr>
            <w:tcW w:w="280" w:type="dxa"/>
            <w:vAlign w:val="bottom"/>
          </w:tcPr>
          <w:p>
            <w:pPr>
              <w:spacing w:after="0"/>
              <w:rPr>
                <w:sz w:val="22"/>
                <w:szCs w:val="22"/>
                <w:color w:val="auto"/>
              </w:rPr>
            </w:pPr>
          </w:p>
        </w:tc>
        <w:tc>
          <w:tcPr>
            <w:tcW w:w="2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2021:</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6"/>
        </w:trPr>
        <w:tc>
          <w:tcPr>
            <w:tcW w:w="38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January 26, 2021</w:t>
            </w:r>
            <w:r>
              <w:rPr>
                <w:rFonts w:ascii="Times New Roman" w:cs="Times New Roman" w:eastAsia="Times New Roman" w:hAnsi="Times New Roman"/>
                <w:sz w:val="29"/>
                <w:szCs w:val="29"/>
                <w:color w:val="auto"/>
                <w:vertAlign w:val="superscript"/>
              </w:rPr>
              <w:t>(9)</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February 5, 2021</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February 19, 2021</w:t>
            </w:r>
          </w:p>
        </w:tc>
        <w:tc>
          <w:tcPr>
            <w:tcW w:w="280" w:type="dxa"/>
            <w:vAlign w:val="bottom"/>
          </w:tcPr>
          <w:p>
            <w:pPr>
              <w:spacing w:after="0"/>
              <w:rPr>
                <w:sz w:val="22"/>
                <w:szCs w:val="22"/>
                <w:color w:val="auto"/>
              </w:rPr>
            </w:pPr>
          </w:p>
        </w:tc>
        <w:tc>
          <w:tcPr>
            <w:tcW w:w="2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7"/>
        </w:trPr>
        <w:tc>
          <w:tcPr>
            <w:tcW w:w="38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March 8, 2021</w:t>
            </w:r>
            <w:r>
              <w:rPr>
                <w:rFonts w:ascii="Times New Roman" w:cs="Times New Roman" w:eastAsia="Times New Roman" w:hAnsi="Times New Roman"/>
                <w:sz w:val="29"/>
                <w:szCs w:val="29"/>
                <w:color w:val="auto"/>
                <w:vertAlign w:val="superscript"/>
              </w:rPr>
              <w:t>(10)</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30, 2021</w:t>
            </w:r>
          </w:p>
        </w:tc>
        <w:tc>
          <w:tcPr>
            <w:tcW w:w="24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April 15, 2021</w:t>
            </w:r>
          </w:p>
        </w:tc>
        <w:tc>
          <w:tcPr>
            <w:tcW w:w="280" w:type="dxa"/>
            <w:vAlign w:val="bottom"/>
            <w:shd w:val="clear" w:color="auto" w:fill="CCEEFF"/>
          </w:tcPr>
          <w:p>
            <w:pPr>
              <w:spacing w:after="0"/>
              <w:rPr>
                <w:sz w:val="22"/>
                <w:szCs w:val="22"/>
                <w:color w:val="auto"/>
              </w:rPr>
            </w:pPr>
          </w:p>
        </w:tc>
        <w:tc>
          <w:tcPr>
            <w:tcW w:w="2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7"/>
        </w:trPr>
        <w:tc>
          <w:tcPr>
            <w:tcW w:w="38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May 4, 2021</w:t>
            </w:r>
            <w:r>
              <w:rPr>
                <w:rFonts w:ascii="Times New Roman" w:cs="Times New Roman" w:eastAsia="Times New Roman" w:hAnsi="Times New Roman"/>
                <w:sz w:val="29"/>
                <w:szCs w:val="29"/>
                <w:color w:val="auto"/>
                <w:vertAlign w:val="superscript"/>
              </w:rPr>
              <w:t>(11)</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May 18, 2021</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30, 2021</w:t>
            </w:r>
          </w:p>
        </w:tc>
        <w:tc>
          <w:tcPr>
            <w:tcW w:w="280" w:type="dxa"/>
            <w:vAlign w:val="bottom"/>
          </w:tcPr>
          <w:p>
            <w:pPr>
              <w:spacing w:after="0"/>
              <w:rPr>
                <w:sz w:val="22"/>
                <w:szCs w:val="22"/>
                <w:color w:val="auto"/>
              </w:rPr>
            </w:pPr>
          </w:p>
        </w:tc>
        <w:tc>
          <w:tcPr>
            <w:tcW w:w="2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57"/>
        </w:trPr>
        <w:tc>
          <w:tcPr>
            <w:tcW w:w="38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August 3, 2021</w:t>
            </w:r>
            <w:r>
              <w:rPr>
                <w:rFonts w:ascii="Times New Roman" w:cs="Times New Roman" w:eastAsia="Times New Roman" w:hAnsi="Times New Roman"/>
                <w:sz w:val="29"/>
                <w:szCs w:val="29"/>
                <w:color w:val="auto"/>
                <w:vertAlign w:val="superscript"/>
              </w:rPr>
              <w:t>(12)</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August 18, 2021</w:t>
            </w:r>
          </w:p>
        </w:tc>
        <w:tc>
          <w:tcPr>
            <w:tcW w:w="24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30, 2021</w:t>
            </w:r>
          </w:p>
        </w:tc>
        <w:tc>
          <w:tcPr>
            <w:tcW w:w="280" w:type="dxa"/>
            <w:vAlign w:val="bottom"/>
            <w:shd w:val="clear" w:color="auto" w:fill="CCEEFF"/>
          </w:tcPr>
          <w:p>
            <w:pPr>
              <w:spacing w:after="0"/>
              <w:rPr>
                <w:sz w:val="22"/>
                <w:szCs w:val="22"/>
                <w:color w:val="auto"/>
              </w:rPr>
            </w:pPr>
          </w:p>
        </w:tc>
        <w:tc>
          <w:tcPr>
            <w:tcW w:w="2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56"/>
        </w:trPr>
        <w:tc>
          <w:tcPr>
            <w:tcW w:w="38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November 2, 2021</w:t>
            </w:r>
            <w:r>
              <w:rPr>
                <w:rFonts w:ascii="Times New Roman" w:cs="Times New Roman" w:eastAsia="Times New Roman" w:hAnsi="Times New Roman"/>
                <w:sz w:val="29"/>
                <w:szCs w:val="29"/>
                <w:color w:val="auto"/>
                <w:vertAlign w:val="superscript"/>
              </w:rPr>
              <w:t>(13)</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November 17, 2021</w:t>
            </w: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December 30, 2021</w:t>
            </w:r>
          </w:p>
        </w:tc>
        <w:tc>
          <w:tcPr>
            <w:tcW w:w="280" w:type="dxa"/>
            <w:vAlign w:val="bottom"/>
          </w:tcPr>
          <w:p>
            <w:pPr>
              <w:spacing w:after="0"/>
              <w:rPr>
                <w:sz w:val="22"/>
                <w:szCs w:val="22"/>
                <w:color w:val="auto"/>
              </w:rPr>
            </w:pPr>
          </w:p>
        </w:tc>
        <w:tc>
          <w:tcPr>
            <w:tcW w:w="2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57"/>
        </w:trPr>
        <w:tc>
          <w:tcPr>
            <w:tcW w:w="38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December 20, 2021</w:t>
            </w:r>
            <w:r>
              <w:rPr>
                <w:rFonts w:ascii="Times New Roman" w:cs="Times New Roman" w:eastAsia="Times New Roman" w:hAnsi="Times New Roman"/>
                <w:sz w:val="29"/>
                <w:szCs w:val="29"/>
                <w:color w:val="auto"/>
                <w:vertAlign w:val="superscript"/>
              </w:rPr>
              <w:t>(14)</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2021</w:t>
            </w:r>
          </w:p>
        </w:tc>
        <w:tc>
          <w:tcPr>
            <w:tcW w:w="24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January 14, 2022</w:t>
            </w:r>
          </w:p>
        </w:tc>
        <w:tc>
          <w:tcPr>
            <w:tcW w:w="280" w:type="dxa"/>
            <w:vAlign w:val="bottom"/>
            <w:shd w:val="clear" w:color="auto" w:fill="CCEEFF"/>
          </w:tcPr>
          <w:p>
            <w:pPr>
              <w:spacing w:after="0"/>
              <w:rPr>
                <w:sz w:val="22"/>
                <w:szCs w:val="22"/>
                <w:color w:val="auto"/>
              </w:rPr>
            </w:pPr>
          </w:p>
        </w:tc>
        <w:tc>
          <w:tcPr>
            <w:tcW w:w="2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0.75</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90"/>
        </w:trPr>
        <w:tc>
          <w:tcPr>
            <w:tcW w:w="384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March 8, 2022</w:t>
            </w:r>
            <w:r>
              <w:rPr>
                <w:rFonts w:ascii="Times New Roman" w:cs="Times New Roman" w:eastAsia="Times New Roman" w:hAnsi="Times New Roman"/>
                <w:sz w:val="29"/>
                <w:szCs w:val="29"/>
                <w:color w:val="auto"/>
                <w:vertAlign w:val="superscript"/>
              </w:rPr>
              <w:t>(15)</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25, 2022</w:t>
            </w:r>
          </w:p>
        </w:tc>
        <w:tc>
          <w:tcPr>
            <w:tcW w:w="24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April 15, 2022</w:t>
            </w:r>
          </w:p>
        </w:tc>
        <w:tc>
          <w:tcPr>
            <w:tcW w:w="28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24"/>
                <w:szCs w:val="24"/>
                <w:color w:val="auto"/>
              </w:rPr>
            </w:pPr>
          </w:p>
        </w:tc>
      </w:tr>
      <w:tr>
        <w:trPr>
          <w:trHeight w:val="217"/>
        </w:trPr>
        <w:tc>
          <w:tcPr>
            <w:tcW w:w="38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3"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5"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distribution of $887,240 on August 24, 2016, $820,753 represented a distribution from realized gains, and $66,487 represented a return of capital.</w:t>
      </w:r>
    </w:p>
    <w:p>
      <w:pPr>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$3,512,849 distribution paid on December 12, 2019 represented a distribution from realized gains. None of the distribution represented a return of capital.</w:t>
      </w:r>
    </w:p>
    <w:p>
      <w:pPr>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$2,107,709 distribution paid on January 15, 2020 represented a distribution from realized gains. None of the distribution represented a return of capital.</w:t>
      </w:r>
    </w:p>
    <w:p>
      <w:pPr>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$2,516,452 distribution paid on August 25, 2020 represented a distribution from realized gains. None of the distribution represented a return of capital.</w:t>
      </w:r>
    </w:p>
    <w:p>
      <w:pPr>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$5,071,326 distribution paid on October 20, 2020 represented a distribution from realized gains. None of the distribution represented a return of capital.</w:t>
      </w:r>
    </w:p>
    <w:p>
      <w:pPr>
        <w:ind w:left="340" w:right="2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$4,978,504 distribution paid on November 30, 2020 represented a distribution from realized gains. None of the distribution represented a return of capital.</w:t>
      </w:r>
    </w:p>
    <w:p>
      <w:pPr>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$4,381,084 distribution paid on January 15, 2021 represented a distribution from realized gains. None of the distribution represented a return of capital.</w:t>
      </w:r>
    </w:p>
    <w:p>
      <w:pPr>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$4,981,131 distribution paid on February 19, 2021 represented a distribution from realized gains. None of the distribution represented a return of capital.</w:t>
      </w:r>
    </w:p>
    <w:p>
      <w:pPr>
        <w:ind w:left="340" w:hanging="332"/>
        <w:spacing w:after="0" w:line="26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$6,051,304 distribution paid on April 15, 2021 represented a distribution from realized gains. None of the distribution represented a return of capital.</w:t>
      </w:r>
    </w:p>
    <w:p>
      <w:pPr>
        <w:sectPr>
          <w:pgSz w:w="11900" w:h="16838" w:orient="portrait"/>
          <w:cols w:equalWidth="0" w:num="1">
            <w:col w:w="11240"/>
          </w:cols>
          <w:pgMar w:left="320" w:top="229"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340" w:hanging="332"/>
        <w:spacing w:after="0" w:line="253"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represented a return of capital.</w:t>
      </w:r>
    </w:p>
    <w:p>
      <w:pPr>
        <w:spacing w:after="0" w:line="5"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2,225,193 shares of common stock issued in lieu of cash, or approximately 8.4% of our outstanding shares prior to the distribution, as well as cash of $29,599,164. The number of shares of common stock comprising the stock portion was calculated based on a price of $13.55 per share, which equaled the average of the volume weighted-average trading price per share of our common stock on August 11, 12, and 13, 2021. None of the $2.25 per share distribution represented a return of capital.</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2,170,807 shares of common stock issued in lieu of cash, or approximately 7.5% of our outstanding shares prior to the distribution, as well as cash of $28,494,812. The number of shares of common stock comprising the stock portion was calculated based on a price of $13.39 per share, which equaled the average of the volume weighted-average trading price per share of our common stock on November 11, 12, and 13, 2021. None of the $2.00 per share distribution represented a return of capital.</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$23,338,915 distribution paid on January 14, 2022 represented a distribution from realized gains. None of the distribution represented a return of capital.</w:t>
      </w:r>
    </w:p>
    <w:p>
      <w:pPr>
        <w:ind w:left="340" w:hanging="332"/>
        <w:spacing w:after="0" w:line="26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$3,441,824 distribution paid on April 15, 2022 represented a distribution from realized gains. None of the distribution represented a return of capital.</w:t>
      </w:r>
    </w:p>
    <w:p>
      <w:pPr>
        <w:spacing w:after="0" w:line="181"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We intend to focus on making equity-based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83"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Our current intention is to make any future distributions out of assets legally available therefrom in the form of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194" w:lineRule="exact"/>
        <w:rPr>
          <w:sz w:val="20"/>
          <w:szCs w:val="20"/>
          <w:color w:val="auto"/>
        </w:rPr>
      </w:pPr>
    </w:p>
    <w:p>
      <w:pPr>
        <w:jc w:val="both"/>
        <w:ind w:firstLine="364"/>
        <w:spacing w:after="0" w:line="257" w:lineRule="auto"/>
        <w:rPr>
          <w:sz w:val="20"/>
          <w:szCs w:val="20"/>
          <w:color w:val="auto"/>
        </w:rPr>
      </w:pPr>
      <w:r>
        <w:rPr>
          <w:rFonts w:ascii="Times New Roman" w:cs="Times New Roman" w:eastAsia="Times New Roman" w:hAnsi="Times New Roman"/>
          <w:sz w:val="18"/>
          <w:szCs w:val="18"/>
          <w:color w:val="auto"/>
        </w:rPr>
        <w:t>So long as we qualify and maintain our tax treatment as a RIC, we generally will not be subject to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See “Note 2—Significant Accounting Policies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Federal and State Income Taxes</w:t>
      </w:r>
      <w:r>
        <w:rPr>
          <w:rFonts w:ascii="Times New Roman" w:cs="Times New Roman" w:eastAsia="Times New Roman" w:hAnsi="Times New Roman"/>
          <w:sz w:val="18"/>
          <w:szCs w:val="18"/>
          <w:color w:val="auto"/>
        </w:rPr>
        <w:t>” and “Note 9—Income Taxes” to our condensed consolidated financial statements as of March 31, 2023 for more information. The Taxable Subsidiaries included in our condensed consolidated financial statements are taxable subsidiaries, regardless of whether we are taxed as a RIC. These taxable subsidiaries are not consolidated for income tax purposes and may generate income tax expenses as a result of their ownership of the portfolio companies. Such income tax expenses and deferred taxes, if any, will be reflected in our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March 31, 2023 for further detail regarding our critical accounting policies and recently issued or adopted accounting pronouncements.</w:t>
      </w:r>
    </w:p>
    <w:p>
      <w:pPr>
        <w:sectPr>
          <w:pgSz w:w="11900" w:h="16838" w:orient="portrait"/>
          <w:cols w:equalWidth="0" w:num="1">
            <w:col w:w="11240"/>
          </w:cols>
          <w:pgMar w:left="320" w:top="229"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Related-Party Transactions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3—Related-Party Arrangements” to our condensed consolidated financial statements as of March 31, 2023 for more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Risk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investments may not have a readily available market quotation, as such term is defined in Rule 2a-5, and we value these investments at fair value as determined in good faith by our Board of Directors in accordance with our valuation policy, as applicable.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2023, all of our debt investments and outstanding borrowings bore fixed rates of interest.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March 31, 2023,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364"/>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fiscal quarter ended March 31, 2023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In addition to the other information contained in this report, you should carefully consider the factors discussed in our annual report on Form 10-K for the fiscal year ended December 31, 2022, filed with the SEC on March 16, 2023, which could materially affect our business, financial condition and/or operating results. Although the risks described in our annual report on Form 10-K for the fiscal year ended December 31, 2022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Other than as stated below, there have been no material changes to the risk factors discussed in “Item 1A. Risk Factors” of Part I of our annual report on Form 10-K for the fiscal year ended December 31, 2022.</w:t>
      </w:r>
    </w:p>
    <w:p>
      <w:pPr>
        <w:spacing w:after="0" w:line="185" w:lineRule="exact"/>
        <w:rPr>
          <w:sz w:val="20"/>
          <w:szCs w:val="20"/>
          <w:color w:val="auto"/>
        </w:rPr>
      </w:pPr>
    </w:p>
    <w:p>
      <w:pPr>
        <w:jc w:val="both"/>
        <w:ind w:firstLine="36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risks related to bank impairments or failures either directly or through our portfolio companies, which, in turn, could indirectly impact our performance and results of operations.</w:t>
      </w:r>
    </w:p>
    <w:p>
      <w:pPr>
        <w:spacing w:after="0" w:line="159"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In March 2023, the U.S. Federal Deposit Insurance Corporation (“FDIC”) took control of Silicon Valley Bank and Signature Bank, and in May 2023, the FDIC took control of First Republic Bank due to liquidity concerns. The impairment or failure of one or more banks with whom any of our portfolio companies transact may inhibit the ability of our portfolio companies to access depository accounts, including cash and cash equivalents, as well as investment accounts, which, in turn, may indirectly impact our performance and results of operations. In the event of a bank impairment or failure, affected portfolio companies may experience difficulties impacting their performance or results of operations, which, in turn, may result in impacts to our performance. In the event of such a failure of a banking institution where one or more of our portfolio companies holds depository accounts, access to such accounts could be restricted and FDIC protection may not be available for balances in excess of amounts insured by the FDIC. In such instances, our affected portfolio companies would not recover such excess, uninsured amounts, and they may not be able to cure any defaults. Additionally, unfavorable economic conditions also could increase our funding costs, limit our access to the capital markets or result in a decision by lenders not to extend credit to us. These events could prevent us from increasing our investments and harm business, financial condition, operating results and prospects. We closely monitor activity in the banking sector as it relates to any of our borrowers and continually assess any potential indirect impact to us as a result of the same.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Equity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did not sell any equity securities during the period covered in this report that were not registered under the Securities Act of 1933,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r>
        <w:rPr>
          <w:rFonts w:ascii="Times New Roman" w:cs="Times New Roman" w:eastAsia="Times New Roman" w:hAnsi="Times New Roman"/>
          <w:sz w:val="29"/>
          <w:szCs w:val="29"/>
          <w:b w:val="1"/>
          <w:bCs w:val="1"/>
          <w:color w:val="auto"/>
          <w:vertAlign w:val="superscript"/>
        </w:rPr>
        <w:t>(1)</w:t>
      </w:r>
    </w:p>
    <w:p>
      <w:pPr>
        <w:spacing w:after="0" w:line="1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Information relating to the Company’s purchases of its common stock during the three months ended March 31, 2023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c>
          <w:tcPr>
            <w:tcW w:w="0" w:type="dxa"/>
            <w:vAlign w:val="bottom"/>
          </w:tcPr>
          <w:p>
            <w:pPr>
              <w:spacing w:after="0"/>
              <w:rPr>
                <w:sz w:val="1"/>
                <w:szCs w:val="1"/>
                <w:color w:val="auto"/>
              </w:rPr>
            </w:pPr>
          </w:p>
        </w:tc>
      </w:tr>
      <w:tr>
        <w:trPr>
          <w:trHeight w:val="184"/>
        </w:trPr>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2"/>
          </w:tcPr>
          <w:p>
            <w:pPr>
              <w:jc w:val="center"/>
              <w:ind w:right="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7"/>
              </w:rPr>
              <w:t>Yet Be Purchased</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Under the Share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Repurchase</w:t>
            </w:r>
          </w:p>
        </w:tc>
        <w:tc>
          <w:tcPr>
            <w:tcW w:w="0" w:type="dxa"/>
            <w:vAlign w:val="bottom"/>
          </w:tcPr>
          <w:p>
            <w:pPr>
              <w:spacing w:after="0"/>
              <w:rPr>
                <w:sz w:val="1"/>
                <w:szCs w:val="1"/>
                <w:color w:val="auto"/>
              </w:rPr>
            </w:pPr>
          </w:p>
        </w:tc>
      </w:tr>
      <w:tr>
        <w:trPr>
          <w:trHeight w:val="277"/>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20" w:type="dxa"/>
            <w:vAlign w:val="bottom"/>
          </w:tcPr>
          <w:p>
            <w:pPr>
              <w:jc w:val="center"/>
              <w:ind w:left="190"/>
              <w:spacing w:after="0" w:line="270" w:lineRule="exact"/>
              <w:rPr>
                <w:sz w:val="20"/>
                <w:szCs w:val="20"/>
                <w:color w:val="auto"/>
              </w:rPr>
            </w:pPr>
            <w:r>
              <w:rPr>
                <w:rFonts w:ascii="Times New Roman" w:cs="Times New Roman" w:eastAsia="Times New Roman" w:hAnsi="Times New Roman"/>
                <w:sz w:val="18"/>
                <w:szCs w:val="18"/>
                <w:b w:val="1"/>
                <w:bCs w:val="1"/>
                <w:color w:val="auto"/>
                <w:w w:val="94"/>
              </w:rPr>
              <w:t>Purchased</w:t>
            </w:r>
            <w:r>
              <w:rPr>
                <w:rFonts w:ascii="Times New Roman" w:cs="Times New Roman" w:eastAsia="Times New Roman" w:hAnsi="Times New Roman"/>
                <w:sz w:val="29"/>
                <w:szCs w:val="29"/>
                <w:b w:val="1"/>
                <w:bCs w:val="1"/>
                <w:color w:val="auto"/>
                <w:w w:val="94"/>
                <w:vertAlign w:val="superscript"/>
              </w:rPr>
              <w:t>(2)</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0" w:type="dxa"/>
            <w:vAlign w:val="bottom"/>
          </w:tcPr>
          <w:p>
            <w:pPr>
              <w:spacing w:after="0"/>
              <w:rPr>
                <w:sz w:val="1"/>
                <w:szCs w:val="1"/>
                <w:color w:val="auto"/>
              </w:rPr>
            </w:pPr>
          </w:p>
        </w:tc>
      </w:tr>
      <w:tr>
        <w:trPr>
          <w:trHeight w:val="216"/>
        </w:trPr>
        <w:tc>
          <w:tcPr>
            <w:tcW w:w="3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through January 31, 2023</w:t>
            </w:r>
          </w:p>
        </w:tc>
        <w:tc>
          <w:tcPr>
            <w:tcW w:w="3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16,364,771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1 through February 28, 2023</w:t>
            </w:r>
          </w:p>
        </w:tc>
        <w:tc>
          <w:tcPr>
            <w:tcW w:w="142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16,364,771</w:t>
            </w:r>
          </w:p>
        </w:tc>
        <w:tc>
          <w:tcPr>
            <w:tcW w:w="0" w:type="dxa"/>
            <w:vAlign w:val="bottom"/>
          </w:tcPr>
          <w:p>
            <w:pPr>
              <w:spacing w:after="0"/>
              <w:rPr>
                <w:sz w:val="1"/>
                <w:szCs w:val="1"/>
                <w:color w:val="auto"/>
              </w:rPr>
            </w:pPr>
          </w:p>
        </w:tc>
      </w:tr>
      <w:tr>
        <w:trPr>
          <w:trHeight w:val="250"/>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through March 31, 2023</w:t>
            </w:r>
          </w:p>
        </w:tc>
        <w:tc>
          <w:tcPr>
            <w:tcW w:w="14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16,364,771</w:t>
            </w:r>
          </w:p>
        </w:tc>
        <w:tc>
          <w:tcPr>
            <w:tcW w:w="0" w:type="dxa"/>
            <w:vAlign w:val="bottom"/>
          </w:tcPr>
          <w:p>
            <w:pPr>
              <w:spacing w:after="0"/>
              <w:rPr>
                <w:sz w:val="1"/>
                <w:szCs w:val="1"/>
                <w:color w:val="auto"/>
              </w:rPr>
            </w:pPr>
          </w:p>
        </w:tc>
      </w:tr>
      <w:tr>
        <w:trPr>
          <w:trHeight w:val="216"/>
        </w:trPr>
        <w:tc>
          <w:tcPr>
            <w:tcW w:w="340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55"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w:t>
      </w:r>
    </w:p>
    <w:p>
      <w:pPr>
        <w:spacing w:after="0" w:line="2" w:lineRule="exact"/>
        <w:rPr>
          <w:rFonts w:ascii="Times New Roman" w:cs="Times New Roman" w:eastAsia="Times New Roman" w:hAnsi="Times New Roman"/>
          <w:sz w:val="18"/>
          <w:szCs w:val="18"/>
          <w:color w:val="auto"/>
        </w:rPr>
      </w:pPr>
    </w:p>
    <w:p>
      <w:pPr>
        <w:jc w:val="both"/>
        <w:ind w:left="340" w:hanging="8"/>
        <w:spacing w:after="0" w:line="250" w:lineRule="auto"/>
        <w:tabs>
          <w:tab w:leader="none" w:pos="6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$10.0 million in aggregate amount of our common stock. On May 3, 2018, the Company’s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On November 1, 2018, the Company’s Board of Directors authorized a $5.0 million increase in the amount of shares of the Company’s common stock that may be repurchased under the discretionary Share Repurchase Program until the earlier of (i) October 31, 2019 or (ii) the repurchase of $20.0 million in aggregate amount of the Company’s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w:t>
      </w:r>
    </w:p>
    <w:p>
      <w:pPr>
        <w:spacing w:after="0" w:line="3"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8, 2021 or (ii) the repurchase of $30.0 million in aggregate amount of our common stock. On October 28, 2020, our Board of Directors</w:t>
      </w:r>
    </w:p>
    <w:p>
      <w:pPr>
        <w:sectPr>
          <w:pgSz w:w="11900" w:h="16838" w:orient="portrait"/>
          <w:cols w:equalWidth="0" w:num="1">
            <w:col w:w="11240"/>
          </w:cols>
          <w:pgMar w:left="320" w:top="229" w:right="339" w:bottom="0" w:gutter="0" w:footer="0" w:header="0"/>
        </w:sectPr>
      </w:pPr>
    </w:p>
    <w:bookmarkStart w:id="61" w:name="page62"/>
    <w:bookmarkEnd w:id="61"/>
    <w:p>
      <w:pPr>
        <w:jc w:val="both"/>
        <w:ind w:left="340"/>
        <w:spacing w:after="0" w:line="269" w:lineRule="auto"/>
        <w:rPr>
          <w:sz w:val="20"/>
          <w:szCs w:val="20"/>
          <w:color w:val="auto"/>
        </w:rPr>
      </w:pPr>
      <w:r>
        <w:rPr>
          <w:rFonts w:ascii="Times New Roman" w:cs="Times New Roman" w:eastAsia="Times New Roman" w:hAnsi="Times New Roman"/>
          <w:sz w:val="17"/>
          <w:szCs w:val="17"/>
          <w:color w:val="auto"/>
        </w:rPr>
        <w:t>authorized a $10.0 million increase in the amount of shares of our common stock that may be repurchased under the discretionary Share Repurchase Program until the earlier of (i) October 31, 2021 or (ii) the repurchase of $40.0 million in aggregate amount of our common stock. On October 27, 2021, our Board of Directors approved an extension of the Share Repurchase Program until the earlier of (i) October 31, 2022 or (ii) the repurchase of $40.0 million in aggregate amount of our common stock. On March 13, 2022, our Board of Directors authorized a $15.0 million increase in the amount of shares of our common stock that may be repurchased under the discretionary Share Repurchase Program until the earlier of (i) October 31, 2022 or</w:t>
      </w:r>
    </w:p>
    <w:p>
      <w:pPr>
        <w:spacing w:after="0" w:line="3" w:lineRule="exact"/>
        <w:rPr>
          <w:sz w:val="20"/>
          <w:szCs w:val="20"/>
          <w:color w:val="auto"/>
        </w:rPr>
      </w:pPr>
    </w:p>
    <w:p>
      <w:pPr>
        <w:jc w:val="both"/>
        <w:ind w:left="340"/>
        <w:spacing w:after="0" w:line="250" w:lineRule="auto"/>
        <w:rPr>
          <w:sz w:val="20"/>
          <w:szCs w:val="20"/>
          <w:color w:val="auto"/>
        </w:rPr>
      </w:pPr>
      <w:r>
        <w:rPr>
          <w:rFonts w:ascii="Times New Roman" w:cs="Times New Roman" w:eastAsia="Times New Roman" w:hAnsi="Times New Roman"/>
          <w:sz w:val="18"/>
          <w:szCs w:val="18"/>
          <w:color w:val="auto"/>
        </w:rPr>
        <w:t>(ii) the repurchase of $55.0 million in aggregate amount of our common stock. On October 19, 2022, the Company’s Board of Directors approved an extension of the Share Repurchase Program until the earlier of (i) October 31, 2023 or (ii) the repurchase of $55.0 million in aggregate amount of the Company’s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months ended March 31, 2023, the Company did not repurchase shares of common stock under the Share Repurchase Program. As of March 31, 2023, the dollar value of shares that remained available to be purchased by the Company under the Share Repurchase Program was approximately $16.4 million.</w:t>
      </w:r>
    </w:p>
    <w:p>
      <w:pPr>
        <w:spacing w:after="0" w:line="2" w:lineRule="exact"/>
        <w:rPr>
          <w:sz w:val="20"/>
          <w:szCs w:val="20"/>
          <w:color w:val="auto"/>
        </w:rPr>
      </w:pPr>
    </w:p>
    <w:p>
      <w:pPr>
        <w:ind w:left="340" w:hanging="332"/>
        <w:spacing w:after="0" w:line="260"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purchases of our common stock made on the open market by or on behalf of any “affiliated purchaser,” as defined in Exchange Act Rule 10b-18(a)(3), of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exhibits previously filed with the SEC:</w:t>
      </w:r>
    </w:p>
    <w:p>
      <w:pPr>
        <w:spacing w:after="0" w:line="199"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9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7"/>
              </w:rPr>
              <w:t>3.1</w:t>
            </w:r>
          </w:p>
        </w:tc>
        <w:tc>
          <w:tcPr>
            <w:tcW w:w="2940" w:type="dxa"/>
            <w:vAlign w:val="bottom"/>
            <w:gridSpan w:val="11"/>
            <w:vMerge w:val="restart"/>
          </w:tcPr>
          <w:p>
            <w:pPr>
              <w:spacing w:after="0"/>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Articles of Amendment and Restatement</w:t>
              </w:r>
            </w:hyperlink>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5"/>
                <w:szCs w:val="15"/>
                <w:color w:val="0000EE"/>
                <w:w w:val="91"/>
              </w:rPr>
              <w:t>(1)</w:t>
            </w:r>
          </w:p>
        </w:tc>
        <w:tc>
          <w:tcPr>
            <w:tcW w:w="2200" w:type="dxa"/>
            <w:vAlign w:val="bottom"/>
            <w:vMerge w:val="restart"/>
          </w:tcPr>
          <w:p>
            <w:pPr>
              <w:spacing w:after="0"/>
              <w:rPr>
                <w:sz w:val="16"/>
                <w:szCs w:val="16"/>
                <w:color w:val="auto"/>
              </w:rPr>
            </w:pPr>
          </w:p>
        </w:tc>
        <w:tc>
          <w:tcPr>
            <w:tcW w:w="160" w:type="dxa"/>
            <w:vAlign w:val="bottom"/>
            <w:vMerge w:val="restart"/>
          </w:tcPr>
          <w:p>
            <w:pPr>
              <w:spacing w:after="0"/>
              <w:rPr>
                <w:sz w:val="16"/>
                <w:szCs w:val="16"/>
                <w:color w:val="auto"/>
              </w:rPr>
            </w:pPr>
          </w:p>
        </w:tc>
        <w:tc>
          <w:tcPr>
            <w:tcW w:w="17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16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160" w:type="dxa"/>
            <w:vAlign w:val="bottom"/>
            <w:vMerge w:val="restart"/>
          </w:tcPr>
          <w:p>
            <w:pPr>
              <w:spacing w:after="0"/>
              <w:rPr>
                <w:sz w:val="16"/>
                <w:szCs w:val="16"/>
                <w:color w:val="auto"/>
              </w:rPr>
            </w:pPr>
          </w:p>
        </w:tc>
        <w:tc>
          <w:tcPr>
            <w:tcW w:w="160" w:type="dxa"/>
            <w:vAlign w:val="bottom"/>
            <w:vMerge w:val="restart"/>
          </w:tcPr>
          <w:p>
            <w:pPr>
              <w:spacing w:after="0"/>
              <w:rPr>
                <w:sz w:val="16"/>
                <w:szCs w:val="16"/>
                <w:color w:val="auto"/>
              </w:rPr>
            </w:pPr>
          </w:p>
        </w:tc>
        <w:tc>
          <w:tcPr>
            <w:tcW w:w="2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940" w:type="dxa"/>
            <w:vAlign w:val="bottom"/>
            <w:vMerge w:val="continue"/>
          </w:tcPr>
          <w:p>
            <w:pPr>
              <w:spacing w:after="0"/>
              <w:rPr>
                <w:sz w:val="4"/>
                <w:szCs w:val="4"/>
                <w:color w:val="auto"/>
              </w:rPr>
            </w:pPr>
          </w:p>
        </w:tc>
        <w:tc>
          <w:tcPr>
            <w:tcW w:w="2940" w:type="dxa"/>
            <w:vAlign w:val="bottom"/>
            <w:tcBorders>
              <w:bottom w:val="single" w:sz="8" w:color="0000EE"/>
            </w:tcBorders>
            <w:gridSpan w:val="11"/>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7"/>
              </w:rPr>
              <w:t>3.2</w:t>
            </w:r>
          </w:p>
        </w:tc>
        <w:tc>
          <w:tcPr>
            <w:tcW w:w="1700" w:type="dxa"/>
            <w:vAlign w:val="bottom"/>
            <w:vMerge w:val="restart"/>
          </w:tcPr>
          <w:p>
            <w:pPr>
              <w:spacing w:after="0"/>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Articles of Amendment</w:t>
              </w:r>
            </w:hyperlink>
          </w:p>
        </w:tc>
        <w:tc>
          <w:tcPr>
            <w:tcW w:w="180" w:type="dxa"/>
            <w:vAlign w:val="bottom"/>
            <w:tcBorders>
              <w:bottom w:val="single" w:sz="8" w:color="0000EE"/>
            </w:tcBorders>
            <w:gridSpan w:val="4"/>
          </w:tcPr>
          <w:p>
            <w:pPr>
              <w:jc w:val="right"/>
              <w:spacing w:after="0" w:line="156" w:lineRule="exact"/>
              <w:rPr>
                <w:rFonts w:ascii="Times New Roman" w:cs="Times New Roman" w:eastAsia="Times New Roman" w:hAnsi="Times New Roman"/>
                <w:sz w:val="15"/>
                <w:szCs w:val="15"/>
                <w:color w:val="0000EE"/>
                <w:w w:val="91"/>
              </w:rPr>
            </w:pPr>
            <w:hyperlink r:id="rId132">
              <w:r>
                <w:rPr>
                  <w:rFonts w:ascii="Times New Roman" w:cs="Times New Roman" w:eastAsia="Times New Roman" w:hAnsi="Times New Roman"/>
                  <w:sz w:val="15"/>
                  <w:szCs w:val="15"/>
                  <w:color w:val="0000EE"/>
                  <w:w w:val="91"/>
                </w:rPr>
                <w:t>(2)</w:t>
              </w:r>
            </w:hyperlink>
          </w:p>
        </w:tc>
        <w:tc>
          <w:tcPr>
            <w:tcW w:w="80" w:type="dxa"/>
            <w:vAlign w:val="bottom"/>
            <w:vMerge w:val="restart"/>
          </w:tcPr>
          <w:p>
            <w:pPr>
              <w:spacing w:after="0"/>
              <w:rPr>
                <w:sz w:val="14"/>
                <w:szCs w:val="14"/>
                <w:color w:val="auto"/>
              </w:rPr>
            </w:pPr>
          </w:p>
        </w:tc>
        <w:tc>
          <w:tcPr>
            <w:tcW w:w="7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232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7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1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16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vMerge w:val="continue"/>
          </w:tcPr>
          <w:p>
            <w:pPr>
              <w:spacing w:after="0"/>
              <w:rPr>
                <w:sz w:val="4"/>
                <w:szCs w:val="4"/>
                <w:color w:val="auto"/>
              </w:rPr>
            </w:pPr>
          </w:p>
        </w:tc>
        <w:tc>
          <w:tcPr>
            <w:tcW w:w="1700" w:type="dxa"/>
            <w:vAlign w:val="bottom"/>
            <w:tcBorders>
              <w:bottom w:val="single" w:sz="8" w:color="0000EE"/>
            </w:tcBorders>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32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7"/>
              </w:rPr>
              <w:t>3.3</w:t>
            </w:r>
          </w:p>
        </w:tc>
        <w:tc>
          <w:tcPr>
            <w:tcW w:w="1700" w:type="dxa"/>
            <w:vAlign w:val="bottom"/>
            <w:vMerge w:val="restart"/>
          </w:tcPr>
          <w:p>
            <w:pPr>
              <w:spacing w:after="0"/>
              <w:rPr>
                <w:rFonts w:ascii="Times New Roman" w:cs="Times New Roman" w:eastAsia="Times New Roman" w:hAnsi="Times New Roman"/>
                <w:sz w:val="18"/>
                <w:szCs w:val="18"/>
                <w:color w:val="0000EE"/>
                <w:w w:val="98"/>
              </w:rPr>
            </w:pPr>
            <w:hyperlink r:id="rId133">
              <w:r>
                <w:rPr>
                  <w:rFonts w:ascii="Times New Roman" w:cs="Times New Roman" w:eastAsia="Times New Roman" w:hAnsi="Times New Roman"/>
                  <w:sz w:val="18"/>
                  <w:szCs w:val="18"/>
                  <w:color w:val="0000EE"/>
                  <w:w w:val="98"/>
                </w:rPr>
                <w:t>Articles of Amendment</w:t>
              </w:r>
            </w:hyperlink>
          </w:p>
        </w:tc>
        <w:tc>
          <w:tcPr>
            <w:tcW w:w="180" w:type="dxa"/>
            <w:vAlign w:val="bottom"/>
            <w:tcBorders>
              <w:bottom w:val="single" w:sz="8" w:color="0000EE"/>
            </w:tcBorders>
            <w:gridSpan w:val="4"/>
          </w:tcPr>
          <w:p>
            <w:pPr>
              <w:jc w:val="right"/>
              <w:spacing w:after="0" w:line="156" w:lineRule="exact"/>
              <w:rPr>
                <w:rFonts w:ascii="Times New Roman" w:cs="Times New Roman" w:eastAsia="Times New Roman" w:hAnsi="Times New Roman"/>
                <w:sz w:val="15"/>
                <w:szCs w:val="15"/>
                <w:color w:val="0000EE"/>
                <w:w w:val="91"/>
              </w:rPr>
            </w:pPr>
            <w:hyperlink r:id="rId133">
              <w:r>
                <w:rPr>
                  <w:rFonts w:ascii="Times New Roman" w:cs="Times New Roman" w:eastAsia="Times New Roman" w:hAnsi="Times New Roman"/>
                  <w:sz w:val="15"/>
                  <w:szCs w:val="15"/>
                  <w:color w:val="0000EE"/>
                  <w:w w:val="91"/>
                </w:rPr>
                <w:t>(3)</w:t>
              </w:r>
            </w:hyperlink>
          </w:p>
        </w:tc>
        <w:tc>
          <w:tcPr>
            <w:tcW w:w="80" w:type="dxa"/>
            <w:vAlign w:val="bottom"/>
            <w:vMerge w:val="restart"/>
          </w:tcPr>
          <w:p>
            <w:pPr>
              <w:spacing w:after="0"/>
              <w:rPr>
                <w:sz w:val="14"/>
                <w:szCs w:val="14"/>
                <w:color w:val="auto"/>
              </w:rPr>
            </w:pPr>
          </w:p>
        </w:tc>
        <w:tc>
          <w:tcPr>
            <w:tcW w:w="7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232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7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1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16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vMerge w:val="continue"/>
          </w:tcPr>
          <w:p>
            <w:pPr>
              <w:spacing w:after="0"/>
              <w:rPr>
                <w:sz w:val="4"/>
                <w:szCs w:val="4"/>
                <w:color w:val="auto"/>
              </w:rPr>
            </w:pPr>
          </w:p>
        </w:tc>
        <w:tc>
          <w:tcPr>
            <w:tcW w:w="1700" w:type="dxa"/>
            <w:vAlign w:val="bottom"/>
            <w:tcBorders>
              <w:bottom w:val="single" w:sz="8" w:color="0000EE"/>
            </w:tcBorders>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32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7"/>
              </w:rPr>
              <w:t>3.4</w:t>
            </w:r>
          </w:p>
        </w:tc>
        <w:tc>
          <w:tcPr>
            <w:tcW w:w="1700" w:type="dxa"/>
            <w:vAlign w:val="bottom"/>
            <w:vMerge w:val="restart"/>
          </w:tcPr>
          <w:p>
            <w:pPr>
              <w:spacing w:after="0"/>
              <w:rPr>
                <w:rFonts w:ascii="Times New Roman" w:cs="Times New Roman" w:eastAsia="Times New Roman" w:hAnsi="Times New Roman"/>
                <w:sz w:val="18"/>
                <w:szCs w:val="18"/>
                <w:color w:val="0000EE"/>
                <w:w w:val="98"/>
              </w:rPr>
            </w:pPr>
            <w:hyperlink r:id="rId134">
              <w:r>
                <w:rPr>
                  <w:rFonts w:ascii="Times New Roman" w:cs="Times New Roman" w:eastAsia="Times New Roman" w:hAnsi="Times New Roman"/>
                  <w:sz w:val="18"/>
                  <w:szCs w:val="18"/>
                  <w:color w:val="0000EE"/>
                  <w:w w:val="98"/>
                </w:rPr>
                <w:t>Articles of Amendment</w:t>
              </w:r>
            </w:hyperlink>
          </w:p>
        </w:tc>
        <w:tc>
          <w:tcPr>
            <w:tcW w:w="180" w:type="dxa"/>
            <w:vAlign w:val="bottom"/>
            <w:tcBorders>
              <w:bottom w:val="single" w:sz="8" w:color="0000EE"/>
            </w:tcBorders>
            <w:gridSpan w:val="4"/>
          </w:tcPr>
          <w:p>
            <w:pPr>
              <w:jc w:val="right"/>
              <w:spacing w:after="0" w:line="156" w:lineRule="exact"/>
              <w:rPr>
                <w:rFonts w:ascii="Times New Roman" w:cs="Times New Roman" w:eastAsia="Times New Roman" w:hAnsi="Times New Roman"/>
                <w:sz w:val="15"/>
                <w:szCs w:val="15"/>
                <w:color w:val="0000EE"/>
                <w:w w:val="91"/>
              </w:rPr>
            </w:pPr>
            <w:hyperlink r:id="rId134">
              <w:r>
                <w:rPr>
                  <w:rFonts w:ascii="Times New Roman" w:cs="Times New Roman" w:eastAsia="Times New Roman" w:hAnsi="Times New Roman"/>
                  <w:sz w:val="15"/>
                  <w:szCs w:val="15"/>
                  <w:color w:val="0000EE"/>
                  <w:w w:val="91"/>
                </w:rPr>
                <w:t>(4)</w:t>
              </w:r>
            </w:hyperlink>
          </w:p>
        </w:tc>
        <w:tc>
          <w:tcPr>
            <w:tcW w:w="80" w:type="dxa"/>
            <w:vAlign w:val="bottom"/>
            <w:vMerge w:val="restart"/>
          </w:tcPr>
          <w:p>
            <w:pPr>
              <w:spacing w:after="0"/>
              <w:rPr>
                <w:sz w:val="14"/>
                <w:szCs w:val="14"/>
                <w:color w:val="auto"/>
              </w:rPr>
            </w:pPr>
          </w:p>
        </w:tc>
        <w:tc>
          <w:tcPr>
            <w:tcW w:w="7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232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7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1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16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vMerge w:val="continue"/>
          </w:tcPr>
          <w:p>
            <w:pPr>
              <w:spacing w:after="0"/>
              <w:rPr>
                <w:sz w:val="4"/>
                <w:szCs w:val="4"/>
                <w:color w:val="auto"/>
              </w:rPr>
            </w:pPr>
          </w:p>
        </w:tc>
        <w:tc>
          <w:tcPr>
            <w:tcW w:w="1700" w:type="dxa"/>
            <w:vAlign w:val="bottom"/>
            <w:tcBorders>
              <w:bottom w:val="single" w:sz="8" w:color="0000EE"/>
            </w:tcBorders>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32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7"/>
              </w:rPr>
              <w:t>3.5</w:t>
            </w:r>
          </w:p>
        </w:tc>
        <w:tc>
          <w:tcPr>
            <w:tcW w:w="2820" w:type="dxa"/>
            <w:vAlign w:val="bottom"/>
            <w:gridSpan w:val="9"/>
            <w:vMerge w:val="restart"/>
          </w:tcPr>
          <w:p>
            <w:pPr>
              <w:spacing w:after="0"/>
              <w:rPr>
                <w:rFonts w:ascii="Times New Roman" w:cs="Times New Roman" w:eastAsia="Times New Roman" w:hAnsi="Times New Roman"/>
                <w:sz w:val="18"/>
                <w:szCs w:val="18"/>
                <w:color w:val="0000EE"/>
                <w:w w:val="98"/>
              </w:rPr>
            </w:pPr>
            <w:hyperlink r:id="rId135">
              <w:r>
                <w:rPr>
                  <w:rFonts w:ascii="Times New Roman" w:cs="Times New Roman" w:eastAsia="Times New Roman" w:hAnsi="Times New Roman"/>
                  <w:sz w:val="18"/>
                  <w:szCs w:val="18"/>
                  <w:color w:val="0000EE"/>
                  <w:w w:val="98"/>
                </w:rPr>
                <w:t>Second Amended and Restated Bylaws</w:t>
              </w:r>
            </w:hyperlink>
          </w:p>
        </w:tc>
        <w:tc>
          <w:tcPr>
            <w:tcW w:w="180" w:type="dxa"/>
            <w:vAlign w:val="bottom"/>
            <w:tcBorders>
              <w:bottom w:val="single" w:sz="8" w:color="0000EE"/>
            </w:tcBorders>
            <w:gridSpan w:val="3"/>
          </w:tcPr>
          <w:p>
            <w:pPr>
              <w:jc w:val="right"/>
              <w:spacing w:after="0" w:line="149" w:lineRule="exact"/>
              <w:rPr>
                <w:sz w:val="20"/>
                <w:szCs w:val="20"/>
                <w:color w:val="auto"/>
              </w:rPr>
            </w:pPr>
            <w:r>
              <w:rPr>
                <w:rFonts w:ascii="Times New Roman" w:cs="Times New Roman" w:eastAsia="Times New Roman" w:hAnsi="Times New Roman"/>
                <w:sz w:val="15"/>
                <w:szCs w:val="15"/>
                <w:color w:val="0000EE"/>
                <w:w w:val="91"/>
              </w:rPr>
              <w:t>(4)</w:t>
            </w:r>
          </w:p>
        </w:tc>
        <w:tc>
          <w:tcPr>
            <w:tcW w:w="232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7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1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16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40" w:type="dxa"/>
            <w:vAlign w:val="bottom"/>
            <w:vMerge w:val="continue"/>
          </w:tcPr>
          <w:p>
            <w:pPr>
              <w:spacing w:after="0"/>
              <w:rPr>
                <w:sz w:val="4"/>
                <w:szCs w:val="4"/>
                <w:color w:val="auto"/>
              </w:rPr>
            </w:pPr>
          </w:p>
        </w:tc>
        <w:tc>
          <w:tcPr>
            <w:tcW w:w="2820" w:type="dxa"/>
            <w:vAlign w:val="bottom"/>
            <w:tcBorders>
              <w:bottom w:val="single" w:sz="8" w:color="0000EE"/>
            </w:tcBorders>
            <w:gridSpan w:val="9"/>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232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7"/>
              </w:rPr>
              <w:t>4.1</w:t>
            </w:r>
          </w:p>
        </w:tc>
        <w:tc>
          <w:tcPr>
            <w:tcW w:w="8440" w:type="dxa"/>
            <w:vAlign w:val="bottom"/>
            <w:gridSpan w:val="18"/>
            <w:vMerge w:val="restart"/>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Base Indenture, dated March 28, 2018, by and between the Registrant and U.S. Bank National Association, as trustee</w:t>
              </w:r>
            </w:hyperlink>
          </w:p>
        </w:tc>
        <w:tc>
          <w:tcPr>
            <w:tcW w:w="180" w:type="dxa"/>
            <w:vAlign w:val="bottom"/>
            <w:tcBorders>
              <w:bottom w:val="single" w:sz="8" w:color="0000EE"/>
            </w:tcBorders>
            <w:gridSpan w:val="3"/>
          </w:tcPr>
          <w:p>
            <w:pPr>
              <w:jc w:val="right"/>
              <w:spacing w:after="0" w:line="149" w:lineRule="exact"/>
              <w:rPr>
                <w:sz w:val="20"/>
                <w:szCs w:val="20"/>
                <w:color w:val="auto"/>
              </w:rPr>
            </w:pPr>
            <w:r>
              <w:rPr>
                <w:rFonts w:ascii="Times New Roman" w:cs="Times New Roman" w:eastAsia="Times New Roman" w:hAnsi="Times New Roman"/>
                <w:sz w:val="15"/>
                <w:szCs w:val="15"/>
                <w:color w:val="0000EE"/>
                <w:w w:val="91"/>
              </w:rPr>
              <w:t>(5)</w:t>
            </w:r>
          </w:p>
        </w:tc>
        <w:tc>
          <w:tcPr>
            <w:tcW w:w="116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940" w:type="dxa"/>
            <w:vAlign w:val="bottom"/>
            <w:vMerge w:val="continue"/>
          </w:tcPr>
          <w:p>
            <w:pPr>
              <w:spacing w:after="0"/>
              <w:rPr>
                <w:sz w:val="4"/>
                <w:szCs w:val="4"/>
                <w:color w:val="auto"/>
              </w:rPr>
            </w:pPr>
          </w:p>
        </w:tc>
        <w:tc>
          <w:tcPr>
            <w:tcW w:w="8440" w:type="dxa"/>
            <w:vAlign w:val="bottom"/>
            <w:tcBorders>
              <w:bottom w:val="single" w:sz="8" w:color="0000EE"/>
            </w:tcBorders>
            <w:gridSpan w:val="18"/>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Second Supplemental Indenture, dated December 17, 2021, relating to the 6.00% Notes due 2026, by and between the Company and U.S.</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2700" w:type="dxa"/>
            <w:vAlign w:val="bottom"/>
            <w:gridSpan w:val="7"/>
            <w:vMerge w:val="restart"/>
          </w:tcPr>
          <w:p>
            <w:pP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Bank National Association, as trustee</w:t>
              </w:r>
            </w:hyperlink>
          </w:p>
        </w:tc>
        <w:tc>
          <w:tcPr>
            <w:tcW w:w="180" w:type="dxa"/>
            <w:vAlign w:val="bottom"/>
            <w:tcBorders>
              <w:bottom w:val="single" w:sz="8" w:color="0000EE"/>
            </w:tcBorders>
            <w:gridSpan w:val="3"/>
          </w:tcPr>
          <w:p>
            <w:pPr>
              <w:jc w:val="right"/>
              <w:spacing w:after="0" w:line="156" w:lineRule="exact"/>
              <w:rPr>
                <w:rFonts w:ascii="Times New Roman" w:cs="Times New Roman" w:eastAsia="Times New Roman" w:hAnsi="Times New Roman"/>
                <w:sz w:val="15"/>
                <w:szCs w:val="15"/>
                <w:color w:val="0000EE"/>
                <w:w w:val="91"/>
              </w:rPr>
            </w:pPr>
            <w:hyperlink r:id="rId137">
              <w:r>
                <w:rPr>
                  <w:rFonts w:ascii="Times New Roman" w:cs="Times New Roman" w:eastAsia="Times New Roman" w:hAnsi="Times New Roman"/>
                  <w:sz w:val="15"/>
                  <w:szCs w:val="15"/>
                  <w:color w:val="0000EE"/>
                  <w:w w:val="91"/>
                </w:rPr>
                <w:t>(6)</w:t>
              </w:r>
            </w:hyperlink>
          </w:p>
        </w:tc>
        <w:tc>
          <w:tcPr>
            <w:tcW w:w="2440" w:type="dxa"/>
            <w:vAlign w:val="bottom"/>
            <w:gridSpan w:val="4"/>
            <w:vMerge w:val="restart"/>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20" w:type="dxa"/>
            <w:vAlign w:val="bottom"/>
            <w:gridSpan w:val="2"/>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2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9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7"/>
              </w:rPr>
              <w:t>4.3</w:t>
            </w:r>
          </w:p>
        </w:tc>
        <w:tc>
          <w:tcPr>
            <w:tcW w:w="2700" w:type="dxa"/>
            <w:vAlign w:val="bottom"/>
            <w:tcBorders>
              <w:bottom w:val="single" w:sz="8" w:color="0000EE"/>
            </w:tcBorders>
            <w:gridSpan w:val="7"/>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gridSpan w:val="2"/>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EE"/>
                <w:w w:val="79"/>
              </w:rPr>
              <w:t>(6)</w:t>
            </w: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940" w:type="dxa"/>
            <w:vAlign w:val="bottom"/>
            <w:vMerge w:val="continue"/>
          </w:tcPr>
          <w:p>
            <w:pPr>
              <w:spacing w:after="0"/>
              <w:rPr>
                <w:sz w:val="14"/>
                <w:szCs w:val="14"/>
                <w:color w:val="auto"/>
              </w:rPr>
            </w:pPr>
          </w:p>
        </w:tc>
        <w:tc>
          <w:tcPr>
            <w:tcW w:w="5320" w:type="dxa"/>
            <w:vAlign w:val="bottom"/>
            <w:gridSpan w:val="14"/>
            <w:vMerge w:val="restart"/>
          </w:tcPr>
          <w:p>
            <w:pPr>
              <w:spacing w:after="0"/>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Form of 6.00% Notes due 2026 (incorporated by reference to Exhibit 4.2)</w:t>
              </w:r>
            </w:hyperlink>
          </w:p>
        </w:tc>
        <w:tc>
          <w:tcPr>
            <w:tcW w:w="160" w:type="dxa"/>
            <w:vAlign w:val="bottom"/>
            <w:tcBorders>
              <w:bottom w:val="single" w:sz="8" w:color="0000EE"/>
            </w:tcBorders>
            <w:vMerge w:val="continue"/>
          </w:tcPr>
          <w:p>
            <w:pPr>
              <w:spacing w:after="0"/>
              <w:rPr>
                <w:sz w:val="14"/>
                <w:szCs w:val="14"/>
                <w:color w:val="auto"/>
              </w:rPr>
            </w:pPr>
          </w:p>
        </w:tc>
        <w:tc>
          <w:tcPr>
            <w:tcW w:w="17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20" w:type="dxa"/>
            <w:vAlign w:val="bottom"/>
            <w:gridSpan w:val="2"/>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2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40" w:type="dxa"/>
            <w:vAlign w:val="bottom"/>
            <w:vMerge w:val="continue"/>
          </w:tcPr>
          <w:p>
            <w:pPr>
              <w:spacing w:after="0"/>
              <w:rPr>
                <w:sz w:val="4"/>
                <w:szCs w:val="4"/>
                <w:color w:val="auto"/>
              </w:rPr>
            </w:pPr>
          </w:p>
        </w:tc>
        <w:tc>
          <w:tcPr>
            <w:tcW w:w="5320" w:type="dxa"/>
            <w:vAlign w:val="bottom"/>
            <w:tcBorders>
              <w:bottom w:val="single" w:sz="8" w:color="0000EE"/>
            </w:tcBorders>
            <w:gridSpan w:val="14"/>
            <w:vMerge w:val="continue"/>
          </w:tcPr>
          <w:p>
            <w:pPr>
              <w:spacing w:after="0"/>
              <w:rPr>
                <w:sz w:val="4"/>
                <w:szCs w:val="4"/>
                <w:color w:val="auto"/>
              </w:rPr>
            </w:pPr>
          </w:p>
        </w:tc>
        <w:tc>
          <w:tcPr>
            <w:tcW w:w="16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7"/>
              </w:rPr>
              <w:t>4.4</w:t>
            </w:r>
          </w:p>
        </w:tc>
        <w:tc>
          <w:tcPr>
            <w:tcW w:w="1800" w:type="dxa"/>
            <w:vAlign w:val="bottom"/>
            <w:gridSpan w:val="3"/>
            <w:vMerge w:val="restart"/>
          </w:tcPr>
          <w:p>
            <w:pPr>
              <w:spacing w:after="0"/>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Description of Securities</w:t>
              </w:r>
            </w:hyperlink>
          </w:p>
        </w:tc>
        <w:tc>
          <w:tcPr>
            <w:tcW w:w="160" w:type="dxa"/>
            <w:vAlign w:val="bottom"/>
            <w:tcBorders>
              <w:bottom w:val="single" w:sz="8" w:color="0000EE"/>
            </w:tcBorders>
            <w:gridSpan w:val="3"/>
          </w:tcPr>
          <w:p>
            <w:pPr>
              <w:jc w:val="right"/>
              <w:spacing w:after="0" w:line="156" w:lineRule="exact"/>
              <w:rPr>
                <w:rFonts w:ascii="Times New Roman" w:cs="Times New Roman" w:eastAsia="Times New Roman" w:hAnsi="Times New Roman"/>
                <w:sz w:val="15"/>
                <w:szCs w:val="15"/>
                <w:color w:val="0000EE"/>
                <w:w w:val="79"/>
              </w:rPr>
            </w:pPr>
            <w:hyperlink r:id="rId139">
              <w:r>
                <w:rPr>
                  <w:rFonts w:ascii="Times New Roman" w:cs="Times New Roman" w:eastAsia="Times New Roman" w:hAnsi="Times New Roman"/>
                  <w:sz w:val="15"/>
                  <w:szCs w:val="15"/>
                  <w:color w:val="0000EE"/>
                  <w:w w:val="79"/>
                </w:rPr>
                <w:t>(7)</w:t>
              </w:r>
            </w:hyperlink>
          </w:p>
        </w:tc>
        <w:tc>
          <w:tcPr>
            <w:tcW w:w="5260" w:type="dxa"/>
            <w:vAlign w:val="bottom"/>
            <w:gridSpan w:val="10"/>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20" w:type="dxa"/>
            <w:vAlign w:val="bottom"/>
            <w:gridSpan w:val="2"/>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2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vMerge w:val="continue"/>
          </w:tcPr>
          <w:p>
            <w:pPr>
              <w:spacing w:after="0"/>
              <w:rPr>
                <w:sz w:val="4"/>
                <w:szCs w:val="4"/>
                <w:color w:val="auto"/>
              </w:rPr>
            </w:pPr>
          </w:p>
        </w:tc>
        <w:tc>
          <w:tcPr>
            <w:tcW w:w="1800" w:type="dxa"/>
            <w:vAlign w:val="bottom"/>
            <w:tcBorders>
              <w:bottom w:val="single" w:sz="8" w:color="0000EE"/>
            </w:tcBorders>
            <w:gridSpan w:val="3"/>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40" w:type="dxa"/>
            <w:vAlign w:val="bottom"/>
            <w:gridSpan w:val="2"/>
          </w:tcPr>
          <w:p>
            <w:pPr>
              <w:spacing w:after="0"/>
              <w:rPr>
                <w:sz w:val="4"/>
                <w:szCs w:val="4"/>
                <w:color w:val="auto"/>
              </w:rPr>
            </w:pPr>
          </w:p>
        </w:tc>
        <w:tc>
          <w:tcPr>
            <w:tcW w:w="5260" w:type="dxa"/>
            <w:vAlign w:val="bottom"/>
            <w:gridSpan w:val="10"/>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rPr>
              <w:t>10.1</w:t>
            </w:r>
          </w:p>
        </w:tc>
        <w:tc>
          <w:tcPr>
            <w:tcW w:w="9780" w:type="dxa"/>
            <w:vAlign w:val="bottom"/>
            <w:gridSpan w:val="22"/>
            <w:vMerge w:val="restart"/>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Custody Agreement, dated as of April 19, 2023, by and among the Company and Western Alliance Trust Company, N.A., as Custodian.</w:t>
              </w:r>
            </w:hyperlink>
          </w:p>
        </w:tc>
        <w:tc>
          <w:tcPr>
            <w:tcW w:w="160" w:type="dxa"/>
            <w:vAlign w:val="bottom"/>
            <w:tcBorders>
              <w:bottom w:val="single" w:sz="8" w:color="0000EE"/>
            </w:tcBorders>
          </w:tcPr>
          <w:p>
            <w:pPr>
              <w:jc w:val="right"/>
              <w:spacing w:after="0" w:line="149" w:lineRule="exact"/>
              <w:rPr>
                <w:rFonts w:ascii="Times New Roman" w:cs="Times New Roman" w:eastAsia="Times New Roman" w:hAnsi="Times New Roman"/>
                <w:sz w:val="15"/>
                <w:szCs w:val="15"/>
                <w:color w:val="0000EE"/>
                <w:w w:val="79"/>
              </w:rPr>
            </w:pPr>
            <w:hyperlink r:id="rId140">
              <w:r>
                <w:rPr>
                  <w:rFonts w:ascii="Times New Roman" w:cs="Times New Roman" w:eastAsia="Times New Roman" w:hAnsi="Times New Roman"/>
                  <w:sz w:val="15"/>
                  <w:szCs w:val="15"/>
                  <w:color w:val="0000EE"/>
                  <w:w w:val="79"/>
                </w:rPr>
                <w:t>(8)</w:t>
              </w:r>
            </w:hyperlink>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40" w:type="dxa"/>
            <w:vAlign w:val="bottom"/>
            <w:vMerge w:val="continue"/>
          </w:tcPr>
          <w:p>
            <w:pPr>
              <w:spacing w:after="0"/>
              <w:rPr>
                <w:sz w:val="4"/>
                <w:szCs w:val="4"/>
                <w:color w:val="auto"/>
              </w:rPr>
            </w:pPr>
          </w:p>
        </w:tc>
        <w:tc>
          <w:tcPr>
            <w:tcW w:w="9780" w:type="dxa"/>
            <w:vAlign w:val="bottom"/>
            <w:tcBorders>
              <w:bottom w:val="single" w:sz="8" w:color="0000EE"/>
            </w:tcBorders>
            <w:gridSpan w:val="22"/>
            <w:vMerge w:val="continue"/>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5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 of the Securities Exchange Act of 1934, as amended*</w:t>
            </w:r>
          </w:p>
        </w:tc>
        <w:tc>
          <w:tcPr>
            <w:tcW w:w="15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1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 of the Securities Exchange Act of 1934, as amended*</w:t>
            </w:r>
          </w:p>
        </w:tc>
        <w:tc>
          <w:tcPr>
            <w:tcW w:w="0" w:type="dxa"/>
            <w:vAlign w:val="bottom"/>
          </w:tcPr>
          <w:p>
            <w:pPr>
              <w:spacing w:after="0"/>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28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906 of the Sarbanes-Oxley Act of 2002*</w:t>
            </w:r>
          </w:p>
        </w:tc>
        <w:tc>
          <w:tcPr>
            <w:tcW w:w="1220" w:type="dxa"/>
            <w:vAlign w:val="bottom"/>
            <w:tcBorders>
              <w:top w:val="single" w:sz="8" w:color="0000EE"/>
            </w:tcBorders>
            <w:gridSpan w:val="2"/>
          </w:tcPr>
          <w:p>
            <w:pPr>
              <w:spacing w:after="0"/>
              <w:rPr>
                <w:sz w:val="17"/>
                <w:szCs w:val="17"/>
                <w:color w:val="auto"/>
              </w:rPr>
            </w:pPr>
          </w:p>
        </w:tc>
        <w:tc>
          <w:tcPr>
            <w:tcW w:w="16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1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220" w:type="dxa"/>
            <w:vAlign w:val="bottom"/>
            <w:gridSpan w:val="16"/>
            <w:shd w:val="clear" w:color="auto" w:fill="0000EE"/>
          </w:tcPr>
          <w:p>
            <w:pPr>
              <w:spacing w:after="0" w:line="20" w:lineRule="exact"/>
              <w:rPr>
                <w:sz w:val="1"/>
                <w:szCs w:val="1"/>
                <w:color w:val="auto"/>
              </w:rPr>
            </w:pPr>
          </w:p>
        </w:tc>
        <w:tc>
          <w:tcPr>
            <w:tcW w:w="29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101.INS</w:t>
            </w:r>
          </w:p>
        </w:tc>
        <w:tc>
          <w:tcPr>
            <w:tcW w:w="101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1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101.SCH</w:t>
            </w:r>
          </w:p>
        </w:tc>
        <w:tc>
          <w:tcPr>
            <w:tcW w:w="101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216"/>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Labels Linkbase Document</w:t>
            </w:r>
          </w:p>
        </w:tc>
        <w:tc>
          <w:tcPr>
            <w:tcW w:w="0" w:type="dxa"/>
            <w:vAlign w:val="bottom"/>
          </w:tcPr>
          <w:p>
            <w:pPr>
              <w:spacing w:after="0"/>
              <w:rPr>
                <w:sz w:val="1"/>
                <w:szCs w:val="1"/>
                <w:color w:val="auto"/>
              </w:rPr>
            </w:pPr>
          </w:p>
        </w:tc>
      </w:tr>
      <w:tr>
        <w:trPr>
          <w:trHeight w:val="234"/>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101.PRE</w:t>
            </w:r>
          </w:p>
        </w:tc>
        <w:tc>
          <w:tcPr>
            <w:tcW w:w="101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bl>
    <w:p>
      <w:pPr>
        <w:ind w:left="1100" w:hanging="741"/>
        <w:spacing w:after="0"/>
        <w:tabs>
          <w:tab w:leader="none" w:pos="11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June 1, 2011,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August 1, 2019,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June 16, 2020, and incorporated by reference herein.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Registration Statement on Form N-2 (File No. 333-239681), filed on July 2, 2020,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December 17, 2021,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Annual Report on Form 10-K (File No. 814-00852) filed on March 11, 2022,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April 19, 2023, and incorporated by reference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SURO CAPITAL CORP.</w:t>
      </w:r>
    </w:p>
    <w:p>
      <w:pPr>
        <w:spacing w:after="0" w:line="229" w:lineRule="exact"/>
        <w:rPr>
          <w:sz w:val="20"/>
          <w:szCs w:val="20"/>
          <w:color w:val="auto"/>
        </w:rPr>
      </w:pPr>
    </w:p>
    <w:p>
      <w:pPr>
        <w:spacing w:after="0"/>
        <w:tabs>
          <w:tab w:leader="none" w:pos="560" w:val="left"/>
          <w:tab w:leader="none" w:pos="5620" w:val="left"/>
        </w:tabs>
        <w:rPr>
          <w:sz w:val="20"/>
          <w:szCs w:val="20"/>
          <w:color w:val="auto"/>
        </w:rPr>
      </w:pPr>
      <w:r>
        <w:rPr>
          <w:rFonts w:ascii="Times New Roman" w:cs="Times New Roman" w:eastAsia="Times New Roman" w:hAnsi="Times New Roman"/>
          <w:sz w:val="18"/>
          <w:szCs w:val="18"/>
          <w:color w:val="auto"/>
        </w:rPr>
        <w:t>Date:</w:t>
        <w:tab/>
        <w:t>May 10, 2023</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Mark D. Klein</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560" w:val="left"/>
          <w:tab w:leader="none" w:pos="5620" w:val="left"/>
        </w:tabs>
        <w:rPr>
          <w:sz w:val="20"/>
          <w:szCs w:val="20"/>
          <w:color w:val="auto"/>
        </w:rPr>
      </w:pPr>
      <w:r>
        <w:rPr>
          <w:rFonts w:ascii="Times New Roman" w:cs="Times New Roman" w:eastAsia="Times New Roman" w:hAnsi="Times New Roman"/>
          <w:sz w:val="18"/>
          <w:szCs w:val="18"/>
          <w:color w:val="auto"/>
        </w:rPr>
        <w:t>Date:</w:t>
        <w:tab/>
        <w:t>May 10, 2023</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Allison Green</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Chief Compliance Officer, Treasurer, 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ind w:right="20" w:firstLine="36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0" w:lineRule="exact"/>
        <w:rPr>
          <w:sz w:val="20"/>
          <w:szCs w:val="20"/>
          <w:color w:val="auto"/>
        </w:rPr>
      </w:pPr>
    </w:p>
    <w:p>
      <w:pPr>
        <w:spacing w:after="0"/>
        <w:tabs>
          <w:tab w:leader="none" w:pos="5620" w:val="left"/>
          <w:tab w:leader="none" w:pos="7960" w:val="left"/>
        </w:tabs>
        <w:rPr>
          <w:sz w:val="20"/>
          <w:szCs w:val="20"/>
          <w:color w:val="auto"/>
        </w:rPr>
      </w:pPr>
      <w:r>
        <w:rPr>
          <w:rFonts w:ascii="Times New Roman" w:cs="Times New Roman" w:eastAsia="Times New Roman" w:hAnsi="Times New Roman"/>
          <w:sz w:val="18"/>
          <w:szCs w:val="18"/>
          <w:color w:val="auto"/>
        </w:rPr>
        <w:t>Date: May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4"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Mark D. Klein</w:t>
      </w:r>
    </w:p>
    <w:p>
      <w:pPr>
        <w:spacing w:after="0" w:line="40"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tabs>
          <w:tab w:leader="none" w:pos="5620" w:val="left"/>
          <w:tab w:leader="none" w:pos="7980" w:val="left"/>
        </w:tabs>
        <w:rPr>
          <w:sz w:val="20"/>
          <w:szCs w:val="20"/>
          <w:color w:val="auto"/>
        </w:rPr>
      </w:pPr>
      <w:r>
        <w:rPr>
          <w:rFonts w:ascii="Times New Roman" w:cs="Times New Roman" w:eastAsia="Times New Roman" w:hAnsi="Times New Roman"/>
          <w:sz w:val="18"/>
          <w:szCs w:val="18"/>
          <w:color w:val="auto"/>
        </w:rPr>
        <w:t>Date: May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4"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Allison Green</w:t>
      </w:r>
    </w:p>
    <w:p>
      <w:pPr>
        <w:spacing w:after="0" w:line="4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Financial Officer, Chief Compliance Officer, Treasurer, and</w:t>
      </w:r>
    </w:p>
    <w:p>
      <w:pPr>
        <w:spacing w:after="0" w:line="2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of SuRo Capital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D. Klein, certify that:</w:t>
      </w:r>
    </w:p>
    <w:p>
      <w:pPr>
        <w:spacing w:after="0" w:line="225"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SuRo Capital Corp.;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10th day of May,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18415</wp:posOffset>
            </wp:positionV>
            <wp:extent cx="335153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Mark D. Klein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of SuRo Capital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Allison Green, certify that:</w:t>
      </w:r>
    </w:p>
    <w:p>
      <w:pPr>
        <w:spacing w:after="0" w:line="225"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SuRo Capital Corp.;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10th day of May,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18415</wp:posOffset>
            </wp:positionV>
            <wp:extent cx="335153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Allison Green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three months ended March 31, 2023 (the “Report”) of SuRo Capital Corp. (the “Registrant”), as filed with the Securities and Exchange Commission on the date hereof, I, Mark D. Klein, the Chief Executive Officer of the Registrant, hereby certify, to the best of my knowledge, that:</w:t>
      </w:r>
    </w:p>
    <w:p>
      <w:pPr>
        <w:spacing w:after="0" w:line="176"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wp:posOffset>
            </wp:positionV>
            <wp:extent cx="355727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Name: Mark D. Klein</w:t>
      </w:r>
    </w:p>
    <w:p>
      <w:pPr>
        <w:spacing w:after="0" w:line="3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three months ended March 31, 2023 (the “Report”) of SuRo Capital Corp. (the “Registrant”), as filed with the Securities and Exchange Commission on the date hereof, I, Allison Green, the Chief Financial Officer of the Registrant, hereby certify, to the best of my knowledge, that:</w:t>
      </w:r>
    </w:p>
    <w:p>
      <w:pPr>
        <w:spacing w:after="0" w:line="176"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wp:posOffset>
            </wp:positionV>
            <wp:extent cx="355727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Name: Allison Green</w:t>
      </w:r>
    </w:p>
    <w:p>
      <w:pPr>
        <w:spacing w:after="0" w:line="3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1"/>
    </w:lvl>
  </w:abstractNum>
  <w:abstractNum w:abstractNumId="39">
    <w:nsid w:val="725A06FB"/>
    <w:multiLevelType w:val="hybridMultilevel"/>
    <w:lvl w:ilvl="0">
      <w:lvlJc w:val="left"/>
      <w:lvlText w:val="(%1)"/>
      <w:numFmt w:val="decimal"/>
      <w:start w:val="1"/>
    </w:lvl>
    <w:lvl w:ilvl="1">
      <w:lvlJc w:val="left"/>
      <w:lvlText w:val="(%2)"/>
      <w:numFmt w:val="lowerRoman"/>
      <w:start w:val="2"/>
    </w:lvl>
  </w:abstractNum>
  <w:abstractNum w:abstractNumId="40">
    <w:nsid w:val="2CD89A32"/>
    <w:multiLevelType w:val="hybridMultilevel"/>
    <w:lvl w:ilvl="0">
      <w:lvlJc w:val="left"/>
      <w:lvlText w:val="%1"/>
      <w:numFmt w:val="decimal"/>
      <w:start w:val="1"/>
    </w:lvl>
    <w:lvl w:ilvl="1">
      <w:lvlJc w:val="left"/>
      <w:lvlText w:val="(%2)"/>
      <w:numFmt w:val="lowerRoman"/>
      <w:start w:val="1"/>
    </w:lvl>
  </w:abstractNum>
  <w:abstractNum w:abstractNumId="41">
    <w:nsid w:val="57E4CCAF"/>
    <w:multiLevelType w:val="hybridMultilevel"/>
    <w:lvl w:ilvl="0">
      <w:lvlJc w:val="left"/>
      <w:lvlText w:val="(%1)"/>
      <w:numFmt w:val="decimal"/>
      <w:start w:val="2"/>
    </w:lvl>
  </w:abstractNum>
  <w:abstractNum w:abstractNumId="42">
    <w:nsid w:val="7A6D8D3C"/>
    <w:multiLevelType w:val="hybridMultilevel"/>
    <w:lvl w:ilvl="0">
      <w:lvlJc w:val="left"/>
      <w:lvlText w:val="%1"/>
      <w:numFmt w:val="decimal"/>
      <w:start w:val="1"/>
    </w:lvl>
    <w:lvl w:ilvl="1">
      <w:lvlJc w:val="left"/>
      <w:lvlText w:val="%2"/>
      <w:numFmt w:val="decimal"/>
      <w:start w:val="104"/>
    </w:lvl>
  </w:abstractNum>
  <w:abstractNum w:abstractNumId="43">
    <w:nsid w:val="4B588F54"/>
    <w:multiLevelType w:val="hybridMultilevel"/>
    <w:lvl w:ilvl="0">
      <w:lvlJc w:val="left"/>
      <w:lvlText w:val="(%1)"/>
      <w:numFmt w:val="decimal"/>
      <w:start w:val="1"/>
    </w:lvl>
    <w:lvl w:ilvl="1">
      <w:lvlJc w:val="left"/>
      <w:lvlText w:val="%2"/>
      <w:numFmt w:val="decimal"/>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31" Type="http://schemas.openxmlformats.org/officeDocument/2006/relationships/hyperlink" Target="https://www.sec.gov/Archives/edgar/data/1509470/000113379611000069/k216228_ex99-2a.htm" TargetMode="External"/><Relationship Id="rId132" Type="http://schemas.openxmlformats.org/officeDocument/2006/relationships/hyperlink" Target="https://www.sec.gov/Archives/edgar/data/1509470/000114420411033389/v224342_ex3-1.htm" TargetMode="External"/><Relationship Id="rId133" Type="http://schemas.openxmlformats.org/officeDocument/2006/relationships/hyperlink" Target="https://www.sec.gov/Archives/edgar/data/1509470/000114420419037014/tv526412_ex3-1.htm" TargetMode="External"/><Relationship Id="rId134" Type="http://schemas.openxmlformats.org/officeDocument/2006/relationships/hyperlink" Target="https://www.sec.gov/Archives/edgar/data/1509470/000110465920073783/tm2022743d1_ex3-1.htm" TargetMode="External"/><Relationship Id="rId135" Type="http://schemas.openxmlformats.org/officeDocument/2006/relationships/hyperlink" Target="https://www.sec.gov/Archives/edgar/data/1509470/000110465920073783/tm2022743d1_ex3-2.htm" TargetMode="External"/><Relationship Id="rId136" Type="http://schemas.openxmlformats.org/officeDocument/2006/relationships/hyperlink" Target="https://www.sec.gov/Archives/edgar/data/1509470/000110465920080689/tm2023838d1_ex-d3.htm" TargetMode="External"/><Relationship Id="rId137" Type="http://schemas.openxmlformats.org/officeDocument/2006/relationships/hyperlink" Target="https://www.sec.gov/Archives/edgar/data/1509470/000110465921150924/tm2135610d1_ex4-2.htm" TargetMode="External"/><Relationship Id="rId138" Type="http://schemas.openxmlformats.org/officeDocument/2006/relationships/hyperlink" Target="https://www.sec.gov/Archives/edgar/data/1509470/000110465921150924/tm2135610d1_ex4-2.htm#S1" TargetMode="External"/><Relationship Id="rId139" Type="http://schemas.openxmlformats.org/officeDocument/2006/relationships/hyperlink" Target="https://www.sec.gov/Archives/edgar/data/1509470/000162828022005867/surocapital-form10xkex45.htm" TargetMode="External"/><Relationship Id="rId140" Type="http://schemas.openxmlformats.org/officeDocument/2006/relationships/hyperlink" Target="https://www.sec.gov/Archives/edgar/data/1509470/000110465923047475/tm231329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2023-05-10T11:10:12Z</dcterms:created>
  <dcterms:modified xsi:type="dcterms:W3CDTF">2023-05-10T11:10:12Z</dcterms:modified>
</cp:coreProperties>
</file>