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color w:val="0000FF"/>
        </w:rPr>
      </w:pPr>
      <w:hyperlink w:anchor="page1">
        <w:r>
          <w:rPr>
            <w:rFonts w:ascii="Arial" w:cs="Arial" w:eastAsia="Arial" w:hAnsi="Arial"/>
            <w:sz w:val="14"/>
            <w:szCs w:val="14"/>
            <w:color w:val="0000FF"/>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518160</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475615</wp:posOffset>
            </wp:positionV>
            <wp:extent cx="711517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UNITED STATES</w:t>
      </w:r>
    </w:p>
    <w:p>
      <w:pPr>
        <w:spacing w:after="0" w:line="2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line="232" w:lineRule="auto"/>
        <w:rPr>
          <w:sz w:val="20"/>
          <w:szCs w:val="20"/>
          <w:color w:val="auto"/>
        </w:rPr>
      </w:pPr>
      <w:r>
        <w:rPr>
          <w:rFonts w:ascii="Arial" w:cs="Arial" w:eastAsia="Arial" w:hAnsi="Arial"/>
          <w:sz w:val="16"/>
          <w:szCs w:val="16"/>
          <w:b w:val="1"/>
          <w:bCs w:val="1"/>
          <w:color w:val="auto"/>
        </w:rPr>
        <w:t>Washington, D.C. 20549</w:t>
      </w:r>
    </w:p>
    <w:p>
      <w:pPr>
        <w:ind w:left="4620"/>
        <w:spacing w:after="0"/>
        <w:rPr>
          <w:sz w:val="20"/>
          <w:szCs w:val="20"/>
          <w:color w:val="auto"/>
        </w:rPr>
      </w:pPr>
      <w:r>
        <w:rPr>
          <w:rFonts w:ascii="Arial" w:cs="Arial" w:eastAsia="Arial" w:hAnsi="Arial"/>
          <w:sz w:val="14"/>
          <w:szCs w:val="14"/>
          <w:color w:val="auto"/>
        </w:rPr>
        <w:t>____________________________</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10-Q</w:t>
      </w:r>
    </w:p>
    <w:p>
      <w:pPr>
        <w:spacing w:after="0" w:line="4" w:lineRule="exact"/>
        <w:rPr>
          <w:sz w:val="24"/>
          <w:szCs w:val="24"/>
          <w:color w:val="auto"/>
        </w:rPr>
      </w:pPr>
    </w:p>
    <w:p>
      <w:pPr>
        <w:ind w:left="4360"/>
        <w:spacing w:after="0"/>
        <w:rPr>
          <w:sz w:val="20"/>
          <w:szCs w:val="20"/>
          <w:color w:val="auto"/>
        </w:rPr>
      </w:pPr>
      <w:r>
        <w:rPr>
          <w:rFonts w:ascii="Arial" w:cs="Arial" w:eastAsia="Arial" w:hAnsi="Arial"/>
          <w:sz w:val="18"/>
          <w:szCs w:val="18"/>
          <w:color w:val="auto"/>
        </w:rPr>
        <w:t>____________________________</w:t>
      </w:r>
    </w:p>
    <w:p>
      <w:pPr>
        <w:spacing w:after="0" w:line="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9" w:lineRule="exact"/>
        <w:rPr>
          <w:sz w:val="24"/>
          <w:szCs w:val="24"/>
          <w:color w:val="auto"/>
        </w:rPr>
      </w:pPr>
    </w:p>
    <w:p>
      <w:pPr>
        <w:spacing w:after="0"/>
        <w:rPr>
          <w:sz w:val="20"/>
          <w:szCs w:val="20"/>
          <w:color w:val="auto"/>
        </w:rPr>
      </w:pPr>
      <w:r>
        <w:rPr>
          <w:rFonts w:ascii="Arial" w:cs="Arial" w:eastAsia="Arial" w:hAnsi="Arial"/>
          <w:sz w:val="16"/>
          <w:szCs w:val="16"/>
          <w:color w:val="auto"/>
        </w:rPr>
        <w:t xml:space="preserve">x </w:t>
      </w:r>
      <w:r>
        <w:rPr>
          <w:rFonts w:ascii="Arial" w:cs="Arial" w:eastAsia="Arial" w:hAnsi="Arial"/>
          <w:sz w:val="16"/>
          <w:szCs w:val="16"/>
          <w:b w:val="1"/>
          <w:bCs w:val="1"/>
          <w:color w:val="auto"/>
        </w:rPr>
        <w:t>QUARTERLY REPORT PURSUANT TO SECTION 13 OR 15(d) OF THE SECURITIES EXCHANGE ACT OF 1934</w:t>
      </w:r>
    </w:p>
    <w:p>
      <w:pPr>
        <w:spacing w:after="0" w:line="99" w:lineRule="exact"/>
        <w:rPr>
          <w:sz w:val="24"/>
          <w:szCs w:val="24"/>
          <w:color w:val="auto"/>
        </w:rPr>
      </w:pPr>
    </w:p>
    <w:p>
      <w:pPr>
        <w:ind w:left="3540"/>
        <w:spacing w:after="0"/>
        <w:rPr>
          <w:sz w:val="20"/>
          <w:szCs w:val="20"/>
          <w:color w:val="auto"/>
        </w:rPr>
      </w:pPr>
      <w:r>
        <w:rPr>
          <w:rFonts w:ascii="Arial" w:cs="Arial" w:eastAsia="Arial" w:hAnsi="Arial"/>
          <w:sz w:val="16"/>
          <w:szCs w:val="16"/>
          <w:b w:val="1"/>
          <w:bCs w:val="1"/>
          <w:color w:val="auto"/>
        </w:rPr>
        <w:t>FOR THE QUARTERLY PERIOD ENDED March 31, 2021</w:t>
      </w:r>
    </w:p>
    <w:p>
      <w:pPr>
        <w:spacing w:after="0" w:line="113" w:lineRule="exact"/>
        <w:rPr>
          <w:sz w:val="24"/>
          <w:szCs w:val="24"/>
          <w:color w:val="auto"/>
        </w:rPr>
      </w:pPr>
    </w:p>
    <w:p>
      <w:pPr>
        <w:ind w:left="4080" w:right="2800" w:hanging="4072"/>
        <w:spacing w:after="0" w:line="387" w:lineRule="auto"/>
        <w:tabs>
          <w:tab w:leader="none" w:pos="194"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TRANSITION REPORT PURSUANT TO SECTION 13 OR 15(d) OF THE SECURITIES EXCHANGE ACT OF 1934 COMMISSION FILE NUMBER: 814-00852</w:t>
      </w:r>
    </w:p>
    <w:p>
      <w:pPr>
        <w:ind w:left="4460"/>
        <w:spacing w:after="0"/>
        <w:rPr>
          <w:sz w:val="20"/>
          <w:szCs w:val="20"/>
          <w:color w:val="auto"/>
        </w:rPr>
      </w:pPr>
      <w:r>
        <w:rPr>
          <w:rFonts w:ascii="Arial" w:cs="Arial" w:eastAsia="Arial" w:hAnsi="Arial"/>
          <w:sz w:val="18"/>
          <w:szCs w:val="18"/>
          <w:color w:val="auto"/>
        </w:rPr>
        <w:t>__________________________</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SuRo Capital Corp.</w:t>
      </w:r>
    </w:p>
    <w:p>
      <w:pPr>
        <w:spacing w:after="0" w:line="35"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5" w:lineRule="exact"/>
        <w:rPr>
          <w:sz w:val="24"/>
          <w:szCs w:val="24"/>
          <w:color w:val="auto"/>
        </w:rPr>
      </w:pPr>
    </w:p>
    <w:p>
      <w:pPr>
        <w:ind w:left="4360"/>
        <w:spacing w:after="0"/>
        <w:rPr>
          <w:sz w:val="20"/>
          <w:szCs w:val="20"/>
          <w:color w:val="auto"/>
        </w:rPr>
      </w:pPr>
      <w:r>
        <w:rPr>
          <w:rFonts w:ascii="Arial" w:cs="Arial" w:eastAsia="Arial" w:hAnsi="Arial"/>
          <w:sz w:val="18"/>
          <w:szCs w:val="18"/>
          <w:color w:val="auto"/>
        </w:rPr>
        <w:t>____________________________</w:t>
      </w:r>
    </w:p>
    <w:p>
      <w:pPr>
        <w:spacing w:after="0" w:line="129" w:lineRule="exact"/>
        <w:rPr>
          <w:sz w:val="24"/>
          <w:szCs w:val="24"/>
          <w:color w:val="auto"/>
        </w:rPr>
      </w:pPr>
    </w:p>
    <w:tbl>
      <w:tblPr>
        <w:tblLayout w:type="fixed"/>
        <w:tblInd w:w="20" w:type="dxa"/>
        <w:tblCellMar>
          <w:top w:w="0" w:type="dxa"/>
          <w:left w:w="0" w:type="dxa"/>
          <w:bottom w:w="0" w:type="dxa"/>
          <w:right w:w="0" w:type="dxa"/>
        </w:tblCellMar>
      </w:tblPr>
      <w:tr>
        <w:trPr>
          <w:trHeight w:val="210"/>
        </w:trPr>
        <w:tc>
          <w:tcPr>
            <w:tcW w:w="4000" w:type="dxa"/>
            <w:vAlign w:val="bottom"/>
          </w:tcPr>
          <w:p>
            <w:pPr>
              <w:jc w:val="center"/>
              <w:ind w:left="1483"/>
              <w:spacing w:after="0"/>
              <w:rPr>
                <w:sz w:val="20"/>
                <w:szCs w:val="20"/>
                <w:color w:val="auto"/>
              </w:rPr>
            </w:pPr>
            <w:r>
              <w:rPr>
                <w:rFonts w:ascii="Arial" w:cs="Arial" w:eastAsia="Arial" w:hAnsi="Arial"/>
                <w:sz w:val="16"/>
                <w:szCs w:val="16"/>
                <w:b w:val="1"/>
                <w:bCs w:val="1"/>
                <w:color w:val="auto"/>
                <w:w w:val="96"/>
              </w:rPr>
              <w:t>Maryland</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980" w:type="dxa"/>
            <w:vAlign w:val="bottom"/>
          </w:tcPr>
          <w:p>
            <w:pPr>
              <w:jc w:val="right"/>
              <w:ind w:right="2364"/>
              <w:spacing w:after="0"/>
              <w:rPr>
                <w:sz w:val="20"/>
                <w:szCs w:val="20"/>
                <w:color w:val="auto"/>
              </w:rPr>
            </w:pPr>
            <w:r>
              <w:rPr>
                <w:rFonts w:ascii="Arial" w:cs="Arial" w:eastAsia="Arial" w:hAnsi="Arial"/>
                <w:sz w:val="16"/>
                <w:szCs w:val="16"/>
                <w:b w:val="1"/>
                <w:bCs w:val="1"/>
                <w:color w:val="auto"/>
              </w:rPr>
              <w:t>27-4443543</w:t>
            </w:r>
          </w:p>
        </w:tc>
      </w:tr>
      <w:tr>
        <w:trPr>
          <w:trHeight w:val="183"/>
        </w:trPr>
        <w:tc>
          <w:tcPr>
            <w:tcW w:w="4000" w:type="dxa"/>
            <w:vAlign w:val="bottom"/>
          </w:tcPr>
          <w:p>
            <w:pPr>
              <w:jc w:val="center"/>
              <w:ind w:left="1483"/>
              <w:spacing w:after="0"/>
              <w:rPr>
                <w:sz w:val="20"/>
                <w:szCs w:val="20"/>
                <w:color w:val="auto"/>
              </w:rPr>
            </w:pPr>
            <w:r>
              <w:rPr>
                <w:rFonts w:ascii="Arial" w:cs="Arial" w:eastAsia="Arial" w:hAnsi="Arial"/>
                <w:sz w:val="14"/>
                <w:szCs w:val="14"/>
                <w:color w:val="auto"/>
                <w:w w:val="95"/>
              </w:rPr>
              <w:t>(State of incorporation)</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980" w:type="dxa"/>
            <w:vAlign w:val="bottom"/>
          </w:tcPr>
          <w:p>
            <w:pPr>
              <w:jc w:val="center"/>
              <w:ind w:right="1584"/>
              <w:spacing w:after="0"/>
              <w:rPr>
                <w:sz w:val="20"/>
                <w:szCs w:val="20"/>
                <w:color w:val="auto"/>
              </w:rPr>
            </w:pPr>
            <w:r>
              <w:rPr>
                <w:rFonts w:ascii="Arial" w:cs="Arial" w:eastAsia="Arial" w:hAnsi="Arial"/>
                <w:sz w:val="14"/>
                <w:szCs w:val="14"/>
                <w:color w:val="auto"/>
                <w:w w:val="96"/>
              </w:rPr>
              <w:t>(I.R.S. Employer Identification No.)</w:t>
            </w:r>
          </w:p>
        </w:tc>
      </w:tr>
      <w:tr>
        <w:trPr>
          <w:trHeight w:val="222"/>
        </w:trPr>
        <w:tc>
          <w:tcPr>
            <w:tcW w:w="7220" w:type="dxa"/>
            <w:vAlign w:val="bottom"/>
            <w:gridSpan w:val="6"/>
          </w:tcPr>
          <w:p>
            <w:pPr>
              <w:jc w:val="center"/>
              <w:ind w:right="1660"/>
              <w:spacing w:after="0"/>
              <w:rPr>
                <w:sz w:val="20"/>
                <w:szCs w:val="20"/>
                <w:color w:val="auto"/>
              </w:rPr>
            </w:pPr>
            <w:r>
              <w:rPr>
                <w:rFonts w:ascii="Arial" w:cs="Arial" w:eastAsia="Arial" w:hAnsi="Arial"/>
                <w:sz w:val="16"/>
                <w:szCs w:val="16"/>
                <w:b w:val="1"/>
                <w:bCs w:val="1"/>
                <w:color w:val="auto"/>
                <w:w w:val="90"/>
              </w:rPr>
              <w:t>One Sansome Street, Suite 730, San Francisco, CA</w:t>
            </w:r>
          </w:p>
        </w:tc>
        <w:tc>
          <w:tcPr>
            <w:tcW w:w="3980" w:type="dxa"/>
            <w:vAlign w:val="bottom"/>
          </w:tcPr>
          <w:p>
            <w:pPr>
              <w:jc w:val="right"/>
              <w:ind w:right="2544"/>
              <w:spacing w:after="0"/>
              <w:rPr>
                <w:sz w:val="20"/>
                <w:szCs w:val="20"/>
                <w:color w:val="auto"/>
              </w:rPr>
            </w:pPr>
            <w:r>
              <w:rPr>
                <w:rFonts w:ascii="Arial" w:cs="Arial" w:eastAsia="Arial" w:hAnsi="Arial"/>
                <w:sz w:val="16"/>
                <w:szCs w:val="16"/>
                <w:b w:val="1"/>
                <w:bCs w:val="1"/>
                <w:color w:val="auto"/>
              </w:rPr>
              <w:t>94104</w:t>
            </w:r>
          </w:p>
        </w:tc>
      </w:tr>
      <w:tr>
        <w:trPr>
          <w:trHeight w:val="183"/>
        </w:trPr>
        <w:tc>
          <w:tcPr>
            <w:tcW w:w="4000" w:type="dxa"/>
            <w:vAlign w:val="bottom"/>
          </w:tcPr>
          <w:p>
            <w:pPr>
              <w:jc w:val="center"/>
              <w:ind w:left="1483"/>
              <w:spacing w:after="0"/>
              <w:rPr>
                <w:sz w:val="20"/>
                <w:szCs w:val="20"/>
                <w:color w:val="auto"/>
              </w:rPr>
            </w:pPr>
            <w:r>
              <w:rPr>
                <w:rFonts w:ascii="Arial" w:cs="Arial" w:eastAsia="Arial" w:hAnsi="Arial"/>
                <w:sz w:val="14"/>
                <w:szCs w:val="14"/>
                <w:color w:val="auto"/>
                <w:w w:val="95"/>
              </w:rPr>
              <w:t>(Address of principal executive offices)</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980" w:type="dxa"/>
            <w:vAlign w:val="bottom"/>
          </w:tcPr>
          <w:p>
            <w:pPr>
              <w:jc w:val="center"/>
              <w:ind w:right="1584"/>
              <w:spacing w:after="0"/>
              <w:rPr>
                <w:sz w:val="20"/>
                <w:szCs w:val="20"/>
                <w:color w:val="auto"/>
              </w:rPr>
            </w:pPr>
            <w:r>
              <w:rPr>
                <w:rFonts w:ascii="Arial" w:cs="Arial" w:eastAsia="Arial" w:hAnsi="Arial"/>
                <w:sz w:val="14"/>
                <w:szCs w:val="14"/>
                <w:color w:val="auto"/>
                <w:w w:val="96"/>
              </w:rPr>
              <w:t>(Zip Code)</w:t>
            </w:r>
          </w:p>
        </w:tc>
      </w:tr>
      <w:tr>
        <w:trPr>
          <w:trHeight w:val="276"/>
        </w:trPr>
        <w:tc>
          <w:tcPr>
            <w:tcW w:w="4000" w:type="dxa"/>
            <w:vAlign w:val="bottom"/>
          </w:tcPr>
          <w:p>
            <w:pPr>
              <w:spacing w:after="0"/>
              <w:rPr>
                <w:sz w:val="24"/>
                <w:szCs w:val="24"/>
                <w:color w:val="auto"/>
              </w:rPr>
            </w:pPr>
          </w:p>
        </w:tc>
        <w:tc>
          <w:tcPr>
            <w:tcW w:w="2720" w:type="dxa"/>
            <w:vAlign w:val="bottom"/>
            <w:gridSpan w:val="3"/>
          </w:tcPr>
          <w:p>
            <w:pPr>
              <w:jc w:val="center"/>
              <w:ind w:left="364"/>
              <w:spacing w:after="0"/>
              <w:rPr>
                <w:sz w:val="20"/>
                <w:szCs w:val="20"/>
                <w:color w:val="auto"/>
              </w:rPr>
            </w:pPr>
            <w:r>
              <w:rPr>
                <w:rFonts w:ascii="Arial" w:cs="Arial" w:eastAsia="Arial" w:hAnsi="Arial"/>
                <w:sz w:val="16"/>
                <w:szCs w:val="16"/>
                <w:b w:val="1"/>
                <w:bCs w:val="1"/>
                <w:color w:val="auto"/>
                <w:w w:val="91"/>
              </w:rPr>
              <w:t>(650) 235-4769</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980" w:type="dxa"/>
            <w:vAlign w:val="bottom"/>
          </w:tcPr>
          <w:p>
            <w:pPr>
              <w:spacing w:after="0"/>
              <w:rPr>
                <w:sz w:val="24"/>
                <w:szCs w:val="24"/>
                <w:color w:val="auto"/>
              </w:rPr>
            </w:pPr>
          </w:p>
        </w:tc>
      </w:tr>
      <w:tr>
        <w:trPr>
          <w:trHeight w:val="183"/>
        </w:trPr>
        <w:tc>
          <w:tcPr>
            <w:tcW w:w="4000" w:type="dxa"/>
            <w:vAlign w:val="bottom"/>
          </w:tcPr>
          <w:p>
            <w:pPr>
              <w:spacing w:after="0"/>
              <w:rPr>
                <w:sz w:val="15"/>
                <w:szCs w:val="15"/>
                <w:color w:val="auto"/>
              </w:rPr>
            </w:pPr>
          </w:p>
        </w:tc>
        <w:tc>
          <w:tcPr>
            <w:tcW w:w="3220" w:type="dxa"/>
            <w:vAlign w:val="bottom"/>
            <w:gridSpan w:val="5"/>
          </w:tcPr>
          <w:p>
            <w:pPr>
              <w:jc w:val="center"/>
              <w:ind w:right="60"/>
              <w:spacing w:after="0"/>
              <w:rPr>
                <w:sz w:val="20"/>
                <w:szCs w:val="20"/>
                <w:color w:val="auto"/>
              </w:rPr>
            </w:pPr>
            <w:r>
              <w:rPr>
                <w:rFonts w:ascii="Arial" w:cs="Arial" w:eastAsia="Arial" w:hAnsi="Arial"/>
                <w:sz w:val="14"/>
                <w:szCs w:val="14"/>
                <w:color w:val="auto"/>
                <w:w w:val="92"/>
              </w:rPr>
              <w:t>(Registrant’s telephone number, including area code)</w:t>
            </w:r>
          </w:p>
        </w:tc>
        <w:tc>
          <w:tcPr>
            <w:tcW w:w="3980" w:type="dxa"/>
            <w:vAlign w:val="bottom"/>
          </w:tcPr>
          <w:p>
            <w:pPr>
              <w:spacing w:after="0"/>
              <w:rPr>
                <w:sz w:val="15"/>
                <w:szCs w:val="15"/>
                <w:color w:val="auto"/>
              </w:rPr>
            </w:pPr>
          </w:p>
        </w:tc>
      </w:tr>
      <w:tr>
        <w:trPr>
          <w:trHeight w:val="546"/>
        </w:trPr>
        <w:tc>
          <w:tcPr>
            <w:tcW w:w="11200" w:type="dxa"/>
            <w:vAlign w:val="bottom"/>
            <w:gridSpan w:val="7"/>
          </w:tcPr>
          <w:p>
            <w:pPr>
              <w:jc w:val="center"/>
              <w:spacing w:after="0"/>
              <w:rPr>
                <w:sz w:val="20"/>
                <w:szCs w:val="20"/>
                <w:color w:val="auto"/>
              </w:rPr>
            </w:pPr>
            <w:r>
              <w:rPr>
                <w:rFonts w:ascii="Arial" w:cs="Arial" w:eastAsia="Arial" w:hAnsi="Arial"/>
                <w:sz w:val="16"/>
                <w:szCs w:val="16"/>
                <w:b w:val="1"/>
                <w:bCs w:val="1"/>
                <w:color w:val="auto"/>
              </w:rPr>
              <w:t>SECURITIES REGISTERED PURSUANT TO SECTION 12(b) OF THE ACT:</w:t>
            </w:r>
          </w:p>
        </w:tc>
      </w:tr>
      <w:tr>
        <w:trPr>
          <w:trHeight w:val="284"/>
        </w:trPr>
        <w:tc>
          <w:tcPr>
            <w:tcW w:w="4000" w:type="dxa"/>
            <w:vAlign w:val="bottom"/>
            <w:tcBorders>
              <w:bottom w:val="single" w:sz="8" w:color="auto"/>
            </w:tcBorders>
          </w:tcPr>
          <w:p>
            <w:pPr>
              <w:jc w:val="center"/>
              <w:ind w:left="83"/>
              <w:spacing w:after="0"/>
              <w:rPr>
                <w:sz w:val="20"/>
                <w:szCs w:val="20"/>
                <w:color w:val="auto"/>
              </w:rPr>
            </w:pPr>
            <w:r>
              <w:rPr>
                <w:rFonts w:ascii="Arial" w:cs="Arial" w:eastAsia="Arial" w:hAnsi="Arial"/>
                <w:sz w:val="14"/>
                <w:szCs w:val="14"/>
                <w:b w:val="1"/>
                <w:bCs w:val="1"/>
                <w:color w:val="auto"/>
                <w:w w:val="93"/>
              </w:rPr>
              <w:t>Title of Each Class</w:t>
            </w:r>
          </w:p>
        </w:tc>
        <w:tc>
          <w:tcPr>
            <w:tcW w:w="1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Trading Symbol</w:t>
            </w:r>
          </w:p>
        </w:tc>
        <w:tc>
          <w:tcPr>
            <w:tcW w:w="12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3980" w:type="dxa"/>
            <w:vAlign w:val="bottom"/>
            <w:tcBorders>
              <w:bottom w:val="single" w:sz="8" w:color="auto"/>
            </w:tcBorders>
          </w:tcPr>
          <w:p>
            <w:pPr>
              <w:jc w:val="center"/>
              <w:ind w:right="304"/>
              <w:spacing w:after="0"/>
              <w:rPr>
                <w:sz w:val="20"/>
                <w:szCs w:val="20"/>
                <w:color w:val="auto"/>
              </w:rPr>
            </w:pPr>
            <w:r>
              <w:rPr>
                <w:rFonts w:ascii="Arial" w:cs="Arial" w:eastAsia="Arial" w:hAnsi="Arial"/>
                <w:sz w:val="14"/>
                <w:szCs w:val="14"/>
                <w:b w:val="1"/>
                <w:bCs w:val="1"/>
                <w:color w:val="auto"/>
                <w:w w:val="91"/>
              </w:rPr>
              <w:t>Name of Each Exchange on Which Registered</w:t>
            </w:r>
          </w:p>
        </w:tc>
      </w:tr>
      <w:tr>
        <w:trPr>
          <w:trHeight w:val="209"/>
        </w:trPr>
        <w:tc>
          <w:tcPr>
            <w:tcW w:w="4000" w:type="dxa"/>
            <w:vAlign w:val="bottom"/>
          </w:tcPr>
          <w:p>
            <w:pPr>
              <w:jc w:val="center"/>
              <w:ind w:left="83"/>
              <w:spacing w:after="0"/>
              <w:rPr>
                <w:sz w:val="20"/>
                <w:szCs w:val="20"/>
                <w:color w:val="auto"/>
              </w:rPr>
            </w:pPr>
            <w:r>
              <w:rPr>
                <w:rFonts w:ascii="Arial" w:cs="Arial" w:eastAsia="Arial" w:hAnsi="Arial"/>
                <w:sz w:val="16"/>
                <w:szCs w:val="16"/>
                <w:color w:val="auto"/>
                <w:w w:val="90"/>
              </w:rPr>
              <w:t>Common Stock, par value $0.01 per share</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60" w:type="dxa"/>
            <w:vAlign w:val="bottom"/>
            <w:gridSpan w:val="3"/>
          </w:tcPr>
          <w:p>
            <w:pPr>
              <w:jc w:val="center"/>
              <w:ind w:right="520"/>
              <w:spacing w:after="0"/>
              <w:rPr>
                <w:sz w:val="20"/>
                <w:szCs w:val="20"/>
                <w:color w:val="auto"/>
              </w:rPr>
            </w:pPr>
            <w:r>
              <w:rPr>
                <w:rFonts w:ascii="Arial" w:cs="Arial" w:eastAsia="Arial" w:hAnsi="Arial"/>
                <w:sz w:val="16"/>
                <w:szCs w:val="16"/>
                <w:color w:val="auto"/>
                <w:w w:val="84"/>
              </w:rPr>
              <w:t>SSSS</w:t>
            </w:r>
          </w:p>
        </w:tc>
        <w:tc>
          <w:tcPr>
            <w:tcW w:w="3980" w:type="dxa"/>
            <w:vAlign w:val="bottom"/>
          </w:tcPr>
          <w:p>
            <w:pPr>
              <w:jc w:val="center"/>
              <w:ind w:right="304"/>
              <w:spacing w:after="0"/>
              <w:rPr>
                <w:sz w:val="20"/>
                <w:szCs w:val="20"/>
                <w:color w:val="auto"/>
              </w:rPr>
            </w:pPr>
            <w:r>
              <w:rPr>
                <w:rFonts w:ascii="Arial" w:cs="Arial" w:eastAsia="Arial" w:hAnsi="Arial"/>
                <w:sz w:val="16"/>
                <w:szCs w:val="16"/>
                <w:color w:val="auto"/>
                <w:w w:val="93"/>
              </w:rPr>
              <w:t>Nasdaq Capital Market</w:t>
            </w:r>
          </w:p>
        </w:tc>
      </w:tr>
    </w:tbl>
    <w:p>
      <w:pPr>
        <w:spacing w:after="0" w:line="91" w:lineRule="exact"/>
        <w:rPr>
          <w:sz w:val="24"/>
          <w:szCs w:val="24"/>
          <w:color w:val="auto"/>
        </w:rPr>
      </w:pPr>
    </w:p>
    <w:p>
      <w:pPr>
        <w:ind w:right="40" w:firstLine="364"/>
        <w:spacing w:after="0" w:line="201"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periods as the registrant was required to file such reports), and (2) has been subject to such filing requirements for the past 90 days. YES x NO </w:t>
      </w:r>
      <w:r>
        <w:rPr>
          <w:rFonts w:ascii="MS PGothic" w:cs="MS PGothic" w:eastAsia="MS PGothic" w:hAnsi="MS PGothic"/>
          <w:sz w:val="16"/>
          <w:szCs w:val="16"/>
          <w:color w:val="auto"/>
        </w:rPr>
        <w:t>☐</w:t>
      </w:r>
    </w:p>
    <w:p>
      <w:pPr>
        <w:spacing w:after="0" w:line="210" w:lineRule="exact"/>
        <w:rPr>
          <w:sz w:val="24"/>
          <w:szCs w:val="24"/>
          <w:color w:val="auto"/>
        </w:rPr>
      </w:pPr>
    </w:p>
    <w:p>
      <w:pPr>
        <w:ind w:right="40" w:firstLine="364"/>
        <w:spacing w:after="0" w:line="207"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09" w:lineRule="exact"/>
        <w:rPr>
          <w:sz w:val="24"/>
          <w:szCs w:val="24"/>
          <w:color w:val="auto"/>
        </w:rPr>
      </w:pPr>
    </w:p>
    <w:p>
      <w:pPr>
        <w:ind w:firstLine="364"/>
        <w:spacing w:after="0" w:line="261"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229" w:right="339" w:bottom="1440" w:gutter="0" w:footer="0" w:header="0"/>
        </w:sectPr>
      </w:pPr>
    </w:p>
    <w:p>
      <w:pPr>
        <w:spacing w:after="0" w:line="102" w:lineRule="exact"/>
        <w:rPr>
          <w:sz w:val="24"/>
          <w:szCs w:val="24"/>
          <w:color w:val="auto"/>
        </w:rPr>
      </w:pPr>
    </w:p>
    <w:p>
      <w:pPr>
        <w:ind w:left="360"/>
        <w:spacing w:after="0"/>
        <w:rPr>
          <w:sz w:val="20"/>
          <w:szCs w:val="20"/>
          <w:color w:val="auto"/>
        </w:rPr>
      </w:pPr>
      <w:r>
        <w:rPr>
          <w:rFonts w:ascii="Arial" w:cs="Arial" w:eastAsia="Arial" w:hAnsi="Arial"/>
          <w:sz w:val="14"/>
          <w:szCs w:val="14"/>
          <w:color w:val="auto"/>
        </w:rPr>
        <w:t>Large accelerated filer o</w:t>
      </w:r>
    </w:p>
    <w:p>
      <w:pPr>
        <w:spacing w:after="0" w:line="20" w:lineRule="exact"/>
        <w:rPr>
          <w:sz w:val="24"/>
          <w:szCs w:val="24"/>
          <w:color w:val="auto"/>
        </w:rPr>
      </w:pPr>
      <w:r>
        <w:rPr>
          <w:sz w:val="24"/>
          <w:szCs w:val="24"/>
          <w:color w:val="auto"/>
        </w:rPr>
        <w:br w:type="column"/>
      </w:r>
    </w:p>
    <w:p>
      <w:pPr>
        <w:spacing w:after="0" w:line="82" w:lineRule="exact"/>
        <w:rPr>
          <w:sz w:val="24"/>
          <w:szCs w:val="24"/>
          <w:color w:val="auto"/>
        </w:rPr>
      </w:pPr>
    </w:p>
    <w:p>
      <w:pPr>
        <w:spacing w:after="0"/>
        <w:rPr>
          <w:sz w:val="20"/>
          <w:szCs w:val="20"/>
          <w:color w:val="auto"/>
        </w:rPr>
      </w:pPr>
      <w:r>
        <w:rPr>
          <w:rFonts w:ascii="Arial" w:cs="Arial" w:eastAsia="Arial" w:hAnsi="Arial"/>
          <w:sz w:val="15"/>
          <w:szCs w:val="15"/>
          <w:color w:val="auto"/>
        </w:rPr>
        <w:t>Accelerated filer o</w:t>
      </w:r>
    </w:p>
    <w:p>
      <w:pPr>
        <w:spacing w:after="0" w:line="44" w:lineRule="exact"/>
        <w:rPr>
          <w:sz w:val="24"/>
          <w:szCs w:val="24"/>
          <w:color w:val="auto"/>
        </w:rPr>
      </w:pPr>
    </w:p>
    <w:p>
      <w:pPr>
        <w:sectPr>
          <w:pgSz w:w="11900" w:h="16838" w:orient="portrait"/>
          <w:cols w:equalWidth="0" w:num="2">
            <w:col w:w="7040" w:space="720"/>
            <w:col w:w="3480"/>
          </w:cols>
          <w:pgMar w:left="320" w:top="229" w:right="339" w:bottom="1440" w:gutter="0" w:footer="0" w:header="0"/>
          <w:type w:val="continuous"/>
        </w:sectPr>
      </w:pPr>
    </w:p>
    <w:p>
      <w:pPr>
        <w:ind w:left="360"/>
        <w:spacing w:after="0"/>
        <w:rPr>
          <w:sz w:val="20"/>
          <w:szCs w:val="20"/>
          <w:color w:val="auto"/>
        </w:rPr>
      </w:pPr>
      <w:r>
        <w:rPr>
          <w:rFonts w:ascii="Arial" w:cs="Arial" w:eastAsia="Arial" w:hAnsi="Arial"/>
          <w:sz w:val="14"/>
          <w:szCs w:val="14"/>
          <w:color w:val="auto"/>
        </w:rPr>
        <w:t>Non-accelerated filer x (Do not check if a smaller reporting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Smaller reporting company o</w:t>
      </w:r>
    </w:p>
    <w:p>
      <w:pPr>
        <w:spacing w:after="0" w:line="55" w:lineRule="exact"/>
        <w:rPr>
          <w:sz w:val="24"/>
          <w:szCs w:val="24"/>
          <w:color w:val="auto"/>
        </w:rPr>
      </w:pPr>
    </w:p>
    <w:p>
      <w:pPr>
        <w:sectPr>
          <w:pgSz w:w="11900" w:h="16838" w:orient="portrait"/>
          <w:cols w:equalWidth="0" w:num="2">
            <w:col w:w="7040" w:space="720"/>
            <w:col w:w="3480"/>
          </w:cols>
          <w:pgMar w:left="320" w:top="229" w:right="339" w:bottom="1440" w:gutter="0" w:footer="0" w:header="0"/>
          <w:type w:val="continuous"/>
        </w:sectPr>
      </w:pPr>
    </w:p>
    <w:p>
      <w:pPr>
        <w:ind w:left="360"/>
        <w:spacing w:after="0"/>
        <w:rPr>
          <w:sz w:val="20"/>
          <w:szCs w:val="20"/>
          <w:color w:val="auto"/>
        </w:rPr>
      </w:pPr>
      <w:r>
        <w:rPr>
          <w:rFonts w:ascii="Arial" w:cs="Arial" w:eastAsia="Arial" w:hAnsi="Arial"/>
          <w:sz w:val="14"/>
          <w:szCs w:val="14"/>
          <w:color w:val="auto"/>
        </w:rPr>
        <w:t>Emerging growth company o</w:t>
      </w:r>
    </w:p>
    <w:p>
      <w:pPr>
        <w:sectPr>
          <w:pgSz w:w="11900" w:h="16838" w:orient="portrait"/>
          <w:cols w:equalWidth="0" w:num="1">
            <w:col w:w="11240"/>
          </w:cols>
          <w:pgMar w:left="320" w:top="229" w:right="339" w:bottom="1440" w:gutter="0" w:footer="0" w:header="0"/>
          <w:type w:val="continuous"/>
        </w:sectPr>
      </w:pPr>
    </w:p>
    <w:p>
      <w:pPr>
        <w:spacing w:after="0" w:line="123" w:lineRule="exact"/>
        <w:rPr>
          <w:sz w:val="24"/>
          <w:szCs w:val="24"/>
          <w:color w:val="auto"/>
        </w:rPr>
      </w:pPr>
    </w:p>
    <w:p>
      <w:pPr>
        <w:ind w:right="220" w:firstLine="364"/>
        <w:spacing w:after="0" w:line="275" w:lineRule="auto"/>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169" w:lineRule="exact"/>
        <w:rPr>
          <w:sz w:val="24"/>
          <w:szCs w:val="24"/>
          <w:color w:val="auto"/>
        </w:rPr>
      </w:pPr>
    </w:p>
    <w:p>
      <w:pPr>
        <w:ind w:left="340"/>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x</w:t>
      </w:r>
    </w:p>
    <w:p>
      <w:pPr>
        <w:spacing w:after="0" w:line="278" w:lineRule="exact"/>
        <w:rPr>
          <w:sz w:val="24"/>
          <w:szCs w:val="24"/>
          <w:color w:val="auto"/>
        </w:rPr>
      </w:pPr>
    </w:p>
    <w:p>
      <w:pPr>
        <w:ind w:left="340"/>
        <w:spacing w:after="0"/>
        <w:rPr>
          <w:sz w:val="20"/>
          <w:szCs w:val="20"/>
          <w:color w:val="auto"/>
        </w:rPr>
      </w:pPr>
      <w:r>
        <w:rPr>
          <w:rFonts w:ascii="Arial" w:cs="Arial" w:eastAsia="Arial" w:hAnsi="Arial"/>
          <w:sz w:val="16"/>
          <w:szCs w:val="16"/>
          <w:color w:val="auto"/>
        </w:rPr>
        <w:t>The issuer had 24,205,216 shares of common stock, $0.01 par value per share, outstanding as of May 5,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266700</wp:posOffset>
            </wp:positionV>
            <wp:extent cx="711517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15175"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240665</wp:posOffset>
            </wp:positionV>
            <wp:extent cx="71151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1" w:name="page2"/>
    <w:bookmarkEnd w:id="1"/>
    <w:p>
      <w:pPr>
        <w:spacing w:after="0"/>
        <w:rPr>
          <w:rFonts w:ascii="Arial" w:cs="Arial" w:eastAsia="Arial" w:hAnsi="Arial"/>
          <w:sz w:val="14"/>
          <w:szCs w:val="14"/>
          <w:color w:val="0000FF"/>
        </w:rPr>
      </w:pPr>
      <w:hyperlink w:anchor="page1">
        <w:r>
          <w:rPr>
            <w:rFonts w:ascii="Arial" w:cs="Arial" w:eastAsia="Arial" w:hAnsi="Arial"/>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SURO CAPITAL CORP.</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TABLE OF CONTENTS</w:t>
      </w:r>
    </w:p>
    <w:p>
      <w:pPr>
        <w:spacing w:after="0" w:line="383"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20" w:type="dxa"/>
            <w:vAlign w:val="bottom"/>
            <w:tcBorders>
              <w:bottom w:val="single" w:sz="8" w:color="CCEEFF"/>
            </w:tcBorders>
          </w:tcPr>
          <w:p>
            <w:pPr>
              <w:spacing w:after="0"/>
              <w:rPr>
                <w:sz w:val="16"/>
                <w:szCs w:val="16"/>
                <w:color w:val="auto"/>
              </w:rPr>
            </w:pPr>
          </w:p>
        </w:tc>
        <w:tc>
          <w:tcPr>
            <w:tcW w:w="50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CCEEFF"/>
            </w:tcBorders>
          </w:tcPr>
          <w:p>
            <w:pPr>
              <w:spacing w:after="0"/>
              <w:rPr>
                <w:sz w:val="16"/>
                <w:szCs w:val="16"/>
                <w:color w:val="auto"/>
              </w:rPr>
            </w:pPr>
          </w:p>
        </w:tc>
        <w:tc>
          <w:tcPr>
            <w:tcW w:w="600" w:type="dxa"/>
            <w:vAlign w:val="bottom"/>
            <w:tcBorders>
              <w:bottom w:val="single" w:sz="8" w:color="CCEEFF"/>
            </w:tcBorders>
          </w:tcPr>
          <w:p>
            <w:pPr>
              <w:spacing w:after="0"/>
              <w:rPr>
                <w:sz w:val="16"/>
                <w:szCs w:val="16"/>
                <w:color w:val="auto"/>
              </w:rPr>
            </w:pPr>
          </w:p>
        </w:tc>
        <w:tc>
          <w:tcPr>
            <w:tcW w:w="28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4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440" w:type="dxa"/>
            <w:vAlign w:val="bottom"/>
            <w:tcBorders>
              <w:bottom w:val="single" w:sz="8" w:color="CCEEFF"/>
            </w:tcBorders>
          </w:tcPr>
          <w:p>
            <w:pPr>
              <w:spacing w:after="0"/>
              <w:rPr>
                <w:sz w:val="16"/>
                <w:szCs w:val="16"/>
                <w:color w:val="auto"/>
              </w:rPr>
            </w:pPr>
          </w:p>
        </w:tc>
        <w:tc>
          <w:tcPr>
            <w:tcW w:w="560" w:type="dxa"/>
            <w:vAlign w:val="bottom"/>
            <w:tcBorders>
              <w:bottom w:val="single" w:sz="8" w:color="CCEEFF"/>
            </w:tcBorders>
          </w:tcPr>
          <w:p>
            <w:pPr>
              <w:spacing w:after="0"/>
              <w:rPr>
                <w:sz w:val="16"/>
                <w:szCs w:val="16"/>
                <w:color w:val="auto"/>
              </w:rPr>
            </w:pPr>
          </w:p>
        </w:tc>
        <w:tc>
          <w:tcPr>
            <w:tcW w:w="1000" w:type="dxa"/>
            <w:vAlign w:val="bottom"/>
            <w:tcBorders>
              <w:bottom w:val="single" w:sz="8" w:color="CCEEFF"/>
            </w:tcBorders>
          </w:tcPr>
          <w:p>
            <w:pPr>
              <w:spacing w:after="0"/>
              <w:rPr>
                <w:sz w:val="16"/>
                <w:szCs w:val="16"/>
                <w:color w:val="auto"/>
              </w:rPr>
            </w:pPr>
          </w:p>
        </w:tc>
        <w:tc>
          <w:tcPr>
            <w:tcW w:w="1020" w:type="dxa"/>
            <w:vAlign w:val="bottom"/>
            <w:tcBorders>
              <w:bottom w:val="single" w:sz="8" w:color="CCEEFF"/>
            </w:tcBorders>
          </w:tcPr>
          <w:p>
            <w:pPr>
              <w:spacing w:after="0"/>
              <w:rPr>
                <w:sz w:val="16"/>
                <w:szCs w:val="16"/>
                <w:color w:val="auto"/>
              </w:rPr>
            </w:pPr>
          </w:p>
        </w:tc>
        <w:tc>
          <w:tcPr>
            <w:tcW w:w="1100" w:type="dxa"/>
            <w:vAlign w:val="bottom"/>
            <w:tcBorders>
              <w:bottom w:val="single" w:sz="8" w:color="CCEEFF"/>
            </w:tcBorders>
          </w:tcPr>
          <w:p>
            <w:pPr>
              <w:spacing w:after="0"/>
              <w:rPr>
                <w:sz w:val="16"/>
                <w:szCs w:val="16"/>
                <w:color w:val="auto"/>
              </w:rPr>
            </w:pPr>
          </w:p>
        </w:tc>
        <w:tc>
          <w:tcPr>
            <w:tcW w:w="640" w:type="dxa"/>
            <w:vAlign w:val="bottom"/>
            <w:tcBorders>
              <w:bottom w:val="single" w:sz="8" w:color="CCEEFF"/>
            </w:tcBorders>
          </w:tcPr>
          <w:p>
            <w:pPr>
              <w:spacing w:after="0"/>
              <w:rPr>
                <w:sz w:val="16"/>
                <w:szCs w:val="16"/>
                <w:color w:val="auto"/>
              </w:rPr>
            </w:pPr>
          </w:p>
        </w:tc>
        <w:tc>
          <w:tcPr>
            <w:tcW w:w="36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98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700" w:type="dxa"/>
            <w:vAlign w:val="bottom"/>
            <w:tcBorders>
              <w:bottom w:val="single" w:sz="8" w:color="CCEEFF"/>
            </w:tcBorders>
          </w:tcPr>
          <w:p>
            <w:pPr>
              <w:spacing w:after="0"/>
              <w:rPr>
                <w:sz w:val="16"/>
                <w:szCs w:val="16"/>
                <w:color w:val="auto"/>
              </w:rPr>
            </w:pPr>
          </w:p>
        </w:tc>
        <w:tc>
          <w:tcPr>
            <w:tcW w:w="680" w:type="dxa"/>
            <w:vAlign w:val="bottom"/>
            <w:tcBorders>
              <w:bottom w:val="single" w:sz="8" w:color="auto"/>
            </w:tcBorders>
            <w:gridSpan w:val="4"/>
          </w:tcPr>
          <w:p>
            <w:pPr>
              <w:jc w:val="right"/>
              <w:ind w:right="16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29"/>
        </w:trPr>
        <w:tc>
          <w:tcPr>
            <w:tcW w:w="10500" w:type="dxa"/>
            <w:vAlign w:val="bottom"/>
            <w:gridSpan w:val="23"/>
            <w:shd w:val="clear" w:color="auto" w:fill="CCEEFF"/>
          </w:tcPr>
          <w:p>
            <w:pPr>
              <w:ind w:left="20"/>
              <w:spacing w:after="0"/>
              <w:rPr>
                <w:sz w:val="20"/>
                <w:szCs w:val="20"/>
                <w:color w:val="auto"/>
              </w:rPr>
            </w:pPr>
            <w:r>
              <w:rPr>
                <w:rFonts w:ascii="Arial" w:cs="Arial" w:eastAsia="Arial" w:hAnsi="Arial"/>
                <w:sz w:val="18"/>
                <w:szCs w:val="18"/>
                <w:b w:val="1"/>
                <w:bCs w:val="1"/>
                <w:color w:val="auto"/>
              </w:rPr>
              <w:t>PART I. FINANCIAL INFORMATION</w:t>
            </w: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1120" w:type="dxa"/>
            <w:vAlign w:val="bottom"/>
            <w:gridSpan w:val="5"/>
          </w:tcPr>
          <w:p>
            <w:pPr>
              <w:ind w:left="20"/>
              <w:spacing w:after="0" w:line="189" w:lineRule="exact"/>
              <w:rPr>
                <w:rFonts w:ascii="Arial" w:cs="Arial" w:eastAsia="Arial" w:hAnsi="Arial"/>
                <w:sz w:val="18"/>
                <w:szCs w:val="18"/>
                <w:color w:val="0000FF"/>
              </w:rPr>
            </w:pPr>
            <w:hyperlink w:anchor="page3">
              <w:r>
                <w:rPr>
                  <w:rFonts w:ascii="Arial" w:cs="Arial" w:eastAsia="Arial" w:hAnsi="Arial"/>
                  <w:sz w:val="18"/>
                  <w:szCs w:val="18"/>
                  <w:color w:val="0000FF"/>
                </w:rPr>
                <w:t>Item 1.</w:t>
              </w:r>
            </w:hyperlink>
          </w:p>
        </w:tc>
        <w:tc>
          <w:tcPr>
            <w:tcW w:w="9380" w:type="dxa"/>
            <w:vAlign w:val="bottom"/>
            <w:gridSpan w:val="18"/>
          </w:tcPr>
          <w:p>
            <w:pPr>
              <w:spacing w:after="0" w:line="189" w:lineRule="exact"/>
              <w:rPr>
                <w:rFonts w:ascii="Arial" w:cs="Arial" w:eastAsia="Arial" w:hAnsi="Arial"/>
                <w:sz w:val="18"/>
                <w:szCs w:val="18"/>
                <w:color w:val="0000FF"/>
              </w:rPr>
            </w:pPr>
            <w:hyperlink w:anchor="page3">
              <w:r>
                <w:rPr>
                  <w:rFonts w:ascii="Arial" w:cs="Arial" w:eastAsia="Arial" w:hAnsi="Arial"/>
                  <w:sz w:val="18"/>
                  <w:szCs w:val="18"/>
                  <w:color w:val="0000FF"/>
                </w:rPr>
                <w:t>Condensed Consolidated Financial Statements</w:t>
              </w:r>
            </w:hyperlink>
          </w:p>
        </w:tc>
        <w:tc>
          <w:tcPr>
            <w:tcW w:w="680" w:type="dxa"/>
            <w:vAlign w:val="bottom"/>
            <w:gridSpan w:val="4"/>
          </w:tcPr>
          <w:p>
            <w:pPr>
              <w:jc w:val="right"/>
              <w:ind w:right="40"/>
              <w:spacing w:after="0" w:line="189" w:lineRule="exact"/>
              <w:rPr>
                <w:rFonts w:ascii="Arial" w:cs="Arial" w:eastAsia="Arial" w:hAnsi="Arial"/>
                <w:sz w:val="18"/>
                <w:szCs w:val="18"/>
                <w:color w:val="0000FF"/>
              </w:rPr>
            </w:pPr>
            <w:hyperlink w:anchor="page3">
              <w:r>
                <w:rPr>
                  <w:rFonts w:ascii="Arial" w:cs="Arial" w:eastAsia="Arial" w:hAnsi="Arial"/>
                  <w:sz w:val="18"/>
                  <w:szCs w:val="18"/>
                  <w:color w:val="0000FF"/>
                </w:rPr>
                <w:t>1</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000" w:type="dxa"/>
            <w:vAlign w:val="bottom"/>
            <w:tcBorders>
              <w:top w:val="single" w:sz="8" w:color="0000FF"/>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9380" w:type="dxa"/>
            <w:vAlign w:val="bottom"/>
            <w:gridSpan w:val="18"/>
            <w:shd w:val="clear" w:color="auto" w:fill="CCEEFF"/>
          </w:tcPr>
          <w:p>
            <w:pPr>
              <w:spacing w:after="0" w:line="189" w:lineRule="exact"/>
              <w:rPr>
                <w:rFonts w:ascii="Arial" w:cs="Arial" w:eastAsia="Arial" w:hAnsi="Arial"/>
                <w:sz w:val="18"/>
                <w:szCs w:val="18"/>
                <w:color w:val="0000FF"/>
                <w:w w:val="97"/>
              </w:rPr>
            </w:pPr>
            <w:hyperlink w:anchor="page3">
              <w:r>
                <w:rPr>
                  <w:rFonts w:ascii="Arial" w:cs="Arial" w:eastAsia="Arial" w:hAnsi="Arial"/>
                  <w:sz w:val="18"/>
                  <w:szCs w:val="18"/>
                  <w:color w:val="0000FF"/>
                  <w:w w:val="97"/>
                </w:rPr>
                <w:t xml:space="preserve">Condensed Consolidated Statements of Assets and Liabilities as of March 31, 2021 (Unaudited) and December 31, </w:t>
              </w:r>
            </w:hyperlink>
            <w:r>
              <w:rPr>
                <w:rFonts w:ascii="Arial" w:cs="Arial" w:eastAsia="Arial" w:hAnsi="Arial"/>
                <w:sz w:val="18"/>
                <w:szCs w:val="18"/>
                <w:color w:val="0000FF"/>
                <w:w w:val="97"/>
              </w:rPr>
              <w:t>2020</w:t>
            </w:r>
          </w:p>
        </w:tc>
        <w:tc>
          <w:tcPr>
            <w:tcW w:w="680" w:type="dxa"/>
            <w:vAlign w:val="bottom"/>
            <w:gridSpan w:val="4"/>
            <w:shd w:val="clear" w:color="auto" w:fill="CCEEFF"/>
          </w:tcPr>
          <w:p>
            <w:pPr>
              <w:jc w:val="right"/>
              <w:ind w:right="40"/>
              <w:spacing w:after="0" w:line="189" w:lineRule="exact"/>
              <w:rPr>
                <w:rFonts w:ascii="Arial" w:cs="Arial" w:eastAsia="Arial" w:hAnsi="Arial"/>
                <w:sz w:val="18"/>
                <w:szCs w:val="18"/>
                <w:color w:val="0000FF"/>
              </w:rPr>
            </w:pPr>
            <w:hyperlink w:anchor="page3">
              <w:r>
                <w:rPr>
                  <w:rFonts w:ascii="Arial" w:cs="Arial" w:eastAsia="Arial" w:hAnsi="Arial"/>
                  <w:sz w:val="18"/>
                  <w:szCs w:val="18"/>
                  <w:color w:val="0000FF"/>
                </w:rPr>
                <w:t>1</w:t>
              </w:r>
            </w:hyperlink>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1000" w:type="dxa"/>
            <w:vAlign w:val="bottom"/>
            <w:tcBorders>
              <w:top w:val="single" w:sz="8" w:color="0000FF"/>
            </w:tcBorders>
            <w:shd w:val="clear" w:color="auto" w:fill="CCEEFF"/>
          </w:tcPr>
          <w:p>
            <w:pPr>
              <w:spacing w:after="0" w:line="20" w:lineRule="exact"/>
              <w:rPr>
                <w:sz w:val="1"/>
                <w:szCs w:val="1"/>
                <w:color w:val="auto"/>
              </w:rPr>
            </w:pPr>
          </w:p>
        </w:tc>
        <w:tc>
          <w:tcPr>
            <w:tcW w:w="1020" w:type="dxa"/>
            <w:vAlign w:val="bottom"/>
            <w:tcBorders>
              <w:top w:val="single" w:sz="8" w:color="0000FF"/>
            </w:tcBorders>
            <w:shd w:val="clear" w:color="auto" w:fill="CCEEFF"/>
          </w:tcPr>
          <w:p>
            <w:pPr>
              <w:spacing w:after="0" w:line="20" w:lineRule="exact"/>
              <w:rPr>
                <w:sz w:val="1"/>
                <w:szCs w:val="1"/>
                <w:color w:val="auto"/>
              </w:rPr>
            </w:pPr>
          </w:p>
        </w:tc>
        <w:tc>
          <w:tcPr>
            <w:tcW w:w="1100" w:type="dxa"/>
            <w:vAlign w:val="bottom"/>
            <w:tcBorders>
              <w:top w:val="single" w:sz="8" w:color="0000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9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680" w:type="dxa"/>
            <w:vAlign w:val="bottom"/>
            <w:gridSpan w:val="17"/>
          </w:tcPr>
          <w:p>
            <w:pPr>
              <w:spacing w:after="0" w:line="189" w:lineRule="exact"/>
              <w:rPr>
                <w:rFonts w:ascii="Arial" w:cs="Arial" w:eastAsia="Arial" w:hAnsi="Arial"/>
                <w:sz w:val="18"/>
                <w:szCs w:val="18"/>
                <w:color w:val="0000FF"/>
                <w:w w:val="91"/>
              </w:rPr>
            </w:pPr>
            <w:hyperlink w:anchor="page3">
              <w:r>
                <w:rPr>
                  <w:rFonts w:ascii="Arial" w:cs="Arial" w:eastAsia="Arial" w:hAnsi="Arial"/>
                  <w:sz w:val="18"/>
                  <w:szCs w:val="18"/>
                  <w:color w:val="0000FF"/>
                  <w:w w:val="91"/>
                </w:rPr>
                <w:t>Condensed Consolidated Statements of Operations for the Three Months Ended March 31, 2021 and 2020 (Unaudited)</w:t>
              </w:r>
            </w:hyperlink>
          </w:p>
        </w:tc>
        <w:tc>
          <w:tcPr>
            <w:tcW w:w="700" w:type="dxa"/>
            <w:vAlign w:val="bottom"/>
          </w:tcPr>
          <w:p>
            <w:pPr>
              <w:spacing w:after="0"/>
              <w:rPr>
                <w:sz w:val="16"/>
                <w:szCs w:val="16"/>
                <w:color w:val="auto"/>
              </w:rPr>
            </w:pPr>
          </w:p>
        </w:tc>
        <w:tc>
          <w:tcPr>
            <w:tcW w:w="680" w:type="dxa"/>
            <w:vAlign w:val="bottom"/>
            <w:gridSpan w:val="4"/>
          </w:tcPr>
          <w:p>
            <w:pPr>
              <w:jc w:val="right"/>
              <w:ind w:right="40"/>
              <w:spacing w:after="0" w:line="189" w:lineRule="exact"/>
              <w:rPr>
                <w:rFonts w:ascii="Arial" w:cs="Arial" w:eastAsia="Arial" w:hAnsi="Arial"/>
                <w:sz w:val="18"/>
                <w:szCs w:val="18"/>
                <w:color w:val="0000FF"/>
              </w:rPr>
            </w:pPr>
            <w:hyperlink w:anchor="page3">
              <w:r>
                <w:rPr>
                  <w:rFonts w:ascii="Arial" w:cs="Arial" w:eastAsia="Arial" w:hAnsi="Arial"/>
                  <w:sz w:val="18"/>
                  <w:szCs w:val="18"/>
                  <w:color w:val="0000FF"/>
                </w:rPr>
                <w:t>2</w:t>
              </w:r>
            </w:hyperlink>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000" w:type="dxa"/>
            <w:vAlign w:val="bottom"/>
            <w:tcBorders>
              <w:top w:val="single" w:sz="8" w:color="0000FF"/>
            </w:tcBorders>
          </w:tcPr>
          <w:p>
            <w:pPr>
              <w:spacing w:after="0" w:line="20" w:lineRule="exact"/>
              <w:rPr>
                <w:sz w:val="1"/>
                <w:szCs w:val="1"/>
                <w:color w:val="auto"/>
              </w:rPr>
            </w:pPr>
          </w:p>
        </w:tc>
        <w:tc>
          <w:tcPr>
            <w:tcW w:w="1020" w:type="dxa"/>
            <w:vAlign w:val="bottom"/>
            <w:tcBorders>
              <w:top w:val="single" w:sz="8" w:color="0000FF"/>
            </w:tcBorders>
          </w:tcPr>
          <w:p>
            <w:pPr>
              <w:spacing w:after="0" w:line="20" w:lineRule="exact"/>
              <w:rPr>
                <w:sz w:val="1"/>
                <w:szCs w:val="1"/>
                <w:color w:val="auto"/>
              </w:rPr>
            </w:pPr>
          </w:p>
        </w:tc>
        <w:tc>
          <w:tcPr>
            <w:tcW w:w="1100" w:type="dxa"/>
            <w:vAlign w:val="bottom"/>
            <w:tcBorders>
              <w:top w:val="single" w:sz="8" w:color="0000FF"/>
            </w:tcBorders>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9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9380" w:type="dxa"/>
            <w:vAlign w:val="bottom"/>
            <w:gridSpan w:val="18"/>
            <w:shd w:val="clear" w:color="auto" w:fill="CCEEFF"/>
          </w:tcPr>
          <w:p>
            <w:pPr>
              <w:spacing w:after="0" w:line="189" w:lineRule="exact"/>
              <w:rPr>
                <w:rFonts w:ascii="Arial" w:cs="Arial" w:eastAsia="Arial" w:hAnsi="Arial"/>
                <w:sz w:val="18"/>
                <w:szCs w:val="18"/>
                <w:color w:val="0000FF"/>
                <w:w w:val="98"/>
              </w:rPr>
            </w:pPr>
            <w:hyperlink w:anchor="page4">
              <w:r>
                <w:rPr>
                  <w:rFonts w:ascii="Arial" w:cs="Arial" w:eastAsia="Arial" w:hAnsi="Arial"/>
                  <w:sz w:val="18"/>
                  <w:szCs w:val="18"/>
                  <w:color w:val="0000FF"/>
                  <w:w w:val="98"/>
                </w:rPr>
                <w:t>Condensed Consolidated Statements of Changes in Net Assets for the Three Months Ended March 31, 2021 and 2020</w:t>
              </w:r>
            </w:hyperlink>
          </w:p>
        </w:tc>
        <w:tc>
          <w:tcPr>
            <w:tcW w:w="680" w:type="dxa"/>
            <w:vAlign w:val="bottom"/>
            <w:gridSpan w:val="4"/>
            <w:vMerge w:val="restart"/>
            <w:shd w:val="clear" w:color="auto" w:fill="CCEEFF"/>
          </w:tcPr>
          <w:p>
            <w:pPr>
              <w:jc w:val="right"/>
              <w:ind w:right="40"/>
              <w:spacing w:after="0"/>
              <w:rPr>
                <w:rFonts w:ascii="Arial" w:cs="Arial" w:eastAsia="Arial" w:hAnsi="Arial"/>
                <w:sz w:val="18"/>
                <w:szCs w:val="18"/>
                <w:color w:val="0000FF"/>
              </w:rPr>
            </w:pPr>
            <w:hyperlink w:anchor="page4">
              <w:r>
                <w:rPr>
                  <w:rFonts w:ascii="Arial" w:cs="Arial" w:eastAsia="Arial" w:hAnsi="Arial"/>
                  <w:sz w:val="18"/>
                  <w:szCs w:val="18"/>
                  <w:color w:val="0000FF"/>
                </w:rPr>
                <w:t>3</w:t>
              </w:r>
            </w:hyperlink>
          </w:p>
        </w:tc>
        <w:tc>
          <w:tcPr>
            <w:tcW w:w="0" w:type="dxa"/>
            <w:vAlign w:val="bottom"/>
          </w:tcPr>
          <w:p>
            <w:pPr>
              <w:spacing w:after="0"/>
              <w:rPr>
                <w:sz w:val="1"/>
                <w:szCs w:val="1"/>
                <w:color w:val="auto"/>
              </w:rPr>
            </w:pPr>
          </w:p>
        </w:tc>
      </w:tr>
      <w:tr>
        <w:trPr>
          <w:trHeight w:val="155"/>
        </w:trPr>
        <w:tc>
          <w:tcPr>
            <w:tcW w:w="20" w:type="dxa"/>
            <w:vAlign w:val="bottom"/>
            <w:tcBorders>
              <w:top w:val="single" w:sz="8" w:color="CCEEFF"/>
            </w:tcBorders>
            <w:shd w:val="clear" w:color="auto" w:fill="CCEEFF"/>
          </w:tcPr>
          <w:p>
            <w:pPr>
              <w:spacing w:after="0"/>
              <w:rPr>
                <w:sz w:val="13"/>
                <w:szCs w:val="13"/>
                <w:color w:val="auto"/>
              </w:rPr>
            </w:pPr>
          </w:p>
        </w:tc>
        <w:tc>
          <w:tcPr>
            <w:tcW w:w="5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340" w:type="dxa"/>
            <w:vAlign w:val="bottom"/>
            <w:tcBorders>
              <w:top w:val="single" w:sz="8" w:color="CCEEFF"/>
            </w:tcBorders>
            <w:shd w:val="clear" w:color="auto" w:fill="CCEEFF"/>
          </w:tcPr>
          <w:p>
            <w:pPr>
              <w:spacing w:after="0"/>
              <w:rPr>
                <w:sz w:val="13"/>
                <w:szCs w:val="13"/>
                <w:color w:val="auto"/>
              </w:rPr>
            </w:pPr>
          </w:p>
        </w:tc>
        <w:tc>
          <w:tcPr>
            <w:tcW w:w="880" w:type="dxa"/>
            <w:vAlign w:val="bottom"/>
            <w:tcBorders>
              <w:top w:val="single" w:sz="8" w:color="0000FF"/>
            </w:tcBorders>
            <w:gridSpan w:val="2"/>
            <w:shd w:val="clear" w:color="auto" w:fill="CCEEFF"/>
          </w:tcPr>
          <w:p>
            <w:pPr>
              <w:spacing w:after="0" w:line="156" w:lineRule="exact"/>
              <w:rPr>
                <w:rFonts w:ascii="Arial" w:cs="Arial" w:eastAsia="Arial" w:hAnsi="Arial"/>
                <w:sz w:val="18"/>
                <w:szCs w:val="18"/>
                <w:color w:val="0000FF"/>
                <w:w w:val="91"/>
              </w:rPr>
            </w:pPr>
            <w:hyperlink w:anchor="page4">
              <w:r>
                <w:rPr>
                  <w:rFonts w:ascii="Arial" w:cs="Arial" w:eastAsia="Arial" w:hAnsi="Arial"/>
                  <w:sz w:val="18"/>
                  <w:szCs w:val="18"/>
                  <w:color w:val="0000FF"/>
                  <w:w w:val="91"/>
                </w:rPr>
                <w:t>(Unaudited)</w:t>
              </w:r>
            </w:hyperlink>
          </w:p>
        </w:tc>
        <w:tc>
          <w:tcPr>
            <w:tcW w:w="7600" w:type="dxa"/>
            <w:vAlign w:val="bottom"/>
            <w:tcBorders>
              <w:top w:val="single" w:sz="8" w:color="0000FF"/>
            </w:tcBorders>
            <w:gridSpan w:val="12"/>
            <w:shd w:val="clear" w:color="auto" w:fill="CCEEFF"/>
          </w:tcPr>
          <w:p>
            <w:pPr>
              <w:spacing w:after="0"/>
              <w:rPr>
                <w:sz w:val="13"/>
                <w:szCs w:val="13"/>
                <w:color w:val="auto"/>
              </w:rPr>
            </w:pPr>
          </w:p>
        </w:tc>
        <w:tc>
          <w:tcPr>
            <w:tcW w:w="140" w:type="dxa"/>
            <w:vAlign w:val="bottom"/>
            <w:tcBorders>
              <w:top w:val="single" w:sz="8" w:color="CCEEFF"/>
            </w:tcBorders>
            <w:gridSpan w:val="2"/>
            <w:shd w:val="clear" w:color="auto" w:fill="CCEEFF"/>
          </w:tcPr>
          <w:p>
            <w:pPr>
              <w:spacing w:after="0"/>
              <w:rPr>
                <w:sz w:val="13"/>
                <w:szCs w:val="13"/>
                <w:color w:val="auto"/>
              </w:rPr>
            </w:pPr>
          </w:p>
        </w:tc>
        <w:tc>
          <w:tcPr>
            <w:tcW w:w="760" w:type="dxa"/>
            <w:vAlign w:val="bottom"/>
            <w:tcBorders>
              <w:top w:val="single" w:sz="8" w:color="CCEEFF"/>
            </w:tcBorders>
            <w:gridSpan w:val="2"/>
            <w:shd w:val="clear" w:color="auto" w:fill="CCEEFF"/>
          </w:tcPr>
          <w:p>
            <w:pPr>
              <w:spacing w:after="0"/>
              <w:rPr>
                <w:sz w:val="13"/>
                <w:szCs w:val="13"/>
                <w:color w:val="auto"/>
              </w:rPr>
            </w:pPr>
          </w:p>
        </w:tc>
        <w:tc>
          <w:tcPr>
            <w:tcW w:w="680" w:type="dxa"/>
            <w:vAlign w:val="bottom"/>
            <w:tcBorders>
              <w:top w:val="single" w:sz="8" w:color="CCEEFF"/>
            </w:tcBorders>
            <w:gridSpan w:val="4"/>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9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380" w:type="dxa"/>
            <w:vAlign w:val="bottom"/>
            <w:gridSpan w:val="18"/>
          </w:tcPr>
          <w:p>
            <w:pPr>
              <w:spacing w:after="0" w:line="189" w:lineRule="exact"/>
              <w:rPr>
                <w:rFonts w:ascii="Arial" w:cs="Arial" w:eastAsia="Arial" w:hAnsi="Arial"/>
                <w:sz w:val="18"/>
                <w:szCs w:val="18"/>
                <w:color w:val="0000FF"/>
                <w:w w:val="97"/>
              </w:rPr>
            </w:pPr>
            <w:hyperlink w:anchor="page5">
              <w:r>
                <w:rPr>
                  <w:rFonts w:ascii="Arial" w:cs="Arial" w:eastAsia="Arial" w:hAnsi="Arial"/>
                  <w:sz w:val="18"/>
                  <w:szCs w:val="18"/>
                  <w:color w:val="0000FF"/>
                  <w:w w:val="97"/>
                </w:rPr>
                <w:t xml:space="preserve">Condensed Consolidated Statements of Cash Flows for the Three Months Ended March 31, 2021 and </w:t>
              </w:r>
            </w:hyperlink>
            <w:r>
              <w:rPr>
                <w:rFonts w:ascii="Arial" w:cs="Arial" w:eastAsia="Arial" w:hAnsi="Arial"/>
                <w:sz w:val="18"/>
                <w:szCs w:val="18"/>
                <w:color w:val="0000FF"/>
                <w:w w:val="97"/>
              </w:rPr>
              <w:t xml:space="preserve">2020 </w:t>
            </w:r>
            <w:hyperlink w:anchor="page5">
              <w:r>
                <w:rPr>
                  <w:rFonts w:ascii="Arial" w:cs="Arial" w:eastAsia="Arial" w:hAnsi="Arial"/>
                  <w:sz w:val="18"/>
                  <w:szCs w:val="18"/>
                  <w:color w:val="0000FF"/>
                  <w:w w:val="97"/>
                </w:rPr>
                <w:t>(Unaudited)</w:t>
              </w:r>
            </w:hyperlink>
          </w:p>
        </w:tc>
        <w:tc>
          <w:tcPr>
            <w:tcW w:w="680" w:type="dxa"/>
            <w:vAlign w:val="bottom"/>
            <w:gridSpan w:val="4"/>
          </w:tcPr>
          <w:p>
            <w:pPr>
              <w:jc w:val="right"/>
              <w:ind w:right="40"/>
              <w:spacing w:after="0" w:line="189" w:lineRule="exact"/>
              <w:rPr>
                <w:rFonts w:ascii="Arial" w:cs="Arial" w:eastAsia="Arial" w:hAnsi="Arial"/>
                <w:sz w:val="18"/>
                <w:szCs w:val="18"/>
                <w:color w:val="0000FF"/>
              </w:rPr>
            </w:pPr>
            <w:hyperlink w:anchor="page5">
              <w:r>
                <w:rPr>
                  <w:rFonts w:ascii="Arial" w:cs="Arial" w:eastAsia="Arial" w:hAnsi="Arial"/>
                  <w:sz w:val="18"/>
                  <w:szCs w:val="18"/>
                  <w:color w:val="0000FF"/>
                </w:rPr>
                <w:t>4</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000" w:type="dxa"/>
            <w:vAlign w:val="bottom"/>
            <w:tcBorders>
              <w:top w:val="single" w:sz="8" w:color="0000FF"/>
            </w:tcBorders>
          </w:tcPr>
          <w:p>
            <w:pPr>
              <w:spacing w:after="0" w:line="20" w:lineRule="exact"/>
              <w:rPr>
                <w:sz w:val="1"/>
                <w:szCs w:val="1"/>
                <w:color w:val="auto"/>
              </w:rPr>
            </w:pPr>
          </w:p>
        </w:tc>
        <w:tc>
          <w:tcPr>
            <w:tcW w:w="1020" w:type="dxa"/>
            <w:vAlign w:val="bottom"/>
            <w:tcBorders>
              <w:top w:val="single" w:sz="8" w:color="0000FF"/>
            </w:tcBorders>
          </w:tcPr>
          <w:p>
            <w:pPr>
              <w:spacing w:after="0" w:line="20" w:lineRule="exact"/>
              <w:rPr>
                <w:sz w:val="1"/>
                <w:szCs w:val="1"/>
                <w:color w:val="auto"/>
              </w:rPr>
            </w:pPr>
          </w:p>
        </w:tc>
        <w:tc>
          <w:tcPr>
            <w:tcW w:w="1100" w:type="dxa"/>
            <w:vAlign w:val="bottom"/>
            <w:tcBorders>
              <w:top w:val="single" w:sz="8" w:color="0000FF"/>
            </w:tcBorders>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9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9380" w:type="dxa"/>
            <w:vAlign w:val="bottom"/>
            <w:gridSpan w:val="18"/>
            <w:shd w:val="clear" w:color="auto" w:fill="CCEEFF"/>
          </w:tcPr>
          <w:p>
            <w:pPr>
              <w:spacing w:after="0" w:line="189" w:lineRule="exact"/>
              <w:rPr>
                <w:rFonts w:ascii="Arial" w:cs="Arial" w:eastAsia="Arial" w:hAnsi="Arial"/>
                <w:sz w:val="18"/>
                <w:szCs w:val="18"/>
                <w:color w:val="0000FF"/>
              </w:rPr>
            </w:pPr>
            <w:hyperlink w:anchor="page6">
              <w:r>
                <w:rPr>
                  <w:rFonts w:ascii="Arial" w:cs="Arial" w:eastAsia="Arial" w:hAnsi="Arial"/>
                  <w:sz w:val="18"/>
                  <w:szCs w:val="18"/>
                  <w:color w:val="0000FF"/>
                </w:rPr>
                <w:t>Condensed Consolidated Schedule of Investments as of March 31, 2021 (Unaudited)</w:t>
              </w:r>
            </w:hyperlink>
          </w:p>
        </w:tc>
        <w:tc>
          <w:tcPr>
            <w:tcW w:w="680" w:type="dxa"/>
            <w:vAlign w:val="bottom"/>
            <w:gridSpan w:val="4"/>
            <w:shd w:val="clear" w:color="auto" w:fill="CCEEFF"/>
          </w:tcPr>
          <w:p>
            <w:pPr>
              <w:jc w:val="right"/>
              <w:ind w:right="40"/>
              <w:spacing w:after="0" w:line="189" w:lineRule="exact"/>
              <w:rPr>
                <w:rFonts w:ascii="Arial" w:cs="Arial" w:eastAsia="Arial" w:hAnsi="Arial"/>
                <w:sz w:val="18"/>
                <w:szCs w:val="18"/>
                <w:color w:val="0000FF"/>
              </w:rPr>
            </w:pPr>
            <w:hyperlink w:anchor="page6">
              <w:r>
                <w:rPr>
                  <w:rFonts w:ascii="Arial" w:cs="Arial" w:eastAsia="Arial" w:hAnsi="Arial"/>
                  <w:sz w:val="18"/>
                  <w:szCs w:val="18"/>
                  <w:color w:val="0000FF"/>
                </w:rPr>
                <w:t>5</w:t>
              </w:r>
            </w:hyperlink>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1000" w:type="dxa"/>
            <w:vAlign w:val="bottom"/>
            <w:tcBorders>
              <w:top w:val="single" w:sz="8" w:color="0000FF"/>
            </w:tcBorders>
            <w:shd w:val="clear" w:color="auto" w:fill="CCEEFF"/>
          </w:tcPr>
          <w:p>
            <w:pPr>
              <w:spacing w:after="0" w:line="20" w:lineRule="exact"/>
              <w:rPr>
                <w:sz w:val="1"/>
                <w:szCs w:val="1"/>
                <w:color w:val="auto"/>
              </w:rPr>
            </w:pPr>
          </w:p>
        </w:tc>
        <w:tc>
          <w:tcPr>
            <w:tcW w:w="1020" w:type="dxa"/>
            <w:vAlign w:val="bottom"/>
            <w:tcBorders>
              <w:top w:val="single" w:sz="8" w:color="0000FF"/>
            </w:tcBorders>
            <w:shd w:val="clear" w:color="auto" w:fill="CCEEFF"/>
          </w:tcPr>
          <w:p>
            <w:pPr>
              <w:spacing w:after="0" w:line="20" w:lineRule="exact"/>
              <w:rPr>
                <w:sz w:val="1"/>
                <w:szCs w:val="1"/>
                <w:color w:val="auto"/>
              </w:rPr>
            </w:pPr>
          </w:p>
        </w:tc>
        <w:tc>
          <w:tcPr>
            <w:tcW w:w="1100" w:type="dxa"/>
            <w:vAlign w:val="bottom"/>
            <w:tcBorders>
              <w:top w:val="single" w:sz="8" w:color="0000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9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100" w:type="dxa"/>
            <w:vAlign w:val="bottom"/>
            <w:gridSpan w:val="11"/>
          </w:tcPr>
          <w:p>
            <w:pPr>
              <w:spacing w:after="0" w:line="189" w:lineRule="exact"/>
              <w:rPr>
                <w:rFonts w:ascii="Arial" w:cs="Arial" w:eastAsia="Arial" w:hAnsi="Arial"/>
                <w:sz w:val="18"/>
                <w:szCs w:val="18"/>
                <w:color w:val="0000FF"/>
                <w:w w:val="99"/>
              </w:rPr>
            </w:pPr>
            <w:hyperlink w:anchor="page11">
              <w:r>
                <w:rPr>
                  <w:rFonts w:ascii="Arial" w:cs="Arial" w:eastAsia="Arial" w:hAnsi="Arial"/>
                  <w:sz w:val="18"/>
                  <w:szCs w:val="18"/>
                  <w:color w:val="0000FF"/>
                  <w:w w:val="99"/>
                </w:rPr>
                <w:t xml:space="preserve">Condensed Consolidated Schedule of Investments as of December 31, </w:t>
              </w:r>
            </w:hyperlink>
            <w:r>
              <w:rPr>
                <w:rFonts w:ascii="Arial" w:cs="Arial" w:eastAsia="Arial" w:hAnsi="Arial"/>
                <w:sz w:val="18"/>
                <w:szCs w:val="18"/>
                <w:color w:val="0000FF"/>
                <w:w w:val="99"/>
              </w:rPr>
              <w:t>2020</w:t>
            </w:r>
          </w:p>
        </w:tc>
        <w:tc>
          <w:tcPr>
            <w:tcW w:w="3280" w:type="dxa"/>
            <w:vAlign w:val="bottom"/>
            <w:gridSpan w:val="7"/>
          </w:tcPr>
          <w:p>
            <w:pPr>
              <w:spacing w:after="0"/>
              <w:rPr>
                <w:sz w:val="16"/>
                <w:szCs w:val="16"/>
                <w:color w:val="auto"/>
              </w:rPr>
            </w:pPr>
          </w:p>
        </w:tc>
        <w:tc>
          <w:tcPr>
            <w:tcW w:w="680" w:type="dxa"/>
            <w:vAlign w:val="bottom"/>
            <w:gridSpan w:val="4"/>
          </w:tcPr>
          <w:p>
            <w:pPr>
              <w:jc w:val="right"/>
              <w:ind w:right="40"/>
              <w:spacing w:after="0" w:line="189" w:lineRule="exact"/>
              <w:rPr>
                <w:rFonts w:ascii="Arial" w:cs="Arial" w:eastAsia="Arial" w:hAnsi="Arial"/>
                <w:sz w:val="18"/>
                <w:szCs w:val="18"/>
                <w:color w:val="0000FF"/>
              </w:rPr>
            </w:pPr>
            <w:hyperlink w:anchor="page11">
              <w:r>
                <w:rPr>
                  <w:rFonts w:ascii="Arial" w:cs="Arial" w:eastAsia="Arial" w:hAnsi="Arial"/>
                  <w:sz w:val="18"/>
                  <w:szCs w:val="18"/>
                  <w:color w:val="0000FF"/>
                </w:rPr>
                <w:t>10</w:t>
              </w:r>
            </w:hyperlink>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000" w:type="dxa"/>
            <w:vAlign w:val="bottom"/>
            <w:tcBorders>
              <w:top w:val="single" w:sz="8" w:color="0000FF"/>
            </w:tcBorders>
          </w:tcPr>
          <w:p>
            <w:pPr>
              <w:spacing w:after="0" w:line="20" w:lineRule="exact"/>
              <w:rPr>
                <w:sz w:val="1"/>
                <w:szCs w:val="1"/>
                <w:color w:val="auto"/>
              </w:rPr>
            </w:pPr>
          </w:p>
        </w:tc>
        <w:tc>
          <w:tcPr>
            <w:tcW w:w="1020" w:type="dxa"/>
            <w:vAlign w:val="bottom"/>
            <w:tcBorders>
              <w:top w:val="single" w:sz="8" w:color="0000FF"/>
            </w:tcBorders>
          </w:tcPr>
          <w:p>
            <w:pPr>
              <w:spacing w:after="0" w:line="20" w:lineRule="exact"/>
              <w:rPr>
                <w:sz w:val="1"/>
                <w:szCs w:val="1"/>
                <w:color w:val="auto"/>
              </w:rPr>
            </w:pPr>
          </w:p>
        </w:tc>
        <w:tc>
          <w:tcPr>
            <w:tcW w:w="1100" w:type="dxa"/>
            <w:vAlign w:val="bottom"/>
            <w:tcBorders>
              <w:top w:val="single" w:sz="8" w:color="0000FF"/>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6500" w:type="dxa"/>
            <w:vAlign w:val="bottom"/>
            <w:gridSpan w:val="13"/>
            <w:shd w:val="clear" w:color="auto" w:fill="CCEEFF"/>
          </w:tcPr>
          <w:p>
            <w:pPr>
              <w:spacing w:after="0" w:line="189" w:lineRule="exact"/>
              <w:rPr>
                <w:rFonts w:ascii="Arial" w:cs="Arial" w:eastAsia="Arial" w:hAnsi="Arial"/>
                <w:sz w:val="18"/>
                <w:szCs w:val="18"/>
                <w:color w:val="0000FF"/>
                <w:w w:val="89"/>
              </w:rPr>
            </w:pPr>
            <w:hyperlink w:anchor="page15">
              <w:r>
                <w:rPr>
                  <w:rFonts w:ascii="Arial" w:cs="Arial" w:eastAsia="Arial" w:hAnsi="Arial"/>
                  <w:sz w:val="18"/>
                  <w:szCs w:val="18"/>
                  <w:color w:val="0000FF"/>
                  <w:w w:val="89"/>
                </w:rPr>
                <w:t>Notes to Condensed Consolidated Financial Statements as of March 31, 2021 (Unaudited)</w:t>
              </w:r>
            </w:hyperlink>
          </w:p>
        </w:tc>
        <w:tc>
          <w:tcPr>
            <w:tcW w:w="2880" w:type="dxa"/>
            <w:vAlign w:val="bottom"/>
            <w:gridSpan w:val="5"/>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220" w:type="dxa"/>
            <w:vAlign w:val="bottom"/>
            <w:gridSpan w:val="3"/>
            <w:shd w:val="clear" w:color="auto" w:fill="CCEEFF"/>
          </w:tcPr>
          <w:p>
            <w:pPr>
              <w:jc w:val="right"/>
              <w:ind w:right="40"/>
              <w:spacing w:after="0" w:line="189" w:lineRule="exact"/>
              <w:rPr>
                <w:rFonts w:ascii="Arial" w:cs="Arial" w:eastAsia="Arial" w:hAnsi="Arial"/>
                <w:sz w:val="18"/>
                <w:szCs w:val="18"/>
                <w:color w:val="0000FF"/>
                <w:w w:val="79"/>
              </w:rPr>
            </w:pPr>
            <w:hyperlink w:anchor="page15">
              <w:r>
                <w:rPr>
                  <w:rFonts w:ascii="Arial" w:cs="Arial" w:eastAsia="Arial" w:hAnsi="Arial"/>
                  <w:sz w:val="18"/>
                  <w:szCs w:val="18"/>
                  <w:color w:val="0000FF"/>
                  <w:w w:val="79"/>
                </w:rPr>
                <w:t>14</w:t>
              </w:r>
            </w:hyperlink>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1000" w:type="dxa"/>
            <w:vAlign w:val="bottom"/>
            <w:tcBorders>
              <w:top w:val="single" w:sz="8" w:color="0000FF"/>
            </w:tcBorders>
            <w:shd w:val="clear" w:color="auto" w:fill="CCEEFF"/>
          </w:tcPr>
          <w:p>
            <w:pPr>
              <w:spacing w:after="0" w:line="20" w:lineRule="exact"/>
              <w:rPr>
                <w:sz w:val="1"/>
                <w:szCs w:val="1"/>
                <w:color w:val="auto"/>
              </w:rPr>
            </w:pPr>
          </w:p>
        </w:tc>
        <w:tc>
          <w:tcPr>
            <w:tcW w:w="1020" w:type="dxa"/>
            <w:vAlign w:val="bottom"/>
            <w:tcBorders>
              <w:top w:val="single" w:sz="8" w:color="0000FF"/>
            </w:tcBorders>
            <w:shd w:val="clear" w:color="auto" w:fill="CCEEFF"/>
          </w:tcPr>
          <w:p>
            <w:pPr>
              <w:spacing w:after="0" w:line="20" w:lineRule="exact"/>
              <w:rPr>
                <w:sz w:val="1"/>
                <w:szCs w:val="1"/>
                <w:color w:val="auto"/>
              </w:rPr>
            </w:pPr>
          </w:p>
        </w:tc>
        <w:tc>
          <w:tcPr>
            <w:tcW w:w="1100" w:type="dxa"/>
            <w:vAlign w:val="bottom"/>
            <w:tcBorders>
              <w:top w:val="single" w:sz="8" w:color="0000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9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120" w:type="dxa"/>
            <w:vAlign w:val="bottom"/>
            <w:gridSpan w:val="5"/>
          </w:tcPr>
          <w:p>
            <w:pPr>
              <w:ind w:left="20"/>
              <w:spacing w:after="0" w:line="189" w:lineRule="exact"/>
              <w:rPr>
                <w:rFonts w:ascii="Arial" w:cs="Arial" w:eastAsia="Arial" w:hAnsi="Arial"/>
                <w:sz w:val="18"/>
                <w:szCs w:val="18"/>
                <w:color w:val="0000FF"/>
              </w:rPr>
            </w:pPr>
            <w:hyperlink w:anchor="page59">
              <w:r>
                <w:rPr>
                  <w:rFonts w:ascii="Arial" w:cs="Arial" w:eastAsia="Arial" w:hAnsi="Arial"/>
                  <w:sz w:val="18"/>
                  <w:szCs w:val="18"/>
                  <w:color w:val="0000FF"/>
                </w:rPr>
                <w:t>Item 2.</w:t>
              </w:r>
            </w:hyperlink>
          </w:p>
        </w:tc>
        <w:tc>
          <w:tcPr>
            <w:tcW w:w="6500" w:type="dxa"/>
            <w:vAlign w:val="bottom"/>
            <w:gridSpan w:val="13"/>
          </w:tcPr>
          <w:p>
            <w:pPr>
              <w:spacing w:after="0" w:line="189" w:lineRule="exact"/>
              <w:rPr>
                <w:rFonts w:ascii="Arial" w:cs="Arial" w:eastAsia="Arial" w:hAnsi="Arial"/>
                <w:sz w:val="18"/>
                <w:szCs w:val="18"/>
                <w:color w:val="0000FF"/>
                <w:w w:val="91"/>
              </w:rPr>
            </w:pPr>
            <w:hyperlink w:anchor="page59">
              <w:r>
                <w:rPr>
                  <w:rFonts w:ascii="Arial" w:cs="Arial" w:eastAsia="Arial" w:hAnsi="Arial"/>
                  <w:sz w:val="18"/>
                  <w:szCs w:val="18"/>
                  <w:color w:val="0000FF"/>
                  <w:w w:val="91"/>
                </w:rPr>
                <w:t>Management’s Discussion and Analysis of Financial Condition and Results of Operations</w:t>
              </w:r>
            </w:hyperlink>
          </w:p>
        </w:tc>
        <w:tc>
          <w:tcPr>
            <w:tcW w:w="2880" w:type="dxa"/>
            <w:vAlign w:val="bottom"/>
            <w:gridSpan w:val="5"/>
          </w:tcPr>
          <w:p>
            <w:pPr>
              <w:spacing w:after="0"/>
              <w:rPr>
                <w:sz w:val="16"/>
                <w:szCs w:val="16"/>
                <w:color w:val="auto"/>
              </w:rPr>
            </w:pPr>
          </w:p>
        </w:tc>
        <w:tc>
          <w:tcPr>
            <w:tcW w:w="460" w:type="dxa"/>
            <w:vAlign w:val="bottom"/>
          </w:tcPr>
          <w:p>
            <w:pPr>
              <w:spacing w:after="0"/>
              <w:rPr>
                <w:sz w:val="16"/>
                <w:szCs w:val="16"/>
                <w:color w:val="auto"/>
              </w:rPr>
            </w:pPr>
          </w:p>
        </w:tc>
        <w:tc>
          <w:tcPr>
            <w:tcW w:w="220" w:type="dxa"/>
            <w:vAlign w:val="bottom"/>
            <w:gridSpan w:val="3"/>
          </w:tcPr>
          <w:p>
            <w:pPr>
              <w:jc w:val="right"/>
              <w:ind w:right="40"/>
              <w:spacing w:after="0" w:line="189" w:lineRule="exact"/>
              <w:rPr>
                <w:rFonts w:ascii="Arial" w:cs="Arial" w:eastAsia="Arial" w:hAnsi="Arial"/>
                <w:sz w:val="18"/>
                <w:szCs w:val="18"/>
                <w:color w:val="0000FF"/>
                <w:w w:val="79"/>
              </w:rPr>
            </w:pPr>
            <w:hyperlink w:anchor="page59">
              <w:r>
                <w:rPr>
                  <w:rFonts w:ascii="Arial" w:cs="Arial" w:eastAsia="Arial" w:hAnsi="Arial"/>
                  <w:sz w:val="18"/>
                  <w:szCs w:val="18"/>
                  <w:color w:val="0000FF"/>
                  <w:w w:val="79"/>
                </w:rPr>
                <w:t>57</w:t>
              </w:r>
            </w:hyperlink>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000" w:type="dxa"/>
            <w:vAlign w:val="bottom"/>
            <w:tcBorders>
              <w:top w:val="single" w:sz="8" w:color="0000FF"/>
            </w:tcBorders>
          </w:tcPr>
          <w:p>
            <w:pPr>
              <w:spacing w:after="0" w:line="20" w:lineRule="exact"/>
              <w:rPr>
                <w:sz w:val="1"/>
                <w:szCs w:val="1"/>
                <w:color w:val="auto"/>
              </w:rPr>
            </w:pPr>
          </w:p>
        </w:tc>
        <w:tc>
          <w:tcPr>
            <w:tcW w:w="1020" w:type="dxa"/>
            <w:vAlign w:val="bottom"/>
            <w:tcBorders>
              <w:top w:val="single" w:sz="8" w:color="0000FF"/>
            </w:tcBorders>
          </w:tcPr>
          <w:p>
            <w:pPr>
              <w:spacing w:after="0" w:line="20" w:lineRule="exact"/>
              <w:rPr>
                <w:sz w:val="1"/>
                <w:szCs w:val="1"/>
                <w:color w:val="auto"/>
              </w:rPr>
            </w:pPr>
          </w:p>
        </w:tc>
        <w:tc>
          <w:tcPr>
            <w:tcW w:w="1100" w:type="dxa"/>
            <w:vAlign w:val="bottom"/>
            <w:tcBorders>
              <w:top w:val="single" w:sz="8" w:color="0000FF"/>
            </w:tcBorders>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120" w:type="dxa"/>
            <w:vAlign w:val="bottom"/>
            <w:gridSpan w:val="5"/>
            <w:shd w:val="clear" w:color="auto" w:fill="CCEEFF"/>
          </w:tcPr>
          <w:p>
            <w:pPr>
              <w:ind w:left="20"/>
              <w:spacing w:after="0" w:line="189" w:lineRule="exact"/>
              <w:rPr>
                <w:rFonts w:ascii="Arial" w:cs="Arial" w:eastAsia="Arial" w:hAnsi="Arial"/>
                <w:sz w:val="18"/>
                <w:szCs w:val="18"/>
                <w:color w:val="0000FF"/>
              </w:rPr>
            </w:pPr>
            <w:hyperlink w:anchor="page71">
              <w:r>
                <w:rPr>
                  <w:rFonts w:ascii="Arial" w:cs="Arial" w:eastAsia="Arial" w:hAnsi="Arial"/>
                  <w:sz w:val="18"/>
                  <w:szCs w:val="18"/>
                  <w:color w:val="0000FF"/>
                </w:rPr>
                <w:t>Item 3.</w:t>
              </w:r>
            </w:hyperlink>
          </w:p>
        </w:tc>
        <w:tc>
          <w:tcPr>
            <w:tcW w:w="9380" w:type="dxa"/>
            <w:vAlign w:val="bottom"/>
            <w:gridSpan w:val="18"/>
            <w:shd w:val="clear" w:color="auto" w:fill="CCEEFF"/>
          </w:tcPr>
          <w:p>
            <w:pPr>
              <w:spacing w:after="0" w:line="189" w:lineRule="exact"/>
              <w:rPr>
                <w:rFonts w:ascii="Arial" w:cs="Arial" w:eastAsia="Arial" w:hAnsi="Arial"/>
                <w:sz w:val="18"/>
                <w:szCs w:val="18"/>
                <w:color w:val="0000FF"/>
              </w:rPr>
            </w:pPr>
            <w:hyperlink w:anchor="page71">
              <w:r>
                <w:rPr>
                  <w:rFonts w:ascii="Arial" w:cs="Arial" w:eastAsia="Arial" w:hAnsi="Arial"/>
                  <w:sz w:val="18"/>
                  <w:szCs w:val="18"/>
                  <w:color w:val="0000FF"/>
                </w:rPr>
                <w:t>Quantitative and Qualitative Disclosures About Market Risk</w:t>
              </w:r>
            </w:hyperlink>
          </w:p>
        </w:tc>
        <w:tc>
          <w:tcPr>
            <w:tcW w:w="680" w:type="dxa"/>
            <w:vAlign w:val="bottom"/>
            <w:gridSpan w:val="4"/>
            <w:shd w:val="clear" w:color="auto" w:fill="CCEEFF"/>
          </w:tcPr>
          <w:p>
            <w:pPr>
              <w:jc w:val="right"/>
              <w:ind w:right="40"/>
              <w:spacing w:after="0" w:line="189" w:lineRule="exact"/>
              <w:rPr>
                <w:rFonts w:ascii="Arial" w:cs="Arial" w:eastAsia="Arial" w:hAnsi="Arial"/>
                <w:sz w:val="18"/>
                <w:szCs w:val="18"/>
                <w:color w:val="0000FF"/>
              </w:rPr>
            </w:pPr>
            <w:hyperlink w:anchor="page71">
              <w:r>
                <w:rPr>
                  <w:rFonts w:ascii="Arial" w:cs="Arial" w:eastAsia="Arial" w:hAnsi="Arial"/>
                  <w:sz w:val="18"/>
                  <w:szCs w:val="18"/>
                  <w:color w:val="0000FF"/>
                </w:rPr>
                <w:t>69</w:t>
              </w:r>
            </w:hyperlink>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1000" w:type="dxa"/>
            <w:vAlign w:val="bottom"/>
            <w:tcBorders>
              <w:top w:val="single" w:sz="8" w:color="0000FF"/>
            </w:tcBorders>
            <w:shd w:val="clear" w:color="auto" w:fill="CCEEFF"/>
          </w:tcPr>
          <w:p>
            <w:pPr>
              <w:spacing w:after="0" w:line="20" w:lineRule="exact"/>
              <w:rPr>
                <w:sz w:val="1"/>
                <w:szCs w:val="1"/>
                <w:color w:val="auto"/>
              </w:rPr>
            </w:pPr>
          </w:p>
        </w:tc>
        <w:tc>
          <w:tcPr>
            <w:tcW w:w="1020" w:type="dxa"/>
            <w:vAlign w:val="bottom"/>
            <w:tcBorders>
              <w:top w:val="single" w:sz="8" w:color="0000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9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120" w:type="dxa"/>
            <w:vAlign w:val="bottom"/>
            <w:gridSpan w:val="5"/>
          </w:tcPr>
          <w:p>
            <w:pPr>
              <w:ind w:left="20"/>
              <w:spacing w:after="0" w:line="189" w:lineRule="exact"/>
              <w:rPr>
                <w:rFonts w:ascii="Arial" w:cs="Arial" w:eastAsia="Arial" w:hAnsi="Arial"/>
                <w:sz w:val="18"/>
                <w:szCs w:val="18"/>
                <w:color w:val="0000FF"/>
              </w:rPr>
            </w:pPr>
            <w:hyperlink w:anchor="page71">
              <w:r>
                <w:rPr>
                  <w:rFonts w:ascii="Arial" w:cs="Arial" w:eastAsia="Arial" w:hAnsi="Arial"/>
                  <w:sz w:val="18"/>
                  <w:szCs w:val="18"/>
                  <w:color w:val="0000FF"/>
                </w:rPr>
                <w:t>Item 4.</w:t>
              </w:r>
            </w:hyperlink>
          </w:p>
        </w:tc>
        <w:tc>
          <w:tcPr>
            <w:tcW w:w="9380" w:type="dxa"/>
            <w:vAlign w:val="bottom"/>
            <w:gridSpan w:val="18"/>
          </w:tcPr>
          <w:p>
            <w:pPr>
              <w:spacing w:after="0" w:line="189" w:lineRule="exact"/>
              <w:rPr>
                <w:rFonts w:ascii="Arial" w:cs="Arial" w:eastAsia="Arial" w:hAnsi="Arial"/>
                <w:sz w:val="18"/>
                <w:szCs w:val="18"/>
                <w:color w:val="0000FF"/>
              </w:rPr>
            </w:pPr>
            <w:hyperlink w:anchor="page71">
              <w:r>
                <w:rPr>
                  <w:rFonts w:ascii="Arial" w:cs="Arial" w:eastAsia="Arial" w:hAnsi="Arial"/>
                  <w:sz w:val="18"/>
                  <w:szCs w:val="18"/>
                  <w:color w:val="0000FF"/>
                </w:rPr>
                <w:t>Controls and Procedures</w:t>
              </w:r>
            </w:hyperlink>
          </w:p>
        </w:tc>
        <w:tc>
          <w:tcPr>
            <w:tcW w:w="680" w:type="dxa"/>
            <w:vAlign w:val="bottom"/>
            <w:gridSpan w:val="4"/>
          </w:tcPr>
          <w:p>
            <w:pPr>
              <w:jc w:val="right"/>
              <w:ind w:right="40"/>
              <w:spacing w:after="0" w:line="189" w:lineRule="exact"/>
              <w:rPr>
                <w:rFonts w:ascii="Arial" w:cs="Arial" w:eastAsia="Arial" w:hAnsi="Arial"/>
                <w:sz w:val="18"/>
                <w:szCs w:val="18"/>
                <w:color w:val="0000FF"/>
              </w:rPr>
            </w:pPr>
            <w:hyperlink w:anchor="page71">
              <w:r>
                <w:rPr>
                  <w:rFonts w:ascii="Arial" w:cs="Arial" w:eastAsia="Arial" w:hAnsi="Arial"/>
                  <w:sz w:val="18"/>
                  <w:szCs w:val="18"/>
                  <w:color w:val="0000FF"/>
                </w:rPr>
                <w:t>69</w:t>
              </w:r>
            </w:hyperlink>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10500" w:type="dxa"/>
            <w:vAlign w:val="bottom"/>
            <w:gridSpan w:val="23"/>
            <w:shd w:val="clear" w:color="auto" w:fill="CCEEFF"/>
          </w:tcPr>
          <w:p>
            <w:pPr>
              <w:ind w:left="20"/>
              <w:spacing w:after="0"/>
              <w:rPr>
                <w:sz w:val="20"/>
                <w:szCs w:val="20"/>
                <w:color w:val="auto"/>
              </w:rPr>
            </w:pPr>
            <w:r>
              <w:rPr>
                <w:rFonts w:ascii="Arial" w:cs="Arial" w:eastAsia="Arial" w:hAnsi="Arial"/>
                <w:sz w:val="18"/>
                <w:szCs w:val="18"/>
                <w:b w:val="1"/>
                <w:bCs w:val="1"/>
                <w:color w:val="auto"/>
              </w:rPr>
              <w:t>PART II. OTHER INFORMATION</w:t>
            </w:r>
          </w:p>
        </w:tc>
        <w:tc>
          <w:tcPr>
            <w:tcW w:w="4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1120" w:type="dxa"/>
            <w:vAlign w:val="bottom"/>
            <w:gridSpan w:val="5"/>
          </w:tcPr>
          <w:p>
            <w:pPr>
              <w:ind w:left="20"/>
              <w:spacing w:after="0" w:line="189" w:lineRule="exact"/>
              <w:rPr>
                <w:rFonts w:ascii="Arial" w:cs="Arial" w:eastAsia="Arial" w:hAnsi="Arial"/>
                <w:sz w:val="18"/>
                <w:szCs w:val="18"/>
                <w:color w:val="0000FF"/>
              </w:rPr>
            </w:pPr>
            <w:hyperlink w:anchor="page72">
              <w:r>
                <w:rPr>
                  <w:rFonts w:ascii="Arial" w:cs="Arial" w:eastAsia="Arial" w:hAnsi="Arial"/>
                  <w:sz w:val="18"/>
                  <w:szCs w:val="18"/>
                  <w:color w:val="0000FF"/>
                </w:rPr>
                <w:t>Item 1.</w:t>
              </w:r>
            </w:hyperlink>
          </w:p>
        </w:tc>
        <w:tc>
          <w:tcPr>
            <w:tcW w:w="9380" w:type="dxa"/>
            <w:vAlign w:val="bottom"/>
            <w:gridSpan w:val="18"/>
          </w:tcPr>
          <w:p>
            <w:pPr>
              <w:spacing w:after="0" w:line="189" w:lineRule="exact"/>
              <w:rPr>
                <w:rFonts w:ascii="Arial" w:cs="Arial" w:eastAsia="Arial" w:hAnsi="Arial"/>
                <w:sz w:val="18"/>
                <w:szCs w:val="18"/>
                <w:color w:val="0000FF"/>
              </w:rPr>
            </w:pPr>
            <w:hyperlink w:anchor="page72">
              <w:r>
                <w:rPr>
                  <w:rFonts w:ascii="Arial" w:cs="Arial" w:eastAsia="Arial" w:hAnsi="Arial"/>
                  <w:sz w:val="18"/>
                  <w:szCs w:val="18"/>
                  <w:color w:val="0000FF"/>
                </w:rPr>
                <w:t>Legal Proceedings</w:t>
              </w:r>
            </w:hyperlink>
          </w:p>
        </w:tc>
        <w:tc>
          <w:tcPr>
            <w:tcW w:w="680" w:type="dxa"/>
            <w:vAlign w:val="bottom"/>
            <w:gridSpan w:val="4"/>
          </w:tcPr>
          <w:p>
            <w:pPr>
              <w:jc w:val="right"/>
              <w:ind w:right="40"/>
              <w:spacing w:after="0" w:line="189" w:lineRule="exact"/>
              <w:rPr>
                <w:rFonts w:ascii="Arial" w:cs="Arial" w:eastAsia="Arial" w:hAnsi="Arial"/>
                <w:sz w:val="18"/>
                <w:szCs w:val="18"/>
                <w:color w:val="0000FF"/>
              </w:rPr>
            </w:pPr>
            <w:hyperlink w:anchor="page72">
              <w:r>
                <w:rPr>
                  <w:rFonts w:ascii="Arial" w:cs="Arial" w:eastAsia="Arial" w:hAnsi="Arial"/>
                  <w:sz w:val="18"/>
                  <w:szCs w:val="18"/>
                  <w:color w:val="0000FF"/>
                </w:rPr>
                <w:t>70</w:t>
              </w:r>
            </w:hyperlink>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120" w:type="dxa"/>
            <w:vAlign w:val="bottom"/>
            <w:gridSpan w:val="5"/>
            <w:shd w:val="clear" w:color="auto" w:fill="CCEEFF"/>
          </w:tcPr>
          <w:p>
            <w:pPr>
              <w:ind w:left="20"/>
              <w:spacing w:after="0" w:line="189" w:lineRule="exact"/>
              <w:rPr>
                <w:rFonts w:ascii="Arial" w:cs="Arial" w:eastAsia="Arial" w:hAnsi="Arial"/>
                <w:sz w:val="18"/>
                <w:szCs w:val="18"/>
                <w:color w:val="0000FF"/>
              </w:rPr>
            </w:pPr>
            <w:hyperlink w:anchor="page72">
              <w:r>
                <w:rPr>
                  <w:rFonts w:ascii="Arial" w:cs="Arial" w:eastAsia="Arial" w:hAnsi="Arial"/>
                  <w:sz w:val="18"/>
                  <w:szCs w:val="18"/>
                  <w:color w:val="0000FF"/>
                </w:rPr>
                <w:t>Item 1A.</w:t>
              </w:r>
            </w:hyperlink>
          </w:p>
        </w:tc>
        <w:tc>
          <w:tcPr>
            <w:tcW w:w="9380" w:type="dxa"/>
            <w:vAlign w:val="bottom"/>
            <w:gridSpan w:val="18"/>
            <w:shd w:val="clear" w:color="auto" w:fill="CCEEFF"/>
          </w:tcPr>
          <w:p>
            <w:pPr>
              <w:spacing w:after="0" w:line="189" w:lineRule="exact"/>
              <w:rPr>
                <w:rFonts w:ascii="Arial" w:cs="Arial" w:eastAsia="Arial" w:hAnsi="Arial"/>
                <w:sz w:val="18"/>
                <w:szCs w:val="18"/>
                <w:color w:val="0000FF"/>
              </w:rPr>
            </w:pPr>
            <w:hyperlink w:anchor="page72">
              <w:r>
                <w:rPr>
                  <w:rFonts w:ascii="Arial" w:cs="Arial" w:eastAsia="Arial" w:hAnsi="Arial"/>
                  <w:sz w:val="18"/>
                  <w:szCs w:val="18"/>
                  <w:color w:val="0000FF"/>
                </w:rPr>
                <w:t>Risk Factors</w:t>
              </w:r>
            </w:hyperlink>
          </w:p>
        </w:tc>
        <w:tc>
          <w:tcPr>
            <w:tcW w:w="680" w:type="dxa"/>
            <w:vAlign w:val="bottom"/>
            <w:gridSpan w:val="4"/>
            <w:shd w:val="clear" w:color="auto" w:fill="CCEEFF"/>
          </w:tcPr>
          <w:p>
            <w:pPr>
              <w:jc w:val="right"/>
              <w:ind w:right="40"/>
              <w:spacing w:after="0" w:line="189" w:lineRule="exact"/>
              <w:rPr>
                <w:rFonts w:ascii="Arial" w:cs="Arial" w:eastAsia="Arial" w:hAnsi="Arial"/>
                <w:sz w:val="18"/>
                <w:szCs w:val="18"/>
                <w:color w:val="0000FF"/>
              </w:rPr>
            </w:pPr>
            <w:hyperlink w:anchor="page72">
              <w:r>
                <w:rPr>
                  <w:rFonts w:ascii="Arial" w:cs="Arial" w:eastAsia="Arial" w:hAnsi="Arial"/>
                  <w:sz w:val="18"/>
                  <w:szCs w:val="18"/>
                  <w:color w:val="0000FF"/>
                </w:rPr>
                <w:t>70</w:t>
              </w:r>
            </w:hyperlink>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9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120" w:type="dxa"/>
            <w:vAlign w:val="bottom"/>
            <w:gridSpan w:val="5"/>
          </w:tcPr>
          <w:p>
            <w:pPr>
              <w:ind w:left="20"/>
              <w:spacing w:after="0" w:line="189" w:lineRule="exact"/>
              <w:rPr>
                <w:rFonts w:ascii="Arial" w:cs="Arial" w:eastAsia="Arial" w:hAnsi="Arial"/>
                <w:sz w:val="18"/>
                <w:szCs w:val="18"/>
                <w:color w:val="0000FF"/>
              </w:rPr>
            </w:pPr>
            <w:hyperlink w:anchor="page74">
              <w:r>
                <w:rPr>
                  <w:rFonts w:ascii="Arial" w:cs="Arial" w:eastAsia="Arial" w:hAnsi="Arial"/>
                  <w:sz w:val="18"/>
                  <w:szCs w:val="18"/>
                  <w:color w:val="0000FF"/>
                </w:rPr>
                <w:t>Item 2.</w:t>
              </w:r>
            </w:hyperlink>
          </w:p>
        </w:tc>
        <w:tc>
          <w:tcPr>
            <w:tcW w:w="9380" w:type="dxa"/>
            <w:vAlign w:val="bottom"/>
            <w:gridSpan w:val="18"/>
          </w:tcPr>
          <w:p>
            <w:pPr>
              <w:spacing w:after="0" w:line="189" w:lineRule="exact"/>
              <w:rPr>
                <w:rFonts w:ascii="Arial" w:cs="Arial" w:eastAsia="Arial" w:hAnsi="Arial"/>
                <w:sz w:val="18"/>
                <w:szCs w:val="18"/>
                <w:color w:val="0000FF"/>
              </w:rPr>
            </w:pPr>
            <w:hyperlink w:anchor="page74">
              <w:r>
                <w:rPr>
                  <w:rFonts w:ascii="Arial" w:cs="Arial" w:eastAsia="Arial" w:hAnsi="Arial"/>
                  <w:sz w:val="18"/>
                  <w:szCs w:val="18"/>
                  <w:color w:val="0000FF"/>
                </w:rPr>
                <w:t>Unregistered Sales of Equity Securities and Use of Proceeds</w:t>
              </w:r>
            </w:hyperlink>
          </w:p>
        </w:tc>
        <w:tc>
          <w:tcPr>
            <w:tcW w:w="680" w:type="dxa"/>
            <w:vAlign w:val="bottom"/>
            <w:gridSpan w:val="4"/>
          </w:tcPr>
          <w:p>
            <w:pPr>
              <w:jc w:val="right"/>
              <w:ind w:right="40"/>
              <w:spacing w:after="0" w:line="189" w:lineRule="exact"/>
              <w:rPr>
                <w:rFonts w:ascii="Arial" w:cs="Arial" w:eastAsia="Arial" w:hAnsi="Arial"/>
                <w:sz w:val="18"/>
                <w:szCs w:val="18"/>
                <w:color w:val="0000FF"/>
              </w:rPr>
            </w:pPr>
            <w:hyperlink w:anchor="page74">
              <w:r>
                <w:rPr>
                  <w:rFonts w:ascii="Arial" w:cs="Arial" w:eastAsia="Arial" w:hAnsi="Arial"/>
                  <w:sz w:val="18"/>
                  <w:szCs w:val="18"/>
                  <w:color w:val="0000FF"/>
                </w:rPr>
                <w:t>72</w:t>
              </w:r>
            </w:hyperlink>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000" w:type="dxa"/>
            <w:vAlign w:val="bottom"/>
            <w:tcBorders>
              <w:top w:val="single" w:sz="8" w:color="0000FF"/>
            </w:tcBorders>
          </w:tcPr>
          <w:p>
            <w:pPr>
              <w:spacing w:after="0" w:line="20" w:lineRule="exact"/>
              <w:rPr>
                <w:sz w:val="1"/>
                <w:szCs w:val="1"/>
                <w:color w:val="auto"/>
              </w:rPr>
            </w:pPr>
          </w:p>
        </w:tc>
        <w:tc>
          <w:tcPr>
            <w:tcW w:w="1020" w:type="dxa"/>
            <w:vAlign w:val="bottom"/>
            <w:tcBorders>
              <w:top w:val="single" w:sz="8" w:color="0000FF"/>
            </w:tcBorders>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120" w:type="dxa"/>
            <w:vAlign w:val="bottom"/>
            <w:gridSpan w:val="5"/>
            <w:shd w:val="clear" w:color="auto" w:fill="CCEEFF"/>
          </w:tcPr>
          <w:p>
            <w:pPr>
              <w:ind w:left="20"/>
              <w:spacing w:after="0" w:line="189" w:lineRule="exact"/>
              <w:rPr>
                <w:rFonts w:ascii="Arial" w:cs="Arial" w:eastAsia="Arial" w:hAnsi="Arial"/>
                <w:sz w:val="18"/>
                <w:szCs w:val="18"/>
                <w:color w:val="0000FF"/>
              </w:rPr>
            </w:pPr>
            <w:hyperlink w:anchor="page74">
              <w:r>
                <w:rPr>
                  <w:rFonts w:ascii="Arial" w:cs="Arial" w:eastAsia="Arial" w:hAnsi="Arial"/>
                  <w:sz w:val="18"/>
                  <w:szCs w:val="18"/>
                  <w:color w:val="0000FF"/>
                </w:rPr>
                <w:t>Item 3.</w:t>
              </w:r>
            </w:hyperlink>
          </w:p>
        </w:tc>
        <w:tc>
          <w:tcPr>
            <w:tcW w:w="9380" w:type="dxa"/>
            <w:vAlign w:val="bottom"/>
            <w:gridSpan w:val="18"/>
            <w:shd w:val="clear" w:color="auto" w:fill="CCEEFF"/>
          </w:tcPr>
          <w:p>
            <w:pPr>
              <w:spacing w:after="0" w:line="189" w:lineRule="exact"/>
              <w:rPr>
                <w:rFonts w:ascii="Arial" w:cs="Arial" w:eastAsia="Arial" w:hAnsi="Arial"/>
                <w:sz w:val="18"/>
                <w:szCs w:val="18"/>
                <w:color w:val="0000FF"/>
              </w:rPr>
            </w:pPr>
            <w:hyperlink w:anchor="page74">
              <w:r>
                <w:rPr>
                  <w:rFonts w:ascii="Arial" w:cs="Arial" w:eastAsia="Arial" w:hAnsi="Arial"/>
                  <w:sz w:val="18"/>
                  <w:szCs w:val="18"/>
                  <w:color w:val="0000FF"/>
                </w:rPr>
                <w:t>Defaults Upon Senior Securities</w:t>
              </w:r>
            </w:hyperlink>
          </w:p>
        </w:tc>
        <w:tc>
          <w:tcPr>
            <w:tcW w:w="680" w:type="dxa"/>
            <w:vAlign w:val="bottom"/>
            <w:gridSpan w:val="4"/>
            <w:shd w:val="clear" w:color="auto" w:fill="CCEEFF"/>
          </w:tcPr>
          <w:p>
            <w:pPr>
              <w:jc w:val="right"/>
              <w:ind w:right="40"/>
              <w:spacing w:after="0" w:line="189" w:lineRule="exact"/>
              <w:rPr>
                <w:rFonts w:ascii="Arial" w:cs="Arial" w:eastAsia="Arial" w:hAnsi="Arial"/>
                <w:sz w:val="18"/>
                <w:szCs w:val="18"/>
                <w:color w:val="0000FF"/>
              </w:rPr>
            </w:pPr>
            <w:hyperlink w:anchor="page74">
              <w:r>
                <w:rPr>
                  <w:rFonts w:ascii="Arial" w:cs="Arial" w:eastAsia="Arial" w:hAnsi="Arial"/>
                  <w:sz w:val="18"/>
                  <w:szCs w:val="18"/>
                  <w:color w:val="0000FF"/>
                </w:rPr>
                <w:t>72</w:t>
              </w:r>
            </w:hyperlink>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9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120" w:type="dxa"/>
            <w:vAlign w:val="bottom"/>
            <w:gridSpan w:val="5"/>
          </w:tcPr>
          <w:p>
            <w:pPr>
              <w:ind w:left="20"/>
              <w:spacing w:after="0" w:line="189" w:lineRule="exact"/>
              <w:rPr>
                <w:rFonts w:ascii="Arial" w:cs="Arial" w:eastAsia="Arial" w:hAnsi="Arial"/>
                <w:sz w:val="18"/>
                <w:szCs w:val="18"/>
                <w:color w:val="0000FF"/>
              </w:rPr>
            </w:pPr>
            <w:hyperlink w:anchor="page74">
              <w:r>
                <w:rPr>
                  <w:rFonts w:ascii="Arial" w:cs="Arial" w:eastAsia="Arial" w:hAnsi="Arial"/>
                  <w:sz w:val="18"/>
                  <w:szCs w:val="18"/>
                  <w:color w:val="0000FF"/>
                </w:rPr>
                <w:t>Item 4.</w:t>
              </w:r>
            </w:hyperlink>
          </w:p>
        </w:tc>
        <w:tc>
          <w:tcPr>
            <w:tcW w:w="9380" w:type="dxa"/>
            <w:vAlign w:val="bottom"/>
            <w:gridSpan w:val="18"/>
          </w:tcPr>
          <w:p>
            <w:pPr>
              <w:spacing w:after="0" w:line="189" w:lineRule="exact"/>
              <w:rPr>
                <w:rFonts w:ascii="Arial" w:cs="Arial" w:eastAsia="Arial" w:hAnsi="Arial"/>
                <w:sz w:val="18"/>
                <w:szCs w:val="18"/>
                <w:color w:val="0000FF"/>
              </w:rPr>
            </w:pPr>
            <w:hyperlink w:anchor="page74">
              <w:r>
                <w:rPr>
                  <w:rFonts w:ascii="Arial" w:cs="Arial" w:eastAsia="Arial" w:hAnsi="Arial"/>
                  <w:sz w:val="18"/>
                  <w:szCs w:val="18"/>
                  <w:color w:val="0000FF"/>
                </w:rPr>
                <w:t>Mine Safety Disclosures</w:t>
              </w:r>
            </w:hyperlink>
          </w:p>
        </w:tc>
        <w:tc>
          <w:tcPr>
            <w:tcW w:w="680" w:type="dxa"/>
            <w:vAlign w:val="bottom"/>
            <w:gridSpan w:val="4"/>
          </w:tcPr>
          <w:p>
            <w:pPr>
              <w:jc w:val="right"/>
              <w:ind w:right="40"/>
              <w:spacing w:after="0" w:line="189" w:lineRule="exact"/>
              <w:rPr>
                <w:rFonts w:ascii="Arial" w:cs="Arial" w:eastAsia="Arial" w:hAnsi="Arial"/>
                <w:sz w:val="18"/>
                <w:szCs w:val="18"/>
                <w:color w:val="0000FF"/>
              </w:rPr>
            </w:pPr>
            <w:hyperlink w:anchor="page74">
              <w:r>
                <w:rPr>
                  <w:rFonts w:ascii="Arial" w:cs="Arial" w:eastAsia="Arial" w:hAnsi="Arial"/>
                  <w:sz w:val="18"/>
                  <w:szCs w:val="18"/>
                  <w:color w:val="0000FF"/>
                </w:rPr>
                <w:t>72</w:t>
              </w:r>
            </w:hyperlink>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120" w:type="dxa"/>
            <w:vAlign w:val="bottom"/>
            <w:gridSpan w:val="5"/>
            <w:shd w:val="clear" w:color="auto" w:fill="CCEEFF"/>
          </w:tcPr>
          <w:p>
            <w:pPr>
              <w:ind w:left="20"/>
              <w:spacing w:after="0" w:line="189" w:lineRule="exact"/>
              <w:rPr>
                <w:rFonts w:ascii="Arial" w:cs="Arial" w:eastAsia="Arial" w:hAnsi="Arial"/>
                <w:sz w:val="18"/>
                <w:szCs w:val="18"/>
                <w:color w:val="0000FF"/>
              </w:rPr>
            </w:pPr>
            <w:hyperlink w:anchor="page51">
              <w:r>
                <w:rPr>
                  <w:rFonts w:ascii="Arial" w:cs="Arial" w:eastAsia="Arial" w:hAnsi="Arial"/>
                  <w:sz w:val="18"/>
                  <w:szCs w:val="18"/>
                  <w:color w:val="0000FF"/>
                </w:rPr>
                <w:t>Item 5.</w:t>
              </w:r>
            </w:hyperlink>
          </w:p>
        </w:tc>
        <w:tc>
          <w:tcPr>
            <w:tcW w:w="9380" w:type="dxa"/>
            <w:vAlign w:val="bottom"/>
            <w:gridSpan w:val="18"/>
            <w:shd w:val="clear" w:color="auto" w:fill="CCEEFF"/>
          </w:tcPr>
          <w:p>
            <w:pPr>
              <w:spacing w:after="0" w:line="189" w:lineRule="exact"/>
              <w:rPr>
                <w:rFonts w:ascii="Arial" w:cs="Arial" w:eastAsia="Arial" w:hAnsi="Arial"/>
                <w:sz w:val="18"/>
                <w:szCs w:val="18"/>
                <w:color w:val="0000FF"/>
              </w:rPr>
            </w:pPr>
            <w:hyperlink w:anchor="page75">
              <w:r>
                <w:rPr>
                  <w:rFonts w:ascii="Arial" w:cs="Arial" w:eastAsia="Arial" w:hAnsi="Arial"/>
                  <w:sz w:val="18"/>
                  <w:szCs w:val="18"/>
                  <w:color w:val="0000FF"/>
                </w:rPr>
                <w:t>Other Information</w:t>
              </w:r>
            </w:hyperlink>
          </w:p>
        </w:tc>
        <w:tc>
          <w:tcPr>
            <w:tcW w:w="680" w:type="dxa"/>
            <w:vAlign w:val="bottom"/>
            <w:gridSpan w:val="4"/>
            <w:shd w:val="clear" w:color="auto" w:fill="CCEEFF"/>
          </w:tcPr>
          <w:p>
            <w:pPr>
              <w:jc w:val="right"/>
              <w:ind w:right="40"/>
              <w:spacing w:after="0" w:line="189" w:lineRule="exact"/>
              <w:rPr>
                <w:rFonts w:ascii="Arial" w:cs="Arial" w:eastAsia="Arial" w:hAnsi="Arial"/>
                <w:sz w:val="18"/>
                <w:szCs w:val="18"/>
                <w:color w:val="0000FF"/>
              </w:rPr>
            </w:pPr>
            <w:hyperlink w:anchor="page75">
              <w:r>
                <w:rPr>
                  <w:rFonts w:ascii="Arial" w:cs="Arial" w:eastAsia="Arial" w:hAnsi="Arial"/>
                  <w:sz w:val="18"/>
                  <w:szCs w:val="18"/>
                  <w:color w:val="0000FF"/>
                </w:rPr>
                <w:t>73</w:t>
              </w:r>
            </w:hyperlink>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9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120" w:type="dxa"/>
            <w:vAlign w:val="bottom"/>
            <w:gridSpan w:val="5"/>
          </w:tcPr>
          <w:p>
            <w:pPr>
              <w:ind w:left="20"/>
              <w:spacing w:after="0" w:line="189" w:lineRule="exact"/>
              <w:rPr>
                <w:rFonts w:ascii="Arial" w:cs="Arial" w:eastAsia="Arial" w:hAnsi="Arial"/>
                <w:sz w:val="18"/>
                <w:szCs w:val="18"/>
                <w:color w:val="0000FF"/>
              </w:rPr>
            </w:pPr>
            <w:hyperlink w:anchor="page76">
              <w:r>
                <w:rPr>
                  <w:rFonts w:ascii="Arial" w:cs="Arial" w:eastAsia="Arial" w:hAnsi="Arial"/>
                  <w:sz w:val="18"/>
                  <w:szCs w:val="18"/>
                  <w:color w:val="0000FF"/>
                </w:rPr>
                <w:t>Item 6.</w:t>
              </w:r>
            </w:hyperlink>
          </w:p>
        </w:tc>
        <w:tc>
          <w:tcPr>
            <w:tcW w:w="9380" w:type="dxa"/>
            <w:vAlign w:val="bottom"/>
            <w:gridSpan w:val="18"/>
          </w:tcPr>
          <w:p>
            <w:pPr>
              <w:spacing w:after="0" w:line="189" w:lineRule="exact"/>
              <w:rPr>
                <w:rFonts w:ascii="Arial" w:cs="Arial" w:eastAsia="Arial" w:hAnsi="Arial"/>
                <w:sz w:val="18"/>
                <w:szCs w:val="18"/>
                <w:color w:val="0000FF"/>
              </w:rPr>
            </w:pPr>
            <w:hyperlink w:anchor="page76">
              <w:r>
                <w:rPr>
                  <w:rFonts w:ascii="Arial" w:cs="Arial" w:eastAsia="Arial" w:hAnsi="Arial"/>
                  <w:sz w:val="18"/>
                  <w:szCs w:val="18"/>
                  <w:color w:val="0000FF"/>
                </w:rPr>
                <w:t>Exhibits</w:t>
              </w:r>
            </w:hyperlink>
          </w:p>
        </w:tc>
        <w:tc>
          <w:tcPr>
            <w:tcW w:w="680" w:type="dxa"/>
            <w:vAlign w:val="bottom"/>
            <w:gridSpan w:val="4"/>
          </w:tcPr>
          <w:p>
            <w:pPr>
              <w:jc w:val="right"/>
              <w:ind w:right="40"/>
              <w:spacing w:after="0" w:line="189" w:lineRule="exact"/>
              <w:rPr>
                <w:rFonts w:ascii="Arial" w:cs="Arial" w:eastAsia="Arial" w:hAnsi="Arial"/>
                <w:sz w:val="18"/>
                <w:szCs w:val="18"/>
                <w:color w:val="0000FF"/>
              </w:rPr>
            </w:pPr>
            <w:hyperlink w:anchor="page76">
              <w:r>
                <w:rPr>
                  <w:rFonts w:ascii="Arial" w:cs="Arial" w:eastAsia="Arial" w:hAnsi="Arial"/>
                  <w:sz w:val="18"/>
                  <w:szCs w:val="18"/>
                  <w:color w:val="0000FF"/>
                </w:rPr>
                <w:t>74</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120" w:type="dxa"/>
            <w:vAlign w:val="bottom"/>
            <w:gridSpan w:val="5"/>
            <w:shd w:val="clear" w:color="auto" w:fill="CCEEFF"/>
          </w:tcPr>
          <w:p>
            <w:pPr>
              <w:ind w:left="20"/>
              <w:spacing w:after="0" w:line="189" w:lineRule="exact"/>
              <w:rPr>
                <w:rFonts w:ascii="Arial" w:cs="Arial" w:eastAsia="Arial" w:hAnsi="Arial"/>
                <w:sz w:val="18"/>
                <w:szCs w:val="18"/>
                <w:color w:val="0000FF"/>
              </w:rPr>
            </w:pPr>
            <w:hyperlink w:anchor="page77">
              <w:r>
                <w:rPr>
                  <w:rFonts w:ascii="Arial" w:cs="Arial" w:eastAsia="Arial" w:hAnsi="Arial"/>
                  <w:sz w:val="18"/>
                  <w:szCs w:val="18"/>
                  <w:color w:val="0000FF"/>
                </w:rPr>
                <w:t>Signatures</w:t>
              </w:r>
            </w:hyperlink>
          </w:p>
        </w:tc>
        <w:tc>
          <w:tcPr>
            <w:tcW w:w="6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9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680" w:type="dxa"/>
            <w:vAlign w:val="bottom"/>
            <w:gridSpan w:val="4"/>
            <w:shd w:val="clear" w:color="auto" w:fill="CCEEFF"/>
          </w:tcPr>
          <w:p>
            <w:pPr>
              <w:jc w:val="right"/>
              <w:ind w:right="40"/>
              <w:spacing w:after="0" w:line="189" w:lineRule="exact"/>
              <w:rPr>
                <w:rFonts w:ascii="Arial" w:cs="Arial" w:eastAsia="Arial" w:hAnsi="Arial"/>
                <w:sz w:val="18"/>
                <w:szCs w:val="18"/>
                <w:color w:val="0000FF"/>
              </w:rPr>
            </w:pPr>
            <w:hyperlink w:anchor="page77">
              <w:r>
                <w:rPr>
                  <w:rFonts w:ascii="Arial" w:cs="Arial" w:eastAsia="Arial" w:hAnsi="Arial"/>
                  <w:sz w:val="18"/>
                  <w:szCs w:val="18"/>
                  <w:color w:val="0000FF"/>
                </w:rPr>
                <w:t>75</w:t>
              </w:r>
            </w:hyperlink>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9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-1465580</wp:posOffset>
            </wp:positionV>
            <wp:extent cx="6660515" cy="1543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60515" cy="154305"/>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-3188335</wp:posOffset>
            </wp:positionV>
            <wp:extent cx="66605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605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220"/>
          </w:cols>
          <w:pgMar w:left="320" w:top="121" w:right="359" w:bottom="1440" w:gutter="0" w:footer="0" w:header="0"/>
        </w:sectPr>
      </w:pPr>
    </w:p>
    <w:bookmarkStart w:id="2" w:name="page3"/>
    <w:bookmarkEnd w:id="2"/>
    <w:p>
      <w:pPr>
        <w:spacing w:after="0"/>
        <w:rPr>
          <w:rFonts w:ascii="Arial" w:cs="Arial" w:eastAsia="Arial" w:hAnsi="Arial"/>
          <w:sz w:val="14"/>
          <w:szCs w:val="14"/>
          <w:color w:val="0000FF"/>
        </w:rPr>
      </w:pPr>
      <w:hyperlink w:anchor="page1">
        <w:r>
          <w:rPr>
            <w:rFonts w:ascii="Arial" w:cs="Arial" w:eastAsia="Arial" w:hAnsi="Arial"/>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INFORMATION</w:t>
      </w:r>
    </w:p>
    <w:p>
      <w:pPr>
        <w:spacing w:after="0" w:line="252"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SURO CAPITAL CORP.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ASSETS AND LIABILITIES (UNAUDITED)</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8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March 31, 2021</w:t>
            </w:r>
          </w:p>
        </w:tc>
        <w:tc>
          <w:tcPr>
            <w:tcW w:w="180" w:type="dxa"/>
            <w:vAlign w:val="bottom"/>
          </w:tcPr>
          <w:p>
            <w:pPr>
              <w:spacing w:after="0"/>
              <w:rPr>
                <w:sz w:val="16"/>
                <w:szCs w:val="16"/>
                <w:color w:val="auto"/>
              </w:rPr>
            </w:pPr>
          </w:p>
        </w:tc>
        <w:tc>
          <w:tcPr>
            <w:tcW w:w="1520" w:type="dxa"/>
            <w:vAlign w:val="bottom"/>
          </w:tcPr>
          <w:p>
            <w:pPr>
              <w:jc w:val="right"/>
              <w:ind w:right="179"/>
              <w:spacing w:after="0"/>
              <w:rPr>
                <w:sz w:val="20"/>
                <w:szCs w:val="20"/>
                <w:color w:val="auto"/>
              </w:rPr>
            </w:pPr>
            <w:r>
              <w:rPr>
                <w:rFonts w:ascii="Arial" w:cs="Arial" w:eastAsia="Arial" w:hAnsi="Arial"/>
                <w:sz w:val="14"/>
                <w:szCs w:val="14"/>
                <w:b w:val="1"/>
                <w:bCs w:val="1"/>
                <w:color w:val="auto"/>
                <w:w w:val="98"/>
              </w:rPr>
              <w:t>December 31, 2020</w:t>
            </w:r>
          </w:p>
        </w:tc>
        <w:tc>
          <w:tcPr>
            <w:tcW w:w="0" w:type="dxa"/>
            <w:vAlign w:val="bottom"/>
          </w:tcPr>
          <w:p>
            <w:pPr>
              <w:spacing w:after="0"/>
              <w:rPr>
                <w:sz w:val="1"/>
                <w:szCs w:val="1"/>
                <w:color w:val="auto"/>
              </w:rPr>
            </w:pPr>
          </w:p>
        </w:tc>
      </w:tr>
      <w:tr>
        <w:trPr>
          <w:trHeight w:val="215"/>
        </w:trPr>
        <w:tc>
          <w:tcPr>
            <w:tcW w:w="77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24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720" w:type="dxa"/>
            <w:vAlign w:val="bottom"/>
          </w:tcPr>
          <w:p>
            <w:pPr>
              <w:ind w:left="20"/>
              <w:spacing w:after="0"/>
              <w:rPr>
                <w:sz w:val="20"/>
                <w:szCs w:val="20"/>
                <w:color w:val="auto"/>
              </w:rPr>
            </w:pPr>
            <w:r>
              <w:rPr>
                <w:rFonts w:ascii="Arial" w:cs="Arial" w:eastAsia="Arial" w:hAnsi="Arial"/>
                <w:sz w:val="16"/>
                <w:szCs w:val="16"/>
                <w:color w:val="auto"/>
              </w:rPr>
              <w:t>Investments at fair value:</w:t>
            </w:r>
          </w:p>
        </w:tc>
        <w:tc>
          <w:tcPr>
            <w:tcW w:w="2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Non-controlled/non-affiliate investments (cost of $100,717,361 and $105,339,169, respectively)</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241,917,691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249,804,803</w:t>
            </w:r>
          </w:p>
        </w:tc>
        <w:tc>
          <w:tcPr>
            <w:tcW w:w="0" w:type="dxa"/>
            <w:vAlign w:val="bottom"/>
          </w:tcPr>
          <w:p>
            <w:pPr>
              <w:spacing w:after="0"/>
              <w:rPr>
                <w:sz w:val="1"/>
                <w:szCs w:val="1"/>
                <w:color w:val="auto"/>
              </w:rPr>
            </w:pPr>
          </w:p>
        </w:tc>
      </w:tr>
      <w:tr>
        <w:trPr>
          <w:trHeight w:val="213"/>
        </w:trPr>
        <w:tc>
          <w:tcPr>
            <w:tcW w:w="7720" w:type="dxa"/>
            <w:vAlign w:val="bottom"/>
          </w:tcPr>
          <w:p>
            <w:pPr>
              <w:ind w:left="20"/>
              <w:spacing w:after="0"/>
              <w:rPr>
                <w:sz w:val="20"/>
                <w:szCs w:val="20"/>
                <w:color w:val="auto"/>
              </w:rPr>
            </w:pPr>
            <w:r>
              <w:rPr>
                <w:rFonts w:ascii="Arial" w:cs="Arial" w:eastAsia="Arial" w:hAnsi="Arial"/>
                <w:sz w:val="16"/>
                <w:szCs w:val="16"/>
                <w:color w:val="auto"/>
              </w:rPr>
              <w:t>Non-controlled/affiliate investments (cost of $54,365,665 and $53,865,346, respectively)</w:t>
            </w:r>
          </w:p>
        </w:tc>
        <w:tc>
          <w:tcPr>
            <w:tcW w:w="2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32,510,562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30,165,773</w:t>
            </w:r>
          </w:p>
        </w:tc>
        <w:tc>
          <w:tcPr>
            <w:tcW w:w="0" w:type="dxa"/>
            <w:vAlign w:val="bottom"/>
          </w:tcPr>
          <w:p>
            <w:pPr>
              <w:spacing w:after="0"/>
              <w:rPr>
                <w:sz w:val="1"/>
                <w:szCs w:val="1"/>
                <w:color w:val="auto"/>
              </w:rPr>
            </w:pPr>
          </w:p>
        </w:tc>
      </w:tr>
      <w:tr>
        <w:trPr>
          <w:trHeight w:val="219"/>
        </w:trPr>
        <w:tc>
          <w:tcPr>
            <w:tcW w:w="7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Controlled investments (cost of $7,661,412 and $7,161,412, respectively)</w:t>
            </w:r>
          </w:p>
        </w:tc>
        <w:tc>
          <w:tcPr>
            <w:tcW w:w="24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1,414,198</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809,198</w:t>
            </w:r>
          </w:p>
        </w:tc>
        <w:tc>
          <w:tcPr>
            <w:tcW w:w="0" w:type="dxa"/>
            <w:vAlign w:val="bottom"/>
          </w:tcPr>
          <w:p>
            <w:pPr>
              <w:spacing w:after="0"/>
              <w:rPr>
                <w:sz w:val="1"/>
                <w:szCs w:val="1"/>
                <w:color w:val="auto"/>
              </w:rPr>
            </w:pPr>
          </w:p>
        </w:tc>
      </w:tr>
      <w:tr>
        <w:trPr>
          <w:trHeight w:val="207"/>
        </w:trPr>
        <w:tc>
          <w:tcPr>
            <w:tcW w:w="7720" w:type="dxa"/>
            <w:vAlign w:val="bottom"/>
          </w:tcPr>
          <w:p>
            <w:pPr>
              <w:ind w:left="140"/>
              <w:spacing w:after="0"/>
              <w:rPr>
                <w:sz w:val="20"/>
                <w:szCs w:val="20"/>
                <w:color w:val="auto"/>
              </w:rPr>
            </w:pPr>
            <w:r>
              <w:rPr>
                <w:rFonts w:ascii="Arial" w:cs="Arial" w:eastAsia="Arial" w:hAnsi="Arial"/>
                <w:sz w:val="16"/>
                <w:szCs w:val="16"/>
                <w:color w:val="auto"/>
              </w:rPr>
              <w:t>Total Portfolio Investments</w:t>
            </w:r>
          </w:p>
        </w:tc>
        <w:tc>
          <w:tcPr>
            <w:tcW w:w="24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275,842,451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280,779,774</w:t>
            </w:r>
          </w:p>
        </w:tc>
        <w:tc>
          <w:tcPr>
            <w:tcW w:w="0" w:type="dxa"/>
            <w:vAlign w:val="bottom"/>
          </w:tcPr>
          <w:p>
            <w:pPr>
              <w:spacing w:after="0"/>
              <w:rPr>
                <w:sz w:val="1"/>
                <w:szCs w:val="1"/>
                <w:color w:val="auto"/>
              </w:rPr>
            </w:pPr>
          </w:p>
        </w:tc>
      </w:tr>
      <w:tr>
        <w:trPr>
          <w:trHeight w:val="233"/>
        </w:trPr>
        <w:tc>
          <w:tcPr>
            <w:tcW w:w="7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Investments in U.S. Treasury bills (cost of $0 and $150,000,000, respectively)</w:t>
            </w:r>
          </w:p>
        </w:tc>
        <w:tc>
          <w:tcPr>
            <w:tcW w:w="240" w:type="dxa"/>
            <w:vAlign w:val="bottom"/>
            <w:shd w:val="clear" w:color="auto" w:fill="CCEEFF"/>
          </w:tcPr>
          <w:p>
            <w:pPr>
              <w:spacing w:after="0"/>
              <w:rPr>
                <w:sz w:val="20"/>
                <w:szCs w:val="20"/>
                <w:color w:val="auto"/>
              </w:rPr>
            </w:pPr>
          </w:p>
        </w:tc>
        <w:tc>
          <w:tcPr>
            <w:tcW w:w="15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0"/>
                <w:szCs w:val="20"/>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150,000,000</w:t>
            </w:r>
          </w:p>
        </w:tc>
        <w:tc>
          <w:tcPr>
            <w:tcW w:w="0" w:type="dxa"/>
            <w:vAlign w:val="bottom"/>
          </w:tcPr>
          <w:p>
            <w:pPr>
              <w:spacing w:after="0"/>
              <w:rPr>
                <w:sz w:val="1"/>
                <w:szCs w:val="1"/>
                <w:color w:val="auto"/>
              </w:rPr>
            </w:pPr>
          </w:p>
        </w:tc>
      </w:tr>
      <w:tr>
        <w:trPr>
          <w:trHeight w:val="207"/>
        </w:trPr>
        <w:tc>
          <w:tcPr>
            <w:tcW w:w="7720" w:type="dxa"/>
            <w:vAlign w:val="bottom"/>
          </w:tcPr>
          <w:p>
            <w:pPr>
              <w:ind w:left="20"/>
              <w:spacing w:after="0"/>
              <w:rPr>
                <w:sz w:val="20"/>
                <w:szCs w:val="20"/>
                <w:color w:val="auto"/>
              </w:rPr>
            </w:pPr>
            <w:r>
              <w:rPr>
                <w:rFonts w:ascii="Arial" w:cs="Arial" w:eastAsia="Arial" w:hAnsi="Arial"/>
                <w:sz w:val="16"/>
                <w:szCs w:val="16"/>
                <w:color w:val="auto"/>
              </w:rPr>
              <w:t>Total Investments (cost of $162,744,438 and $316,365,927, respectively)</w:t>
            </w:r>
          </w:p>
        </w:tc>
        <w:tc>
          <w:tcPr>
            <w:tcW w:w="240" w:type="dxa"/>
            <w:vAlign w:val="bottom"/>
            <w:tcBorders>
              <w:top w:val="single" w:sz="8" w:color="auto"/>
            </w:tcBorders>
          </w:tcPr>
          <w:p>
            <w:pPr>
              <w:spacing w:after="0"/>
              <w:rPr>
                <w:sz w:val="17"/>
                <w:szCs w:val="17"/>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275,842,451</w:t>
            </w: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430,779,774</w:t>
            </w:r>
          </w:p>
        </w:tc>
        <w:tc>
          <w:tcPr>
            <w:tcW w:w="0" w:type="dxa"/>
            <w:vAlign w:val="bottom"/>
          </w:tcPr>
          <w:p>
            <w:pPr>
              <w:spacing w:after="0"/>
              <w:rPr>
                <w:sz w:val="1"/>
                <w:szCs w:val="1"/>
                <w:color w:val="auto"/>
              </w:rPr>
            </w:pPr>
          </w:p>
        </w:tc>
      </w:tr>
      <w:tr>
        <w:trPr>
          <w:trHeight w:val="219"/>
        </w:trPr>
        <w:tc>
          <w:tcPr>
            <w:tcW w:w="7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w:t>
            </w: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165,699,565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45,793,724</w:t>
            </w:r>
          </w:p>
        </w:tc>
        <w:tc>
          <w:tcPr>
            <w:tcW w:w="0" w:type="dxa"/>
            <w:vAlign w:val="bottom"/>
          </w:tcPr>
          <w:p>
            <w:pPr>
              <w:spacing w:after="0"/>
              <w:rPr>
                <w:sz w:val="1"/>
                <w:szCs w:val="1"/>
                <w:color w:val="auto"/>
              </w:rPr>
            </w:pPr>
          </w:p>
        </w:tc>
      </w:tr>
      <w:tr>
        <w:trPr>
          <w:trHeight w:val="227"/>
        </w:trPr>
        <w:tc>
          <w:tcPr>
            <w:tcW w:w="7720" w:type="dxa"/>
            <w:vAlign w:val="bottom"/>
          </w:tcPr>
          <w:p>
            <w:pPr>
              <w:ind w:left="20"/>
              <w:spacing w:after="0"/>
              <w:rPr>
                <w:sz w:val="20"/>
                <w:szCs w:val="20"/>
                <w:color w:val="auto"/>
              </w:rPr>
            </w:pPr>
            <w:r>
              <w:rPr>
                <w:rFonts w:ascii="Arial" w:cs="Arial" w:eastAsia="Arial" w:hAnsi="Arial"/>
                <w:sz w:val="16"/>
                <w:szCs w:val="16"/>
                <w:color w:val="auto"/>
              </w:rPr>
              <w:t>Escrow proceeds receivable</w:t>
            </w:r>
          </w:p>
        </w:tc>
        <w:tc>
          <w:tcPr>
            <w:tcW w:w="2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852,307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852,462</w:t>
            </w:r>
          </w:p>
        </w:tc>
        <w:tc>
          <w:tcPr>
            <w:tcW w:w="0" w:type="dxa"/>
            <w:vAlign w:val="bottom"/>
          </w:tcPr>
          <w:p>
            <w:pPr>
              <w:spacing w:after="0"/>
              <w:rPr>
                <w:sz w:val="1"/>
                <w:szCs w:val="1"/>
                <w:color w:val="auto"/>
              </w:rPr>
            </w:pPr>
          </w:p>
        </w:tc>
      </w:tr>
      <w:tr>
        <w:trPr>
          <w:trHeight w:val="219"/>
        </w:trPr>
        <w:tc>
          <w:tcPr>
            <w:tcW w:w="7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and dividends receivable</w:t>
            </w: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73,406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166,998</w:t>
            </w:r>
          </w:p>
        </w:tc>
        <w:tc>
          <w:tcPr>
            <w:tcW w:w="0" w:type="dxa"/>
            <w:vAlign w:val="bottom"/>
          </w:tcPr>
          <w:p>
            <w:pPr>
              <w:spacing w:after="0"/>
              <w:rPr>
                <w:sz w:val="1"/>
                <w:szCs w:val="1"/>
                <w:color w:val="auto"/>
              </w:rPr>
            </w:pPr>
          </w:p>
        </w:tc>
      </w:tr>
      <w:tr>
        <w:trPr>
          <w:trHeight w:val="213"/>
        </w:trPr>
        <w:tc>
          <w:tcPr>
            <w:tcW w:w="7720" w:type="dxa"/>
            <w:vAlign w:val="bottom"/>
          </w:tcPr>
          <w:p>
            <w:pPr>
              <w:ind w:left="20"/>
              <w:spacing w:after="0"/>
              <w:rPr>
                <w:sz w:val="20"/>
                <w:szCs w:val="20"/>
                <w:color w:val="auto"/>
              </w:rPr>
            </w:pPr>
            <w:r>
              <w:rPr>
                <w:rFonts w:ascii="Arial" w:cs="Arial" w:eastAsia="Arial" w:hAnsi="Arial"/>
                <w:sz w:val="16"/>
                <w:szCs w:val="16"/>
                <w:color w:val="auto"/>
              </w:rPr>
              <w:t>Deferred financing costs</w:t>
            </w:r>
          </w:p>
        </w:tc>
        <w:tc>
          <w:tcPr>
            <w:tcW w:w="2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285,814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297,196</w:t>
            </w:r>
          </w:p>
        </w:tc>
        <w:tc>
          <w:tcPr>
            <w:tcW w:w="0" w:type="dxa"/>
            <w:vAlign w:val="bottom"/>
          </w:tcPr>
          <w:p>
            <w:pPr>
              <w:spacing w:after="0"/>
              <w:rPr>
                <w:sz w:val="1"/>
                <w:szCs w:val="1"/>
                <w:color w:val="auto"/>
              </w:rPr>
            </w:pPr>
          </w:p>
        </w:tc>
      </w:tr>
      <w:tr>
        <w:trPr>
          <w:trHeight w:val="219"/>
        </w:trPr>
        <w:tc>
          <w:tcPr>
            <w:tcW w:w="7720" w:type="dxa"/>
            <w:vAlign w:val="bottom"/>
            <w:shd w:val="clear" w:color="auto" w:fill="CCEEFF"/>
          </w:tcPr>
          <w:p>
            <w:pPr>
              <w:ind w:left="20"/>
              <w:spacing w:after="0" w:line="219" w:lineRule="exact"/>
              <w:rPr>
                <w:sz w:val="20"/>
                <w:szCs w:val="20"/>
                <w:color w:val="auto"/>
              </w:rPr>
            </w:pPr>
            <w:r>
              <w:rPr>
                <w:rFonts w:ascii="Arial" w:cs="Arial" w:eastAsia="Arial" w:hAnsi="Arial"/>
                <w:sz w:val="16"/>
                <w:szCs w:val="16"/>
                <w:color w:val="auto"/>
              </w:rPr>
              <w:t>Prepaid expenses and other assets</w:t>
            </w:r>
            <w:r>
              <w:rPr>
                <w:rFonts w:ascii="Arial" w:cs="Arial" w:eastAsia="Arial" w:hAnsi="Arial"/>
                <w:sz w:val="21"/>
                <w:szCs w:val="21"/>
                <w:color w:val="auto"/>
                <w:vertAlign w:val="superscript"/>
              </w:rPr>
              <w:t>(1)</w:t>
            </w:r>
          </w:p>
        </w:tc>
        <w:tc>
          <w:tcPr>
            <w:tcW w:w="24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902,957</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985,550</w:t>
            </w:r>
          </w:p>
        </w:tc>
        <w:tc>
          <w:tcPr>
            <w:tcW w:w="0" w:type="dxa"/>
            <w:vAlign w:val="bottom"/>
          </w:tcPr>
          <w:p>
            <w:pPr>
              <w:spacing w:after="0"/>
              <w:rPr>
                <w:sz w:val="1"/>
                <w:szCs w:val="1"/>
                <w:color w:val="auto"/>
              </w:rPr>
            </w:pPr>
          </w:p>
        </w:tc>
      </w:tr>
      <w:tr>
        <w:trPr>
          <w:trHeight w:val="207"/>
        </w:trPr>
        <w:tc>
          <w:tcPr>
            <w:tcW w:w="7720" w:type="dxa"/>
            <w:vAlign w:val="bottom"/>
            <w:tcBorders>
              <w:bottom w:val="single" w:sz="8" w:color="CCEEFF"/>
            </w:tcBorders>
          </w:tcPr>
          <w:p>
            <w:pPr>
              <w:ind w:left="360"/>
              <w:spacing w:after="0"/>
              <w:rPr>
                <w:sz w:val="20"/>
                <w:szCs w:val="20"/>
                <w:color w:val="auto"/>
              </w:rPr>
            </w:pPr>
            <w:r>
              <w:rPr>
                <w:rFonts w:ascii="Arial" w:cs="Arial" w:eastAsia="Arial" w:hAnsi="Arial"/>
                <w:sz w:val="16"/>
                <w:szCs w:val="16"/>
                <w:b w:val="1"/>
                <w:bCs w:val="1"/>
                <w:color w:val="auto"/>
              </w:rPr>
              <w:t>Total Assets</w:t>
            </w:r>
          </w:p>
        </w:tc>
        <w:tc>
          <w:tcPr>
            <w:tcW w:w="24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443,656,500</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478,875,704</w:t>
            </w:r>
          </w:p>
        </w:tc>
        <w:tc>
          <w:tcPr>
            <w:tcW w:w="0" w:type="dxa"/>
            <w:vAlign w:val="bottom"/>
          </w:tcPr>
          <w:p>
            <w:pPr>
              <w:spacing w:after="0"/>
              <w:rPr>
                <w:sz w:val="1"/>
                <w:szCs w:val="1"/>
                <w:color w:val="auto"/>
              </w:rPr>
            </w:pPr>
          </w:p>
        </w:tc>
      </w:tr>
      <w:tr>
        <w:trPr>
          <w:trHeight w:val="212"/>
        </w:trPr>
        <w:tc>
          <w:tcPr>
            <w:tcW w:w="77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LIABILITIES</w:t>
            </w:r>
          </w:p>
        </w:tc>
        <w:tc>
          <w:tcPr>
            <w:tcW w:w="2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20"/>
              <w:spacing w:after="0" w:line="216" w:lineRule="exact"/>
              <w:rPr>
                <w:sz w:val="20"/>
                <w:szCs w:val="20"/>
                <w:color w:val="auto"/>
              </w:rPr>
            </w:pPr>
            <w:r>
              <w:rPr>
                <w:rFonts w:ascii="Arial" w:cs="Arial" w:eastAsia="Arial" w:hAnsi="Arial"/>
                <w:sz w:val="16"/>
                <w:szCs w:val="16"/>
                <w:color w:val="auto"/>
              </w:rPr>
              <w:t>Accounts payable and accrued expenses</w:t>
            </w:r>
            <w:r>
              <w:rPr>
                <w:rFonts w:ascii="Arial" w:cs="Arial" w:eastAsia="Arial" w:hAnsi="Arial"/>
                <w:sz w:val="21"/>
                <w:szCs w:val="21"/>
                <w:color w:val="auto"/>
                <w:vertAlign w:val="superscript"/>
              </w:rPr>
              <w:t>(1)</w:t>
            </w:r>
          </w:p>
        </w:tc>
        <w:tc>
          <w:tcPr>
            <w:tcW w:w="2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1,616,579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762,312</w:t>
            </w:r>
          </w:p>
        </w:tc>
        <w:tc>
          <w:tcPr>
            <w:tcW w:w="0" w:type="dxa"/>
            <w:vAlign w:val="bottom"/>
          </w:tcPr>
          <w:p>
            <w:pPr>
              <w:spacing w:after="0"/>
              <w:rPr>
                <w:sz w:val="1"/>
                <w:szCs w:val="1"/>
                <w:color w:val="auto"/>
              </w:rPr>
            </w:pPr>
          </w:p>
        </w:tc>
      </w:tr>
      <w:tr>
        <w:trPr>
          <w:trHeight w:val="216"/>
        </w:trPr>
        <w:tc>
          <w:tcPr>
            <w:tcW w:w="7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Accrued interest payable</w:t>
            </w:r>
          </w:p>
        </w:tc>
        <w:tc>
          <w:tcPr>
            <w:tcW w:w="2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453,803</w:t>
            </w:r>
          </w:p>
        </w:tc>
        <w:tc>
          <w:tcPr>
            <w:tcW w:w="0" w:type="dxa"/>
            <w:vAlign w:val="bottom"/>
          </w:tcPr>
          <w:p>
            <w:pPr>
              <w:spacing w:after="0"/>
              <w:rPr>
                <w:sz w:val="1"/>
                <w:szCs w:val="1"/>
                <w:color w:val="auto"/>
              </w:rPr>
            </w:pPr>
          </w:p>
        </w:tc>
      </w:tr>
      <w:tr>
        <w:trPr>
          <w:trHeight w:val="213"/>
        </w:trPr>
        <w:tc>
          <w:tcPr>
            <w:tcW w:w="7720" w:type="dxa"/>
            <w:vAlign w:val="bottom"/>
          </w:tcPr>
          <w:p>
            <w:pPr>
              <w:ind w:left="20"/>
              <w:spacing w:after="0"/>
              <w:rPr>
                <w:sz w:val="20"/>
                <w:szCs w:val="20"/>
                <w:color w:val="auto"/>
              </w:rPr>
            </w:pPr>
            <w:r>
              <w:rPr>
                <w:rFonts w:ascii="Arial" w:cs="Arial" w:eastAsia="Arial" w:hAnsi="Arial"/>
                <w:sz w:val="16"/>
                <w:szCs w:val="16"/>
                <w:color w:val="auto"/>
              </w:rPr>
              <w:t>Dividends payable</w:t>
            </w:r>
          </w:p>
        </w:tc>
        <w:tc>
          <w:tcPr>
            <w:tcW w:w="2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6,078,300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4,395,229</w:t>
            </w:r>
          </w:p>
        </w:tc>
        <w:tc>
          <w:tcPr>
            <w:tcW w:w="0" w:type="dxa"/>
            <w:vAlign w:val="bottom"/>
          </w:tcPr>
          <w:p>
            <w:pPr>
              <w:spacing w:after="0"/>
              <w:rPr>
                <w:sz w:val="1"/>
                <w:szCs w:val="1"/>
                <w:color w:val="auto"/>
              </w:rPr>
            </w:pPr>
          </w:p>
        </w:tc>
      </w:tr>
      <w:tr>
        <w:trPr>
          <w:trHeight w:val="219"/>
        </w:trPr>
        <w:tc>
          <w:tcPr>
            <w:tcW w:w="7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Payable for securities purchased</w:t>
            </w:r>
          </w:p>
        </w:tc>
        <w:tc>
          <w:tcPr>
            <w:tcW w:w="24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134,250,000</w:t>
            </w:r>
          </w:p>
        </w:tc>
        <w:tc>
          <w:tcPr>
            <w:tcW w:w="0" w:type="dxa"/>
            <w:vAlign w:val="bottom"/>
          </w:tcPr>
          <w:p>
            <w:pPr>
              <w:spacing w:after="0"/>
              <w:rPr>
                <w:sz w:val="1"/>
                <w:szCs w:val="1"/>
                <w:color w:val="auto"/>
              </w:rPr>
            </w:pPr>
          </w:p>
        </w:tc>
      </w:tr>
      <w:tr>
        <w:trPr>
          <w:trHeight w:val="213"/>
        </w:trPr>
        <w:tc>
          <w:tcPr>
            <w:tcW w:w="7720" w:type="dxa"/>
            <w:vAlign w:val="bottom"/>
          </w:tcPr>
          <w:p>
            <w:pPr>
              <w:ind w:left="20"/>
              <w:spacing w:after="0"/>
              <w:rPr>
                <w:sz w:val="20"/>
                <w:szCs w:val="20"/>
                <w:color w:val="auto"/>
              </w:rPr>
            </w:pPr>
            <w:r>
              <w:rPr>
                <w:rFonts w:ascii="Arial" w:cs="Arial" w:eastAsia="Arial" w:hAnsi="Arial"/>
                <w:sz w:val="16"/>
                <w:szCs w:val="16"/>
                <w:color w:val="auto"/>
              </w:rPr>
              <w:t>Income tax payable</w:t>
            </w:r>
          </w:p>
        </w:tc>
        <w:tc>
          <w:tcPr>
            <w:tcW w:w="240" w:type="dxa"/>
            <w:vAlign w:val="bottom"/>
          </w:tcPr>
          <w:p>
            <w:pPr>
              <w:spacing w:after="0"/>
              <w:rPr>
                <w:sz w:val="18"/>
                <w:szCs w:val="18"/>
                <w:color w:val="auto"/>
              </w:rPr>
            </w:pPr>
          </w:p>
        </w:tc>
        <w:tc>
          <w:tcPr>
            <w:tcW w:w="15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35,850</w:t>
            </w:r>
          </w:p>
        </w:tc>
        <w:tc>
          <w:tcPr>
            <w:tcW w:w="0" w:type="dxa"/>
            <w:vAlign w:val="bottom"/>
          </w:tcPr>
          <w:p>
            <w:pPr>
              <w:spacing w:after="0"/>
              <w:rPr>
                <w:sz w:val="1"/>
                <w:szCs w:val="1"/>
                <w:color w:val="auto"/>
              </w:rPr>
            </w:pPr>
          </w:p>
        </w:tc>
      </w:tr>
      <w:tr>
        <w:trPr>
          <w:trHeight w:val="233"/>
        </w:trPr>
        <w:tc>
          <w:tcPr>
            <w:tcW w:w="7720" w:type="dxa"/>
            <w:vAlign w:val="bottom"/>
            <w:shd w:val="clear" w:color="auto" w:fill="CCEEFF"/>
          </w:tcPr>
          <w:p>
            <w:pPr>
              <w:ind w:left="20"/>
              <w:spacing w:after="0" w:line="233" w:lineRule="exact"/>
              <w:rPr>
                <w:sz w:val="20"/>
                <w:szCs w:val="20"/>
                <w:color w:val="auto"/>
              </w:rPr>
            </w:pPr>
            <w:r>
              <w:rPr>
                <w:rFonts w:ascii="Arial" w:cs="Arial" w:eastAsia="Arial" w:hAnsi="Arial"/>
                <w:sz w:val="16"/>
                <w:szCs w:val="16"/>
                <w:color w:val="auto"/>
              </w:rPr>
              <w:t>4.75% Convertible Senior Notes due March 28, 2023</w:t>
            </w:r>
            <w:r>
              <w:rPr>
                <w:rFonts w:ascii="Arial" w:cs="Arial" w:eastAsia="Arial" w:hAnsi="Arial"/>
                <w:sz w:val="21"/>
                <w:szCs w:val="21"/>
                <w:color w:val="auto"/>
                <w:vertAlign w:val="superscript"/>
              </w:rPr>
              <w:t>(2)</w:t>
            </w:r>
          </w:p>
        </w:tc>
        <w:tc>
          <w:tcPr>
            <w:tcW w:w="240" w:type="dxa"/>
            <w:vAlign w:val="bottom"/>
            <w:shd w:val="clear" w:color="auto" w:fill="CCEEFF"/>
          </w:tcPr>
          <w:p>
            <w:pPr>
              <w:spacing w:after="0"/>
              <w:rPr>
                <w:sz w:val="20"/>
                <w:szCs w:val="20"/>
                <w:color w:val="auto"/>
              </w:rPr>
            </w:pPr>
          </w:p>
        </w:tc>
        <w:tc>
          <w:tcPr>
            <w:tcW w:w="15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0"/>
                <w:szCs w:val="20"/>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37,395,437</w:t>
            </w:r>
          </w:p>
        </w:tc>
        <w:tc>
          <w:tcPr>
            <w:tcW w:w="0" w:type="dxa"/>
            <w:vAlign w:val="bottom"/>
          </w:tcPr>
          <w:p>
            <w:pPr>
              <w:spacing w:after="0"/>
              <w:rPr>
                <w:sz w:val="1"/>
                <w:szCs w:val="1"/>
                <w:color w:val="auto"/>
              </w:rPr>
            </w:pPr>
          </w:p>
        </w:tc>
      </w:tr>
      <w:tr>
        <w:trPr>
          <w:trHeight w:val="207"/>
        </w:trPr>
        <w:tc>
          <w:tcPr>
            <w:tcW w:w="7720" w:type="dxa"/>
            <w:vAlign w:val="bottom"/>
            <w:tcBorders>
              <w:top w:val="single" w:sz="8" w:color="CCEEFF"/>
              <w:bottom w:val="single" w:sz="8" w:color="CCEEFF"/>
            </w:tcBorders>
          </w:tcPr>
          <w:p>
            <w:pPr>
              <w:ind w:left="360"/>
              <w:spacing w:after="0"/>
              <w:rPr>
                <w:sz w:val="20"/>
                <w:szCs w:val="20"/>
                <w:color w:val="auto"/>
              </w:rPr>
            </w:pPr>
            <w:r>
              <w:rPr>
                <w:rFonts w:ascii="Arial" w:cs="Arial" w:eastAsia="Arial" w:hAnsi="Arial"/>
                <w:sz w:val="16"/>
                <w:szCs w:val="16"/>
                <w:b w:val="1"/>
                <w:bCs w:val="1"/>
                <w:color w:val="auto"/>
              </w:rPr>
              <w:t>Total Liabilities</w:t>
            </w:r>
          </w:p>
        </w:tc>
        <w:tc>
          <w:tcPr>
            <w:tcW w:w="240" w:type="dxa"/>
            <w:vAlign w:val="bottom"/>
            <w:tcBorders>
              <w:top w:val="single" w:sz="8" w:color="auto"/>
              <w:bottom w:val="single" w:sz="8" w:color="auto"/>
            </w:tcBorders>
          </w:tcPr>
          <w:p>
            <w:pPr>
              <w:spacing w:after="0"/>
              <w:rPr>
                <w:sz w:val="17"/>
                <w:szCs w:val="17"/>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7,694,879</w:t>
            </w:r>
          </w:p>
        </w:tc>
        <w:tc>
          <w:tcPr>
            <w:tcW w:w="10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177,292,631</w:t>
            </w:r>
          </w:p>
        </w:tc>
        <w:tc>
          <w:tcPr>
            <w:tcW w:w="0" w:type="dxa"/>
            <w:vAlign w:val="bottom"/>
          </w:tcPr>
          <w:p>
            <w:pPr>
              <w:spacing w:after="0"/>
              <w:rPr>
                <w:sz w:val="1"/>
                <w:szCs w:val="1"/>
                <w:color w:val="auto"/>
              </w:rPr>
            </w:pPr>
          </w:p>
        </w:tc>
      </w:tr>
      <w:tr>
        <w:trPr>
          <w:trHeight w:val="212"/>
        </w:trPr>
        <w:tc>
          <w:tcPr>
            <w:tcW w:w="77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Commitments and contingencies (Notes 7 and 10)</w:t>
            </w:r>
          </w:p>
        </w:tc>
        <w:tc>
          <w:tcPr>
            <w:tcW w:w="2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20"/>
              <w:spacing w:after="0"/>
              <w:rPr>
                <w:sz w:val="20"/>
                <w:szCs w:val="20"/>
                <w:color w:val="auto"/>
              </w:rPr>
            </w:pPr>
            <w:r>
              <w:rPr>
                <w:rFonts w:ascii="Arial" w:cs="Arial" w:eastAsia="Arial" w:hAnsi="Arial"/>
                <w:sz w:val="16"/>
                <w:szCs w:val="16"/>
                <w:b w:val="1"/>
                <w:bCs w:val="1"/>
                <w:color w:val="auto"/>
              </w:rPr>
              <w:t>Net Assets</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435,961,621</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301,583,073</w:t>
            </w:r>
          </w:p>
        </w:tc>
        <w:tc>
          <w:tcPr>
            <w:tcW w:w="0" w:type="dxa"/>
            <w:vAlign w:val="bottom"/>
          </w:tcPr>
          <w:p>
            <w:pPr>
              <w:spacing w:after="0"/>
              <w:rPr>
                <w:sz w:val="1"/>
                <w:szCs w:val="1"/>
                <w:color w:val="auto"/>
              </w:rPr>
            </w:pPr>
          </w:p>
        </w:tc>
      </w:tr>
      <w:tr>
        <w:trPr>
          <w:trHeight w:val="20"/>
        </w:trPr>
        <w:tc>
          <w:tcPr>
            <w:tcW w:w="77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7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ASSETS</w:t>
            </w:r>
          </w:p>
        </w:tc>
        <w:tc>
          <w:tcPr>
            <w:tcW w:w="24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7720" w:type="dxa"/>
            <w:vAlign w:val="bottom"/>
          </w:tcPr>
          <w:p>
            <w:pPr>
              <w:ind w:left="80"/>
              <w:spacing w:after="0" w:line="166" w:lineRule="exact"/>
              <w:rPr>
                <w:sz w:val="20"/>
                <w:szCs w:val="20"/>
                <w:color w:val="auto"/>
              </w:rPr>
            </w:pPr>
            <w:r>
              <w:rPr>
                <w:rFonts w:ascii="Arial" w:cs="Arial" w:eastAsia="Arial" w:hAnsi="Arial"/>
                <w:sz w:val="16"/>
                <w:szCs w:val="16"/>
                <w:color w:val="auto"/>
                <w:w w:val="99"/>
              </w:rPr>
              <w:t>Common stock, par value $0.01 per share (100,000,000 authorized; 24,205,216 and 19,914,023 issued and</w:t>
            </w:r>
          </w:p>
        </w:tc>
        <w:tc>
          <w:tcPr>
            <w:tcW w:w="240" w:type="dxa"/>
            <w:vAlign w:val="bottom"/>
            <w:vMerge w:val="restart"/>
          </w:tcPr>
          <w:p>
            <w:pPr>
              <w:jc w:val="right"/>
              <w:ind w:right="59"/>
              <w:spacing w:after="0"/>
              <w:rPr>
                <w:sz w:val="20"/>
                <w:szCs w:val="20"/>
                <w:color w:val="auto"/>
              </w:rPr>
            </w:pPr>
            <w:r>
              <w:rPr>
                <w:rFonts w:ascii="Arial" w:cs="Arial" w:eastAsia="Arial" w:hAnsi="Arial"/>
                <w:sz w:val="16"/>
                <w:szCs w:val="16"/>
                <w:color w:val="auto"/>
                <w:w w:val="89"/>
              </w:rPr>
              <w:t>$</w:t>
            </w:r>
          </w:p>
        </w:tc>
        <w:tc>
          <w:tcPr>
            <w:tcW w:w="1480" w:type="dxa"/>
            <w:vAlign w:val="bottom"/>
            <w:vMerge w:val="restart"/>
          </w:tcPr>
          <w:p>
            <w:pPr>
              <w:jc w:val="right"/>
              <w:spacing w:after="0"/>
              <w:rPr>
                <w:sz w:val="20"/>
                <w:szCs w:val="20"/>
                <w:color w:val="auto"/>
              </w:rPr>
            </w:pPr>
            <w:r>
              <w:rPr>
                <w:rFonts w:ascii="Arial" w:cs="Arial" w:eastAsia="Arial" w:hAnsi="Arial"/>
                <w:sz w:val="16"/>
                <w:szCs w:val="16"/>
                <w:color w:val="auto"/>
              </w:rPr>
              <w:t>242,052</w:t>
            </w:r>
          </w:p>
        </w:tc>
        <w:tc>
          <w:tcPr>
            <w:tcW w:w="100" w:type="dxa"/>
            <w:vAlign w:val="bottom"/>
          </w:tcPr>
          <w:p>
            <w:pPr>
              <w:spacing w:after="0"/>
              <w:rPr>
                <w:sz w:val="14"/>
                <w:szCs w:val="14"/>
                <w:color w:val="auto"/>
              </w:rPr>
            </w:pPr>
          </w:p>
        </w:tc>
        <w:tc>
          <w:tcPr>
            <w:tcW w:w="18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vMerge w:val="restart"/>
          </w:tcPr>
          <w:p>
            <w:pPr>
              <w:jc w:val="right"/>
              <w:spacing w:after="0"/>
              <w:rPr>
                <w:sz w:val="20"/>
                <w:szCs w:val="20"/>
                <w:color w:val="auto"/>
              </w:rPr>
            </w:pPr>
            <w:r>
              <w:rPr>
                <w:rFonts w:ascii="Arial" w:cs="Arial" w:eastAsia="Arial" w:hAnsi="Arial"/>
                <w:sz w:val="16"/>
                <w:szCs w:val="16"/>
                <w:color w:val="auto"/>
              </w:rPr>
              <w:t>199,140</w:t>
            </w:r>
          </w:p>
        </w:tc>
        <w:tc>
          <w:tcPr>
            <w:tcW w:w="0" w:type="dxa"/>
            <w:vAlign w:val="bottom"/>
          </w:tcPr>
          <w:p>
            <w:pPr>
              <w:spacing w:after="0"/>
              <w:rPr>
                <w:sz w:val="1"/>
                <w:szCs w:val="1"/>
                <w:color w:val="auto"/>
              </w:rPr>
            </w:pPr>
          </w:p>
        </w:tc>
      </w:tr>
      <w:tr>
        <w:trPr>
          <w:trHeight w:val="209"/>
        </w:trPr>
        <w:tc>
          <w:tcPr>
            <w:tcW w:w="7720" w:type="dxa"/>
            <w:vAlign w:val="bottom"/>
          </w:tcPr>
          <w:p>
            <w:pPr>
              <w:ind w:left="80"/>
              <w:spacing w:after="0"/>
              <w:rPr>
                <w:sz w:val="20"/>
                <w:szCs w:val="20"/>
                <w:color w:val="auto"/>
              </w:rPr>
            </w:pPr>
            <w:r>
              <w:rPr>
                <w:rFonts w:ascii="Arial" w:cs="Arial" w:eastAsia="Arial" w:hAnsi="Arial"/>
                <w:sz w:val="16"/>
                <w:szCs w:val="16"/>
                <w:color w:val="auto"/>
              </w:rPr>
              <w:t>outstanding, respectively)</w:t>
            </w:r>
          </w:p>
        </w:tc>
        <w:tc>
          <w:tcPr>
            <w:tcW w:w="240" w:type="dxa"/>
            <w:vAlign w:val="bottom"/>
            <w:vMerge w:val="continue"/>
          </w:tcPr>
          <w:p>
            <w:pPr>
              <w:spacing w:after="0"/>
              <w:rPr>
                <w:sz w:val="18"/>
                <w:szCs w:val="18"/>
                <w:color w:val="auto"/>
              </w:rPr>
            </w:pPr>
          </w:p>
        </w:tc>
        <w:tc>
          <w:tcPr>
            <w:tcW w:w="14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vMerge w:val="continue"/>
          </w:tcPr>
          <w:p>
            <w:pPr>
              <w:spacing w:after="0"/>
              <w:rPr>
                <w:sz w:val="18"/>
                <w:szCs w:val="18"/>
                <w:color w:val="auto"/>
              </w:rPr>
            </w:pPr>
          </w:p>
        </w:tc>
        <w:tc>
          <w:tcPr>
            <w:tcW w:w="15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Paid-in capital in excess of par</w:t>
            </w: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259,168,303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221,802,592</w:t>
            </w:r>
          </w:p>
        </w:tc>
        <w:tc>
          <w:tcPr>
            <w:tcW w:w="0" w:type="dxa"/>
            <w:vAlign w:val="bottom"/>
          </w:tcPr>
          <w:p>
            <w:pPr>
              <w:spacing w:after="0"/>
              <w:rPr>
                <w:sz w:val="1"/>
                <w:szCs w:val="1"/>
                <w:color w:val="auto"/>
              </w:rPr>
            </w:pPr>
          </w:p>
        </w:tc>
      </w:tr>
      <w:tr>
        <w:trPr>
          <w:trHeight w:val="213"/>
        </w:trPr>
        <w:tc>
          <w:tcPr>
            <w:tcW w:w="7720" w:type="dxa"/>
            <w:vAlign w:val="bottom"/>
          </w:tcPr>
          <w:p>
            <w:pPr>
              <w:ind w:left="20"/>
              <w:spacing w:after="0"/>
              <w:rPr>
                <w:sz w:val="20"/>
                <w:szCs w:val="20"/>
                <w:color w:val="auto"/>
              </w:rPr>
            </w:pPr>
            <w:r>
              <w:rPr>
                <w:rFonts w:ascii="Arial" w:cs="Arial" w:eastAsia="Arial" w:hAnsi="Arial"/>
                <w:sz w:val="16"/>
                <w:szCs w:val="16"/>
                <w:color w:val="auto"/>
              </w:rPr>
              <w:t>Accumulated net investment loss</w:t>
            </w:r>
          </w:p>
        </w:tc>
        <w:tc>
          <w:tcPr>
            <w:tcW w:w="2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(43,028,096)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(40,193,778)</w:t>
            </w:r>
          </w:p>
        </w:tc>
        <w:tc>
          <w:tcPr>
            <w:tcW w:w="0" w:type="dxa"/>
            <w:vAlign w:val="bottom"/>
          </w:tcPr>
          <w:p>
            <w:pPr>
              <w:spacing w:after="0"/>
              <w:rPr>
                <w:sz w:val="1"/>
                <w:szCs w:val="1"/>
                <w:color w:val="auto"/>
              </w:rPr>
            </w:pPr>
          </w:p>
        </w:tc>
      </w:tr>
      <w:tr>
        <w:trPr>
          <w:trHeight w:val="219"/>
        </w:trPr>
        <w:tc>
          <w:tcPr>
            <w:tcW w:w="7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Accumulated net realized gain on investments, net of distributions</w:t>
            </w: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106,481,350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5,361,270</w:t>
            </w:r>
          </w:p>
        </w:tc>
        <w:tc>
          <w:tcPr>
            <w:tcW w:w="0" w:type="dxa"/>
            <w:vAlign w:val="bottom"/>
          </w:tcPr>
          <w:p>
            <w:pPr>
              <w:spacing w:after="0"/>
              <w:rPr>
                <w:sz w:val="1"/>
                <w:szCs w:val="1"/>
                <w:color w:val="auto"/>
              </w:rPr>
            </w:pPr>
          </w:p>
        </w:tc>
      </w:tr>
      <w:tr>
        <w:trPr>
          <w:trHeight w:val="213"/>
        </w:trPr>
        <w:tc>
          <w:tcPr>
            <w:tcW w:w="77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Accumulated net unrealized appreciation of investments</w:t>
            </w:r>
          </w:p>
        </w:tc>
        <w:tc>
          <w:tcPr>
            <w:tcW w:w="2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113,098,012</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114,413,849</w:t>
            </w:r>
          </w:p>
        </w:tc>
        <w:tc>
          <w:tcPr>
            <w:tcW w:w="0" w:type="dxa"/>
            <w:vAlign w:val="bottom"/>
          </w:tcPr>
          <w:p>
            <w:pPr>
              <w:spacing w:after="0"/>
              <w:rPr>
                <w:sz w:val="1"/>
                <w:szCs w:val="1"/>
                <w:color w:val="auto"/>
              </w:rPr>
            </w:pPr>
          </w:p>
        </w:tc>
      </w:tr>
      <w:tr>
        <w:trPr>
          <w:trHeight w:val="238"/>
        </w:trPr>
        <w:tc>
          <w:tcPr>
            <w:tcW w:w="77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b w:val="1"/>
                <w:bCs w:val="1"/>
                <w:color w:val="auto"/>
              </w:rPr>
              <w:t>Net Assets</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435,961,621</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301,583,073</w:t>
            </w:r>
          </w:p>
        </w:tc>
        <w:tc>
          <w:tcPr>
            <w:tcW w:w="0" w:type="dxa"/>
            <w:vAlign w:val="bottom"/>
          </w:tcPr>
          <w:p>
            <w:pPr>
              <w:spacing w:after="0"/>
              <w:rPr>
                <w:sz w:val="1"/>
                <w:szCs w:val="1"/>
                <w:color w:val="auto"/>
              </w:rPr>
            </w:pPr>
          </w:p>
        </w:tc>
      </w:tr>
      <w:tr>
        <w:trPr>
          <w:trHeight w:val="20"/>
        </w:trPr>
        <w:tc>
          <w:tcPr>
            <w:tcW w:w="77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7720" w:type="dxa"/>
            <w:vAlign w:val="bottom"/>
          </w:tcPr>
          <w:p>
            <w:pPr>
              <w:ind w:left="360"/>
              <w:spacing w:after="0"/>
              <w:rPr>
                <w:sz w:val="20"/>
                <w:szCs w:val="20"/>
                <w:color w:val="auto"/>
              </w:rPr>
            </w:pPr>
            <w:r>
              <w:rPr>
                <w:rFonts w:ascii="Arial" w:cs="Arial" w:eastAsia="Arial" w:hAnsi="Arial"/>
                <w:sz w:val="16"/>
                <w:szCs w:val="16"/>
                <w:b w:val="1"/>
                <w:bCs w:val="1"/>
                <w:color w:val="auto"/>
              </w:rPr>
              <w:t>Net Asset Value Per Share</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18.01</w:t>
            </w:r>
          </w:p>
        </w:tc>
        <w:tc>
          <w:tcPr>
            <w:tcW w:w="100" w:type="dxa"/>
            <w:vAlign w:val="bottom"/>
          </w:tcPr>
          <w:p>
            <w:pPr>
              <w:spacing w:after="0"/>
              <w:rPr>
                <w:sz w:val="16"/>
                <w:szCs w:val="16"/>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15.14</w:t>
            </w: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-488315</wp:posOffset>
            </wp:positionV>
            <wp:extent cx="4903470" cy="1460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90347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-1722120</wp:posOffset>
            </wp:positionV>
            <wp:extent cx="4903470" cy="1543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90347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-3977005</wp:posOffset>
            </wp:positionV>
            <wp:extent cx="4903470" cy="1543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90347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-4671060</wp:posOffset>
            </wp:positionV>
            <wp:extent cx="490347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903470" cy="8255"/>
                    </a:xfrm>
                    <a:prstGeom prst="rect">
                      <a:avLst/>
                    </a:prstGeom>
                    <a:noFill/>
                  </pic:spPr>
                </pic:pic>
              </a:graphicData>
            </a:graphic>
          </wp:anchor>
        </w:drawing>
      </w:r>
    </w:p>
    <w:p>
      <w:pPr>
        <w:spacing w:after="0" w:line="42" w:lineRule="exact"/>
        <w:rPr>
          <w:sz w:val="20"/>
          <w:szCs w:val="20"/>
          <w:color w:val="auto"/>
        </w:rPr>
      </w:pPr>
    </w:p>
    <w:p>
      <w:pPr>
        <w:ind w:left="3520"/>
        <w:spacing w:after="0"/>
        <w:rPr>
          <w:sz w:val="20"/>
          <w:szCs w:val="20"/>
          <w:color w:val="auto"/>
        </w:rPr>
      </w:pPr>
      <w:r>
        <w:rPr>
          <w:rFonts w:ascii="Arial" w:cs="Arial" w:eastAsia="Arial" w:hAnsi="Arial"/>
          <w:sz w:val="14"/>
          <w:szCs w:val="14"/>
          <w:i w:val="1"/>
          <w:iCs w:val="1"/>
          <w:color w:val="auto"/>
        </w:rPr>
        <w:t>See accompanying notes to condensed consolidated financial statements.</w:t>
      </w:r>
    </w:p>
    <w:p>
      <w:pPr>
        <w:spacing w:after="0" w:line="13"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w:t>
      </w:r>
    </w:p>
    <w:p>
      <w:pPr>
        <w:spacing w:after="0" w:line="1" w:lineRule="exact"/>
        <w:rPr>
          <w:sz w:val="20"/>
          <w:szCs w:val="20"/>
          <w:color w:val="auto"/>
        </w:rPr>
      </w:pPr>
    </w:p>
    <w:p>
      <w:pPr>
        <w:ind w:left="340" w:hanging="332"/>
        <w:spacing w:after="0" w:line="241" w:lineRule="auto"/>
        <w:tabs>
          <w:tab w:leader="none" w:pos="379" w:val="left"/>
        </w:tabs>
        <w:numPr>
          <w:ilvl w:val="0"/>
          <w:numId w:val="2"/>
        </w:numPr>
        <w:rPr>
          <w:rFonts w:ascii="Arial" w:cs="Arial" w:eastAsia="Arial" w:hAnsi="Arial"/>
          <w:sz w:val="14"/>
          <w:szCs w:val="14"/>
          <w:color w:val="auto"/>
        </w:rPr>
      </w:pPr>
      <w:r>
        <w:rPr>
          <w:rFonts w:ascii="Arial" w:cs="Arial" w:eastAsia="Arial" w:hAnsi="Arial"/>
          <w:sz w:val="14"/>
          <w:szCs w:val="14"/>
          <w:color w:val="auto"/>
        </w:rPr>
        <w:t>This balance includes a right of use asset and corresponding operating lease liability, respectively. Refer to "Note 7—Commitments and Contingencies—</w:t>
      </w:r>
      <w:r>
        <w:rPr>
          <w:rFonts w:ascii="Arial" w:cs="Arial" w:eastAsia="Arial" w:hAnsi="Arial"/>
          <w:sz w:val="14"/>
          <w:szCs w:val="14"/>
          <w:i w:val="1"/>
          <w:iCs w:val="1"/>
          <w:color w:val="auto"/>
        </w:rPr>
        <w:t>Operating Leases and Related</w:t>
      </w:r>
      <w:r>
        <w:rPr>
          <w:rFonts w:ascii="Arial" w:cs="Arial" w:eastAsia="Arial" w:hAnsi="Arial"/>
          <w:sz w:val="14"/>
          <w:szCs w:val="14"/>
          <w:color w:val="auto"/>
        </w:rPr>
        <w:t xml:space="preserve"> </w:t>
      </w:r>
      <w:r>
        <w:rPr>
          <w:rFonts w:ascii="Arial" w:cs="Arial" w:eastAsia="Arial" w:hAnsi="Arial"/>
          <w:sz w:val="14"/>
          <w:szCs w:val="14"/>
          <w:i w:val="1"/>
          <w:iCs w:val="1"/>
          <w:color w:val="auto"/>
        </w:rPr>
        <w:t>Deposits</w:t>
      </w:r>
      <w:r>
        <w:rPr>
          <w:rFonts w:ascii="Arial" w:cs="Arial" w:eastAsia="Arial" w:hAnsi="Arial"/>
          <w:sz w:val="14"/>
          <w:szCs w:val="14"/>
          <w:color w:val="auto"/>
        </w:rPr>
        <w:t>" for more detail.</w:t>
      </w:r>
    </w:p>
    <w:p>
      <w:pPr>
        <w:jc w:val="both"/>
        <w:ind w:left="340" w:hanging="332"/>
        <w:spacing w:after="0" w:line="248" w:lineRule="auto"/>
        <w:tabs>
          <w:tab w:leader="none" w:pos="349" w:val="left"/>
        </w:tabs>
        <w:numPr>
          <w:ilvl w:val="0"/>
          <w:numId w:val="2"/>
        </w:numPr>
        <w:rPr>
          <w:rFonts w:ascii="Arial" w:cs="Arial" w:eastAsia="Arial" w:hAnsi="Arial"/>
          <w:sz w:val="14"/>
          <w:szCs w:val="14"/>
          <w:color w:val="auto"/>
        </w:rPr>
      </w:pPr>
      <w:r>
        <w:rPr>
          <w:rFonts w:ascii="Arial" w:cs="Arial" w:eastAsia="Arial" w:hAnsi="Arial"/>
          <w:sz w:val="14"/>
          <w:szCs w:val="14"/>
          <w:color w:val="auto"/>
        </w:rPr>
        <w:t>As of March 31, 2021, the 4.75% Convertible Senior Notes due March 28, 2023 had been fully converted into the Company's common stock or redeemed in cash by the Company. As of December 31, 2020, the 4.75% Convertible Senior Notes due March 28, 2023 (effective interest rate of 5.57%) had a face value $38,215,000. Refer to “Note 10—Debt Capital Activities” for a reconciliation of the carrying value to the face value.</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121" w:right="339" w:bottom="1440" w:gutter="0" w:footer="0" w:header="0"/>
        </w:sectPr>
      </w:pPr>
    </w:p>
    <w:bookmarkStart w:id="3" w:name="page4"/>
    <w:bookmarkEnd w:id="3"/>
    <w:p>
      <w:pPr>
        <w:spacing w:after="0"/>
        <w:rPr>
          <w:rFonts w:ascii="Arial" w:cs="Arial" w:eastAsia="Arial" w:hAnsi="Arial"/>
          <w:sz w:val="14"/>
          <w:szCs w:val="14"/>
          <w:color w:val="0000FF"/>
        </w:rPr>
      </w:pPr>
      <w:hyperlink w:anchor="page1">
        <w:r>
          <w:rPr>
            <w:rFonts w:ascii="Arial" w:cs="Arial" w:eastAsia="Arial" w:hAnsi="Arial"/>
            <w:sz w:val="14"/>
            <w:szCs w:val="14"/>
            <w:color w:val="0000FF"/>
          </w:rPr>
          <w:t>TABLE OF CONTENTS</w:t>
        </w:r>
      </w:hyperlink>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SURO CAPITAL CORP. AND SUBSIDIARIES</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OPERATIONS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tbl>
      <w:tblPr>
        <w:tblLayout w:type="fixed"/>
        <w:tblInd w:w="8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3460" w:type="dxa"/>
            <w:vAlign w:val="bottom"/>
            <w:tcBorders>
              <w:bottom w:val="single" w:sz="8" w:color="auto"/>
            </w:tcBorders>
            <w:gridSpan w:val="4"/>
          </w:tcPr>
          <w:p>
            <w:pPr>
              <w:jc w:val="right"/>
              <w:ind w:right="221"/>
              <w:spacing w:after="0"/>
              <w:rPr>
                <w:sz w:val="20"/>
                <w:szCs w:val="20"/>
                <w:color w:val="auto"/>
              </w:rPr>
            </w:pPr>
            <w:r>
              <w:rPr>
                <w:rFonts w:ascii="Arial" w:cs="Arial" w:eastAsia="Arial" w:hAnsi="Arial"/>
                <w:sz w:val="14"/>
                <w:szCs w:val="14"/>
                <w:b w:val="1"/>
                <w:bCs w:val="1"/>
                <w:color w:val="auto"/>
              </w:rPr>
              <w:t>Three Months Ended March 31,</w:t>
            </w: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674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67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INVESTMENT INCOME</w:t>
            </w:r>
          </w:p>
        </w:tc>
        <w:tc>
          <w:tcPr>
            <w:tcW w:w="1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740" w:type="dxa"/>
            <w:vAlign w:val="bottom"/>
          </w:tcPr>
          <w:p>
            <w:pPr>
              <w:ind w:left="20"/>
              <w:spacing w:after="0"/>
              <w:rPr>
                <w:sz w:val="20"/>
                <w:szCs w:val="20"/>
                <w:color w:val="auto"/>
              </w:rPr>
            </w:pPr>
            <w:r>
              <w:rPr>
                <w:rFonts w:ascii="Arial" w:cs="Arial" w:eastAsia="Arial" w:hAnsi="Arial"/>
                <w:sz w:val="16"/>
                <w:szCs w:val="16"/>
                <w:color w:val="auto"/>
              </w:rPr>
              <w:t>Non-controlled/non-affiliate investments:</w:t>
            </w:r>
          </w:p>
        </w:tc>
        <w:tc>
          <w:tcPr>
            <w:tcW w:w="1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7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Interest income</w:t>
            </w:r>
          </w:p>
        </w:tc>
        <w:tc>
          <w:tcPr>
            <w:tcW w:w="1220" w:type="dxa"/>
            <w:vAlign w:val="bottom"/>
            <w:shd w:val="clear" w:color="auto" w:fill="CCEEFF"/>
          </w:tcPr>
          <w:p>
            <w:pPr>
              <w:jc w:val="right"/>
              <w:ind w:right="1042"/>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166,845</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041"/>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155,085</w:t>
            </w:r>
          </w:p>
        </w:tc>
        <w:tc>
          <w:tcPr>
            <w:tcW w:w="0" w:type="dxa"/>
            <w:vAlign w:val="bottom"/>
          </w:tcPr>
          <w:p>
            <w:pPr>
              <w:spacing w:after="0"/>
              <w:rPr>
                <w:sz w:val="1"/>
                <w:szCs w:val="1"/>
                <w:color w:val="auto"/>
              </w:rPr>
            </w:pPr>
          </w:p>
        </w:tc>
      </w:tr>
      <w:tr>
        <w:trPr>
          <w:trHeight w:val="213"/>
        </w:trPr>
        <w:tc>
          <w:tcPr>
            <w:tcW w:w="6740" w:type="dxa"/>
            <w:vAlign w:val="bottom"/>
          </w:tcPr>
          <w:p>
            <w:pPr>
              <w:ind w:left="340"/>
              <w:spacing w:after="0"/>
              <w:rPr>
                <w:sz w:val="20"/>
                <w:szCs w:val="20"/>
                <w:color w:val="auto"/>
              </w:rPr>
            </w:pPr>
            <w:r>
              <w:rPr>
                <w:rFonts w:ascii="Arial" w:cs="Arial" w:eastAsia="Arial" w:hAnsi="Arial"/>
                <w:sz w:val="16"/>
                <w:szCs w:val="16"/>
                <w:color w:val="auto"/>
              </w:rPr>
              <w:t>Dividend income</w:t>
            </w:r>
          </w:p>
        </w:tc>
        <w:tc>
          <w:tcPr>
            <w:tcW w:w="1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21,875</w:t>
            </w: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50,000</w:t>
            </w:r>
          </w:p>
        </w:tc>
        <w:tc>
          <w:tcPr>
            <w:tcW w:w="0" w:type="dxa"/>
            <w:vAlign w:val="bottom"/>
          </w:tcPr>
          <w:p>
            <w:pPr>
              <w:spacing w:after="0"/>
              <w:rPr>
                <w:sz w:val="1"/>
                <w:szCs w:val="1"/>
                <w:color w:val="auto"/>
              </w:rPr>
            </w:pPr>
          </w:p>
        </w:tc>
      </w:tr>
      <w:tr>
        <w:trPr>
          <w:trHeight w:val="219"/>
        </w:trPr>
        <w:tc>
          <w:tcPr>
            <w:tcW w:w="6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Non-controlled/affiliate investments:</w:t>
            </w:r>
          </w:p>
        </w:tc>
        <w:tc>
          <w:tcPr>
            <w:tcW w:w="1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740" w:type="dxa"/>
            <w:vAlign w:val="bottom"/>
          </w:tcPr>
          <w:p>
            <w:pPr>
              <w:ind w:left="340"/>
              <w:spacing w:after="0"/>
              <w:rPr>
                <w:sz w:val="20"/>
                <w:szCs w:val="20"/>
                <w:color w:val="auto"/>
              </w:rPr>
            </w:pPr>
            <w:r>
              <w:rPr>
                <w:rFonts w:ascii="Arial" w:cs="Arial" w:eastAsia="Arial" w:hAnsi="Arial"/>
                <w:sz w:val="16"/>
                <w:szCs w:val="16"/>
                <w:color w:val="auto"/>
              </w:rPr>
              <w:t>Interest income</w:t>
            </w:r>
          </w:p>
        </w:tc>
        <w:tc>
          <w:tcPr>
            <w:tcW w:w="122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20,428</w:t>
            </w:r>
          </w:p>
        </w:tc>
        <w:tc>
          <w:tcPr>
            <w:tcW w:w="0" w:type="dxa"/>
            <w:vAlign w:val="bottom"/>
          </w:tcPr>
          <w:p>
            <w:pPr>
              <w:spacing w:after="0"/>
              <w:rPr>
                <w:sz w:val="1"/>
                <w:szCs w:val="1"/>
                <w:color w:val="auto"/>
              </w:rPr>
            </w:pPr>
          </w:p>
        </w:tc>
      </w:tr>
      <w:tr>
        <w:trPr>
          <w:trHeight w:val="219"/>
        </w:trPr>
        <w:tc>
          <w:tcPr>
            <w:tcW w:w="67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Dividend income</w:t>
            </w:r>
          </w:p>
        </w:tc>
        <w:tc>
          <w:tcPr>
            <w:tcW w:w="1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102,632</w:t>
            </w:r>
          </w:p>
        </w:tc>
        <w:tc>
          <w:tcPr>
            <w:tcW w:w="120" w:type="dxa"/>
            <w:vAlign w:val="bottom"/>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26,250</w:t>
            </w:r>
          </w:p>
        </w:tc>
        <w:tc>
          <w:tcPr>
            <w:tcW w:w="0" w:type="dxa"/>
            <w:vAlign w:val="bottom"/>
          </w:tcPr>
          <w:p>
            <w:pPr>
              <w:spacing w:after="0"/>
              <w:rPr>
                <w:sz w:val="1"/>
                <w:szCs w:val="1"/>
                <w:color w:val="auto"/>
              </w:rPr>
            </w:pPr>
          </w:p>
        </w:tc>
      </w:tr>
      <w:tr>
        <w:trPr>
          <w:trHeight w:val="207"/>
        </w:trPr>
        <w:tc>
          <w:tcPr>
            <w:tcW w:w="674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Total Investment Income</w:t>
            </w:r>
          </w:p>
        </w:tc>
        <w:tc>
          <w:tcPr>
            <w:tcW w:w="12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291,352</w:t>
            </w:r>
          </w:p>
        </w:tc>
        <w:tc>
          <w:tcPr>
            <w:tcW w:w="120" w:type="dxa"/>
            <w:vAlign w:val="bottom"/>
            <w:tcBorders>
              <w:bottom w:val="single" w:sz="8" w:color="CCEEFF"/>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251,763</w:t>
            </w:r>
          </w:p>
        </w:tc>
        <w:tc>
          <w:tcPr>
            <w:tcW w:w="0" w:type="dxa"/>
            <w:vAlign w:val="bottom"/>
          </w:tcPr>
          <w:p>
            <w:pPr>
              <w:spacing w:after="0"/>
              <w:rPr>
                <w:sz w:val="1"/>
                <w:szCs w:val="1"/>
                <w:color w:val="auto"/>
              </w:rPr>
            </w:pPr>
          </w:p>
        </w:tc>
      </w:tr>
      <w:tr>
        <w:trPr>
          <w:trHeight w:val="212"/>
        </w:trPr>
        <w:tc>
          <w:tcPr>
            <w:tcW w:w="67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OPERATING EXPENSES</w:t>
            </w:r>
          </w:p>
        </w:tc>
        <w:tc>
          <w:tcPr>
            <w:tcW w:w="1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740" w:type="dxa"/>
            <w:vAlign w:val="bottom"/>
          </w:tcPr>
          <w:p>
            <w:pPr>
              <w:ind w:left="20"/>
              <w:spacing w:after="0"/>
              <w:rPr>
                <w:sz w:val="20"/>
                <w:szCs w:val="20"/>
                <w:color w:val="auto"/>
              </w:rPr>
            </w:pPr>
            <w:r>
              <w:rPr>
                <w:rFonts w:ascii="Arial" w:cs="Arial" w:eastAsia="Arial" w:hAnsi="Arial"/>
                <w:sz w:val="16"/>
                <w:szCs w:val="16"/>
                <w:color w:val="auto"/>
              </w:rPr>
              <w:t>Compensation expense</w:t>
            </w:r>
          </w:p>
        </w:tc>
        <w:tc>
          <w:tcPr>
            <w:tcW w:w="1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1,293,310</w:t>
            </w: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924,916</w:t>
            </w:r>
          </w:p>
        </w:tc>
        <w:tc>
          <w:tcPr>
            <w:tcW w:w="0" w:type="dxa"/>
            <w:vAlign w:val="bottom"/>
          </w:tcPr>
          <w:p>
            <w:pPr>
              <w:spacing w:after="0"/>
              <w:rPr>
                <w:sz w:val="1"/>
                <w:szCs w:val="1"/>
                <w:color w:val="auto"/>
              </w:rPr>
            </w:pPr>
          </w:p>
        </w:tc>
      </w:tr>
      <w:tr>
        <w:trPr>
          <w:trHeight w:val="219"/>
        </w:trPr>
        <w:tc>
          <w:tcPr>
            <w:tcW w:w="6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Directors’ fees</w:t>
            </w:r>
          </w:p>
        </w:tc>
        <w:tc>
          <w:tcPr>
            <w:tcW w:w="1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111,250</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111,250</w:t>
            </w:r>
          </w:p>
        </w:tc>
        <w:tc>
          <w:tcPr>
            <w:tcW w:w="0" w:type="dxa"/>
            <w:vAlign w:val="bottom"/>
          </w:tcPr>
          <w:p>
            <w:pPr>
              <w:spacing w:after="0"/>
              <w:rPr>
                <w:sz w:val="1"/>
                <w:szCs w:val="1"/>
                <w:color w:val="auto"/>
              </w:rPr>
            </w:pPr>
          </w:p>
        </w:tc>
      </w:tr>
      <w:tr>
        <w:trPr>
          <w:trHeight w:val="213"/>
        </w:trPr>
        <w:tc>
          <w:tcPr>
            <w:tcW w:w="6740" w:type="dxa"/>
            <w:vAlign w:val="bottom"/>
          </w:tcPr>
          <w:p>
            <w:pPr>
              <w:ind w:left="20"/>
              <w:spacing w:after="0"/>
              <w:rPr>
                <w:sz w:val="20"/>
                <w:szCs w:val="20"/>
                <w:color w:val="auto"/>
              </w:rPr>
            </w:pPr>
            <w:r>
              <w:rPr>
                <w:rFonts w:ascii="Arial" w:cs="Arial" w:eastAsia="Arial" w:hAnsi="Arial"/>
                <w:sz w:val="16"/>
                <w:szCs w:val="16"/>
                <w:color w:val="auto"/>
              </w:rPr>
              <w:t>Professional fees</w:t>
            </w:r>
          </w:p>
        </w:tc>
        <w:tc>
          <w:tcPr>
            <w:tcW w:w="1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973,159</w:t>
            </w: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1,139,366</w:t>
            </w:r>
          </w:p>
        </w:tc>
        <w:tc>
          <w:tcPr>
            <w:tcW w:w="0" w:type="dxa"/>
            <w:vAlign w:val="bottom"/>
          </w:tcPr>
          <w:p>
            <w:pPr>
              <w:spacing w:after="0"/>
              <w:rPr>
                <w:sz w:val="1"/>
                <w:szCs w:val="1"/>
                <w:color w:val="auto"/>
              </w:rPr>
            </w:pPr>
          </w:p>
        </w:tc>
      </w:tr>
      <w:tr>
        <w:trPr>
          <w:trHeight w:val="219"/>
        </w:trPr>
        <w:tc>
          <w:tcPr>
            <w:tcW w:w="6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expense</w:t>
            </w:r>
          </w:p>
        </w:tc>
        <w:tc>
          <w:tcPr>
            <w:tcW w:w="1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504,793</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573,400</w:t>
            </w:r>
          </w:p>
        </w:tc>
        <w:tc>
          <w:tcPr>
            <w:tcW w:w="0" w:type="dxa"/>
            <w:vAlign w:val="bottom"/>
          </w:tcPr>
          <w:p>
            <w:pPr>
              <w:spacing w:after="0"/>
              <w:rPr>
                <w:sz w:val="1"/>
                <w:szCs w:val="1"/>
                <w:color w:val="auto"/>
              </w:rPr>
            </w:pPr>
          </w:p>
        </w:tc>
      </w:tr>
      <w:tr>
        <w:trPr>
          <w:trHeight w:val="213"/>
        </w:trPr>
        <w:tc>
          <w:tcPr>
            <w:tcW w:w="6740" w:type="dxa"/>
            <w:vAlign w:val="bottom"/>
          </w:tcPr>
          <w:p>
            <w:pPr>
              <w:ind w:left="20"/>
              <w:spacing w:after="0"/>
              <w:rPr>
                <w:sz w:val="20"/>
                <w:szCs w:val="20"/>
                <w:color w:val="auto"/>
              </w:rPr>
            </w:pPr>
            <w:r>
              <w:rPr>
                <w:rFonts w:ascii="Arial" w:cs="Arial" w:eastAsia="Arial" w:hAnsi="Arial"/>
                <w:sz w:val="16"/>
                <w:szCs w:val="16"/>
                <w:color w:val="auto"/>
              </w:rPr>
              <w:t>Income tax expense</w:t>
            </w:r>
          </w:p>
        </w:tc>
        <w:tc>
          <w:tcPr>
            <w:tcW w:w="1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2,025</w:t>
            </w: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8,665</w:t>
            </w:r>
          </w:p>
        </w:tc>
        <w:tc>
          <w:tcPr>
            <w:tcW w:w="0" w:type="dxa"/>
            <w:vAlign w:val="bottom"/>
          </w:tcPr>
          <w:p>
            <w:pPr>
              <w:spacing w:after="0"/>
              <w:rPr>
                <w:sz w:val="1"/>
                <w:szCs w:val="1"/>
                <w:color w:val="auto"/>
              </w:rPr>
            </w:pPr>
          </w:p>
        </w:tc>
      </w:tr>
      <w:tr>
        <w:trPr>
          <w:trHeight w:val="219"/>
        </w:trPr>
        <w:tc>
          <w:tcPr>
            <w:tcW w:w="6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expenses</w:t>
            </w:r>
          </w:p>
        </w:tc>
        <w:tc>
          <w:tcPr>
            <w:tcW w:w="1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241,133</w:t>
            </w:r>
          </w:p>
        </w:tc>
        <w:tc>
          <w:tcPr>
            <w:tcW w:w="120" w:type="dxa"/>
            <w:vAlign w:val="bottom"/>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498,719</w:t>
            </w:r>
          </w:p>
        </w:tc>
        <w:tc>
          <w:tcPr>
            <w:tcW w:w="0" w:type="dxa"/>
            <w:vAlign w:val="bottom"/>
          </w:tcPr>
          <w:p>
            <w:pPr>
              <w:spacing w:after="0"/>
              <w:rPr>
                <w:sz w:val="1"/>
                <w:szCs w:val="1"/>
                <w:color w:val="auto"/>
              </w:rPr>
            </w:pPr>
          </w:p>
        </w:tc>
      </w:tr>
      <w:tr>
        <w:trPr>
          <w:trHeight w:val="207"/>
        </w:trPr>
        <w:tc>
          <w:tcPr>
            <w:tcW w:w="674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Total Operating Expenses</w:t>
            </w:r>
          </w:p>
        </w:tc>
        <w:tc>
          <w:tcPr>
            <w:tcW w:w="12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3,125,670</w:t>
            </w:r>
          </w:p>
        </w:tc>
        <w:tc>
          <w:tcPr>
            <w:tcW w:w="120" w:type="dxa"/>
            <w:vAlign w:val="bottom"/>
            <w:tcBorders>
              <w:bottom w:val="single" w:sz="8" w:color="CCEEFF"/>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3,256,316</w:t>
            </w:r>
          </w:p>
        </w:tc>
        <w:tc>
          <w:tcPr>
            <w:tcW w:w="0" w:type="dxa"/>
            <w:vAlign w:val="bottom"/>
          </w:tcPr>
          <w:p>
            <w:pPr>
              <w:spacing w:after="0"/>
              <w:rPr>
                <w:sz w:val="1"/>
                <w:szCs w:val="1"/>
                <w:color w:val="auto"/>
              </w:rPr>
            </w:pPr>
          </w:p>
        </w:tc>
      </w:tr>
      <w:tr>
        <w:trPr>
          <w:trHeight w:val="213"/>
        </w:trPr>
        <w:tc>
          <w:tcPr>
            <w:tcW w:w="6740" w:type="dxa"/>
            <w:vAlign w:val="bottom"/>
            <w:shd w:val="clear" w:color="auto" w:fill="CCEEFF"/>
          </w:tcPr>
          <w:p>
            <w:pPr>
              <w:ind w:left="140"/>
              <w:spacing w:after="0"/>
              <w:rPr>
                <w:sz w:val="20"/>
                <w:szCs w:val="20"/>
                <w:color w:val="auto"/>
              </w:rPr>
            </w:pPr>
            <w:r>
              <w:rPr>
                <w:rFonts w:ascii="Arial" w:cs="Arial" w:eastAsia="Arial" w:hAnsi="Arial"/>
                <w:sz w:val="16"/>
                <w:szCs w:val="16"/>
                <w:b w:val="1"/>
                <w:bCs w:val="1"/>
                <w:color w:val="auto"/>
              </w:rPr>
              <w:t>Net Investment Loss</w:t>
            </w:r>
          </w:p>
        </w:tc>
        <w:tc>
          <w:tcPr>
            <w:tcW w:w="1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(2,834,318)</w:t>
            </w: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(3,004,553)</w:t>
            </w:r>
          </w:p>
        </w:tc>
        <w:tc>
          <w:tcPr>
            <w:tcW w:w="0" w:type="dxa"/>
            <w:vAlign w:val="bottom"/>
          </w:tcPr>
          <w:p>
            <w:pPr>
              <w:spacing w:after="0"/>
              <w:rPr>
                <w:sz w:val="1"/>
                <w:szCs w:val="1"/>
                <w:color w:val="auto"/>
              </w:rPr>
            </w:pPr>
          </w:p>
        </w:tc>
      </w:tr>
      <w:tr>
        <w:trPr>
          <w:trHeight w:val="227"/>
        </w:trPr>
        <w:tc>
          <w:tcPr>
            <w:tcW w:w="6740" w:type="dxa"/>
            <w:vAlign w:val="bottom"/>
          </w:tcPr>
          <w:p>
            <w:pPr>
              <w:ind w:left="20"/>
              <w:spacing w:after="0"/>
              <w:rPr>
                <w:sz w:val="20"/>
                <w:szCs w:val="20"/>
                <w:color w:val="auto"/>
              </w:rPr>
            </w:pPr>
            <w:r>
              <w:rPr>
                <w:rFonts w:ascii="Arial" w:cs="Arial" w:eastAsia="Arial" w:hAnsi="Arial"/>
                <w:sz w:val="16"/>
                <w:szCs w:val="16"/>
                <w:b w:val="1"/>
                <w:bCs w:val="1"/>
                <w:color w:val="auto"/>
              </w:rPr>
              <w:t>Realized Gain on Investments:</w:t>
            </w:r>
          </w:p>
        </w:tc>
        <w:tc>
          <w:tcPr>
            <w:tcW w:w="1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6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Non-controlled/non-affiliated investments</w:t>
            </w:r>
          </w:p>
        </w:tc>
        <w:tc>
          <w:tcPr>
            <w:tcW w:w="1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112,152,518</w:t>
            </w:r>
          </w:p>
        </w:tc>
        <w:tc>
          <w:tcPr>
            <w:tcW w:w="120" w:type="dxa"/>
            <w:vAlign w:val="bottom"/>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6,978,240</w:t>
            </w:r>
          </w:p>
        </w:tc>
        <w:tc>
          <w:tcPr>
            <w:tcW w:w="0" w:type="dxa"/>
            <w:vAlign w:val="bottom"/>
          </w:tcPr>
          <w:p>
            <w:pPr>
              <w:spacing w:after="0"/>
              <w:rPr>
                <w:sz w:val="1"/>
                <w:szCs w:val="1"/>
                <w:color w:val="auto"/>
              </w:rPr>
            </w:pPr>
          </w:p>
        </w:tc>
      </w:tr>
      <w:tr>
        <w:trPr>
          <w:trHeight w:val="207"/>
        </w:trPr>
        <w:tc>
          <w:tcPr>
            <w:tcW w:w="6740" w:type="dxa"/>
            <w:vAlign w:val="bottom"/>
          </w:tcPr>
          <w:p>
            <w:pPr>
              <w:ind w:left="140"/>
              <w:spacing w:after="0"/>
              <w:rPr>
                <w:sz w:val="20"/>
                <w:szCs w:val="20"/>
                <w:color w:val="auto"/>
              </w:rPr>
            </w:pPr>
            <w:r>
              <w:rPr>
                <w:rFonts w:ascii="Arial" w:cs="Arial" w:eastAsia="Arial" w:hAnsi="Arial"/>
                <w:sz w:val="16"/>
                <w:szCs w:val="16"/>
                <w:b w:val="1"/>
                <w:bCs w:val="1"/>
                <w:color w:val="auto"/>
              </w:rPr>
              <w:t>Net Realized Gain on Investments</w:t>
            </w:r>
          </w:p>
        </w:tc>
        <w:tc>
          <w:tcPr>
            <w:tcW w:w="12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w w:val="89"/>
              </w:rPr>
              <w:t>112,152,518</w:t>
            </w: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6,978,240</w:t>
            </w:r>
          </w:p>
        </w:tc>
        <w:tc>
          <w:tcPr>
            <w:tcW w:w="0" w:type="dxa"/>
            <w:vAlign w:val="bottom"/>
          </w:tcPr>
          <w:p>
            <w:pPr>
              <w:spacing w:after="0"/>
              <w:rPr>
                <w:sz w:val="1"/>
                <w:szCs w:val="1"/>
                <w:color w:val="auto"/>
              </w:rPr>
            </w:pPr>
          </w:p>
        </w:tc>
      </w:tr>
      <w:tr>
        <w:trPr>
          <w:trHeight w:val="219"/>
        </w:trPr>
        <w:tc>
          <w:tcPr>
            <w:tcW w:w="67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Change in Unrealized Appreciation/(Depreciation) of Investments:</w:t>
            </w:r>
          </w:p>
        </w:tc>
        <w:tc>
          <w:tcPr>
            <w:tcW w:w="1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740" w:type="dxa"/>
            <w:vAlign w:val="bottom"/>
          </w:tcPr>
          <w:p>
            <w:pPr>
              <w:ind w:left="20"/>
              <w:spacing w:after="0"/>
              <w:rPr>
                <w:sz w:val="20"/>
                <w:szCs w:val="20"/>
                <w:color w:val="auto"/>
              </w:rPr>
            </w:pPr>
            <w:r>
              <w:rPr>
                <w:rFonts w:ascii="Arial" w:cs="Arial" w:eastAsia="Arial" w:hAnsi="Arial"/>
                <w:sz w:val="16"/>
                <w:szCs w:val="16"/>
                <w:color w:val="auto"/>
              </w:rPr>
              <w:t>Non-controlled/non-affiliated investments</w:t>
            </w:r>
          </w:p>
        </w:tc>
        <w:tc>
          <w:tcPr>
            <w:tcW w:w="1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(3,265,307)</w:t>
            </w: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w w:val="92"/>
              </w:rPr>
              <w:t>(17,544,822)</w:t>
            </w:r>
          </w:p>
        </w:tc>
        <w:tc>
          <w:tcPr>
            <w:tcW w:w="0" w:type="dxa"/>
            <w:vAlign w:val="bottom"/>
          </w:tcPr>
          <w:p>
            <w:pPr>
              <w:spacing w:after="0"/>
              <w:rPr>
                <w:sz w:val="1"/>
                <w:szCs w:val="1"/>
                <w:color w:val="auto"/>
              </w:rPr>
            </w:pPr>
          </w:p>
        </w:tc>
      </w:tr>
      <w:tr>
        <w:trPr>
          <w:trHeight w:val="219"/>
        </w:trPr>
        <w:tc>
          <w:tcPr>
            <w:tcW w:w="6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Non-controlled/affiliate investments</w:t>
            </w:r>
          </w:p>
        </w:tc>
        <w:tc>
          <w:tcPr>
            <w:tcW w:w="1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1,844,470</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2"/>
              </w:rPr>
              <w:t>(10,075,414)</w:t>
            </w:r>
          </w:p>
        </w:tc>
        <w:tc>
          <w:tcPr>
            <w:tcW w:w="0" w:type="dxa"/>
            <w:vAlign w:val="bottom"/>
          </w:tcPr>
          <w:p>
            <w:pPr>
              <w:spacing w:after="0"/>
              <w:rPr>
                <w:sz w:val="1"/>
                <w:szCs w:val="1"/>
                <w:color w:val="auto"/>
              </w:rPr>
            </w:pPr>
          </w:p>
        </w:tc>
      </w:tr>
      <w:tr>
        <w:trPr>
          <w:trHeight w:val="213"/>
        </w:trPr>
        <w:tc>
          <w:tcPr>
            <w:tcW w:w="67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Controlled investments</w:t>
            </w:r>
          </w:p>
        </w:tc>
        <w:tc>
          <w:tcPr>
            <w:tcW w:w="1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105,000</w:t>
            </w:r>
          </w:p>
        </w:tc>
        <w:tc>
          <w:tcPr>
            <w:tcW w:w="12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(45,698)</w:t>
            </w:r>
          </w:p>
        </w:tc>
        <w:tc>
          <w:tcPr>
            <w:tcW w:w="0" w:type="dxa"/>
            <w:vAlign w:val="bottom"/>
          </w:tcPr>
          <w:p>
            <w:pPr>
              <w:spacing w:after="0"/>
              <w:rPr>
                <w:sz w:val="1"/>
                <w:szCs w:val="1"/>
                <w:color w:val="auto"/>
              </w:rPr>
            </w:pPr>
          </w:p>
        </w:tc>
      </w:tr>
      <w:tr>
        <w:trPr>
          <w:trHeight w:val="209"/>
        </w:trPr>
        <w:tc>
          <w:tcPr>
            <w:tcW w:w="6740" w:type="dxa"/>
            <w:vAlign w:val="bottom"/>
            <w:shd w:val="clear" w:color="auto" w:fill="CCEEFF"/>
          </w:tcPr>
          <w:p>
            <w:pPr>
              <w:ind w:left="220"/>
              <w:spacing w:after="0"/>
              <w:rPr>
                <w:sz w:val="20"/>
                <w:szCs w:val="20"/>
                <w:color w:val="auto"/>
              </w:rPr>
            </w:pPr>
            <w:r>
              <w:rPr>
                <w:rFonts w:ascii="Arial" w:cs="Arial" w:eastAsia="Arial" w:hAnsi="Arial"/>
                <w:sz w:val="16"/>
                <w:szCs w:val="16"/>
                <w:b w:val="1"/>
                <w:bCs w:val="1"/>
                <w:color w:val="auto"/>
              </w:rPr>
              <w:t>Net Change in Unrealized Appreciation/(Depreciation) of Investments</w:t>
            </w:r>
          </w:p>
        </w:tc>
        <w:tc>
          <w:tcPr>
            <w:tcW w:w="12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(1,315,837)</w:t>
            </w:r>
          </w:p>
        </w:tc>
        <w:tc>
          <w:tcPr>
            <w:tcW w:w="120" w:type="dxa"/>
            <w:vAlign w:val="bottom"/>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2"/>
              </w:rPr>
              <w:t>(27,665,934)</w:t>
            </w:r>
          </w:p>
        </w:tc>
        <w:tc>
          <w:tcPr>
            <w:tcW w:w="0" w:type="dxa"/>
            <w:vAlign w:val="bottom"/>
          </w:tcPr>
          <w:p>
            <w:pPr>
              <w:spacing w:after="0"/>
              <w:rPr>
                <w:sz w:val="1"/>
                <w:szCs w:val="1"/>
                <w:color w:val="auto"/>
              </w:rPr>
            </w:pPr>
          </w:p>
        </w:tc>
      </w:tr>
      <w:tr>
        <w:trPr>
          <w:trHeight w:val="213"/>
        </w:trPr>
        <w:tc>
          <w:tcPr>
            <w:tcW w:w="6740" w:type="dxa"/>
            <w:vAlign w:val="bottom"/>
          </w:tcPr>
          <w:p>
            <w:pPr>
              <w:ind w:left="220"/>
              <w:spacing w:after="0"/>
              <w:rPr>
                <w:sz w:val="20"/>
                <w:szCs w:val="20"/>
                <w:color w:val="auto"/>
              </w:rPr>
            </w:pPr>
            <w:r>
              <w:rPr>
                <w:rFonts w:ascii="Arial" w:cs="Arial" w:eastAsia="Arial" w:hAnsi="Arial"/>
                <w:sz w:val="16"/>
                <w:szCs w:val="16"/>
                <w:b w:val="1"/>
                <w:bCs w:val="1"/>
                <w:color w:val="auto"/>
              </w:rPr>
              <w:t>Net Change in Net Assets Resulting from Operations</w:t>
            </w:r>
          </w:p>
        </w:tc>
        <w:tc>
          <w:tcPr>
            <w:tcW w:w="1220" w:type="dxa"/>
            <w:vAlign w:val="bottom"/>
            <w:tcBorders>
              <w:bottom w:val="single" w:sz="8" w:color="auto"/>
            </w:tcBorders>
          </w:tcPr>
          <w:p>
            <w:pPr>
              <w:jc w:val="right"/>
              <w:ind w:right="1042"/>
              <w:spacing w:after="0"/>
              <w:rPr>
                <w:sz w:val="20"/>
                <w:szCs w:val="20"/>
                <w:color w:val="auto"/>
              </w:rPr>
            </w:pPr>
            <w:r>
              <w:rPr>
                <w:rFonts w:ascii="Arial" w:cs="Arial" w:eastAsia="Arial" w:hAnsi="Arial"/>
                <w:sz w:val="16"/>
                <w:szCs w:val="16"/>
                <w:b w:val="1"/>
                <w:bCs w:val="1"/>
                <w:color w:val="auto"/>
                <w:w w:val="8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108,002,363</w:t>
            </w:r>
          </w:p>
        </w:tc>
        <w:tc>
          <w:tcPr>
            <w:tcW w:w="120" w:type="dxa"/>
            <w:vAlign w:val="bottom"/>
          </w:tcPr>
          <w:p>
            <w:pPr>
              <w:spacing w:after="0"/>
              <w:rPr>
                <w:sz w:val="18"/>
                <w:szCs w:val="18"/>
                <w:color w:val="auto"/>
              </w:rPr>
            </w:pPr>
          </w:p>
        </w:tc>
        <w:tc>
          <w:tcPr>
            <w:tcW w:w="1220" w:type="dxa"/>
            <w:vAlign w:val="bottom"/>
            <w:tcBorders>
              <w:bottom w:val="single" w:sz="8" w:color="auto"/>
            </w:tcBorders>
          </w:tcPr>
          <w:p>
            <w:pPr>
              <w:jc w:val="right"/>
              <w:ind w:right="1041"/>
              <w:spacing w:after="0"/>
              <w:rPr>
                <w:sz w:val="20"/>
                <w:szCs w:val="20"/>
                <w:color w:val="auto"/>
              </w:rPr>
            </w:pPr>
            <w:r>
              <w:rPr>
                <w:rFonts w:ascii="Arial" w:cs="Arial" w:eastAsia="Arial" w:hAnsi="Arial"/>
                <w:sz w:val="16"/>
                <w:szCs w:val="16"/>
                <w:b w:val="1"/>
                <w:bCs w:val="1"/>
                <w:color w:val="auto"/>
                <w:w w:val="8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92"/>
              </w:rPr>
              <w:t>(23,692,247)</w:t>
            </w:r>
          </w:p>
        </w:tc>
        <w:tc>
          <w:tcPr>
            <w:tcW w:w="0" w:type="dxa"/>
            <w:vAlign w:val="bottom"/>
          </w:tcPr>
          <w:p>
            <w:pPr>
              <w:spacing w:after="0"/>
              <w:rPr>
                <w:sz w:val="1"/>
                <w:szCs w:val="1"/>
                <w:color w:val="auto"/>
              </w:rPr>
            </w:pPr>
          </w:p>
        </w:tc>
      </w:tr>
      <w:tr>
        <w:trPr>
          <w:trHeight w:val="20"/>
        </w:trPr>
        <w:tc>
          <w:tcPr>
            <w:tcW w:w="674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740" w:type="dxa"/>
            <w:vAlign w:val="bottom"/>
            <w:shd w:val="clear" w:color="auto" w:fill="CCEEFF"/>
          </w:tcPr>
          <w:p>
            <w:pPr>
              <w:ind w:left="220"/>
              <w:spacing w:after="0"/>
              <w:rPr>
                <w:sz w:val="20"/>
                <w:szCs w:val="20"/>
                <w:color w:val="auto"/>
              </w:rPr>
            </w:pPr>
            <w:r>
              <w:rPr>
                <w:rFonts w:ascii="Arial" w:cs="Arial" w:eastAsia="Arial" w:hAnsi="Arial"/>
                <w:sz w:val="16"/>
                <w:szCs w:val="16"/>
                <w:b w:val="1"/>
                <w:bCs w:val="1"/>
                <w:color w:val="auto"/>
              </w:rPr>
              <w:t>Net Change in Net Assets Resulting from Operations per Common Share:</w:t>
            </w:r>
          </w:p>
        </w:tc>
        <w:tc>
          <w:tcPr>
            <w:tcW w:w="1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740" w:type="dxa"/>
            <w:vAlign w:val="bottom"/>
          </w:tcPr>
          <w:p>
            <w:pPr>
              <w:ind w:left="340"/>
              <w:spacing w:after="0"/>
              <w:rPr>
                <w:sz w:val="20"/>
                <w:szCs w:val="20"/>
                <w:color w:val="auto"/>
              </w:rPr>
            </w:pPr>
            <w:r>
              <w:rPr>
                <w:rFonts w:ascii="Arial" w:cs="Arial" w:eastAsia="Arial" w:hAnsi="Arial"/>
                <w:sz w:val="16"/>
                <w:szCs w:val="16"/>
                <w:color w:val="auto"/>
              </w:rPr>
              <w:t>Basic</w:t>
            </w:r>
          </w:p>
        </w:tc>
        <w:tc>
          <w:tcPr>
            <w:tcW w:w="1220" w:type="dxa"/>
            <w:vAlign w:val="bottom"/>
            <w:tcBorders>
              <w:bottom w:val="single" w:sz="8" w:color="auto"/>
            </w:tcBorders>
          </w:tcPr>
          <w:p>
            <w:pPr>
              <w:jc w:val="right"/>
              <w:ind w:right="1042"/>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5.27</w:t>
            </w:r>
          </w:p>
        </w:tc>
        <w:tc>
          <w:tcPr>
            <w:tcW w:w="120" w:type="dxa"/>
            <w:vAlign w:val="bottom"/>
          </w:tcPr>
          <w:p>
            <w:pPr>
              <w:spacing w:after="0"/>
              <w:rPr>
                <w:sz w:val="18"/>
                <w:szCs w:val="18"/>
                <w:color w:val="auto"/>
              </w:rPr>
            </w:pPr>
          </w:p>
        </w:tc>
        <w:tc>
          <w:tcPr>
            <w:tcW w:w="1220" w:type="dxa"/>
            <w:vAlign w:val="bottom"/>
            <w:tcBorders>
              <w:bottom w:val="single" w:sz="8" w:color="auto"/>
            </w:tcBorders>
          </w:tcPr>
          <w:p>
            <w:pPr>
              <w:jc w:val="right"/>
              <w:ind w:right="1041"/>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(1.36)</w:t>
            </w:r>
          </w:p>
        </w:tc>
        <w:tc>
          <w:tcPr>
            <w:tcW w:w="0" w:type="dxa"/>
            <w:vAlign w:val="bottom"/>
          </w:tcPr>
          <w:p>
            <w:pPr>
              <w:spacing w:after="0"/>
              <w:rPr>
                <w:sz w:val="1"/>
                <w:szCs w:val="1"/>
                <w:color w:val="auto"/>
              </w:rPr>
            </w:pPr>
          </w:p>
        </w:tc>
      </w:tr>
      <w:tr>
        <w:trPr>
          <w:trHeight w:val="20"/>
        </w:trPr>
        <w:tc>
          <w:tcPr>
            <w:tcW w:w="674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740" w:type="dxa"/>
            <w:vAlign w:val="bottom"/>
            <w:tcBorders>
              <w:bottom w:val="single" w:sz="8" w:color="CCEEFF"/>
            </w:tcBorders>
            <w:shd w:val="clear" w:color="auto" w:fill="CCEEFF"/>
          </w:tcPr>
          <w:p>
            <w:pPr>
              <w:ind w:left="340"/>
              <w:spacing w:after="0" w:line="210" w:lineRule="exact"/>
              <w:rPr>
                <w:sz w:val="20"/>
                <w:szCs w:val="20"/>
                <w:color w:val="auto"/>
              </w:rPr>
            </w:pPr>
            <w:r>
              <w:rPr>
                <w:rFonts w:ascii="Arial" w:cs="Arial" w:eastAsia="Arial" w:hAnsi="Arial"/>
                <w:sz w:val="16"/>
                <w:szCs w:val="16"/>
                <w:color w:val="auto"/>
              </w:rPr>
              <w:t>Diluted</w:t>
            </w:r>
            <w:r>
              <w:rPr>
                <w:rFonts w:ascii="Arial" w:cs="Arial" w:eastAsia="Arial" w:hAnsi="Arial"/>
                <w:sz w:val="21"/>
                <w:szCs w:val="21"/>
                <w:color w:val="auto"/>
                <w:vertAlign w:val="superscript"/>
              </w:rPr>
              <w:t>(1)</w:t>
            </w:r>
          </w:p>
        </w:tc>
        <w:tc>
          <w:tcPr>
            <w:tcW w:w="1220" w:type="dxa"/>
            <w:vAlign w:val="bottom"/>
            <w:tcBorders>
              <w:bottom w:val="single" w:sz="8" w:color="auto"/>
            </w:tcBorders>
            <w:shd w:val="clear" w:color="auto" w:fill="CCEEFF"/>
          </w:tcPr>
          <w:p>
            <w:pPr>
              <w:jc w:val="right"/>
              <w:ind w:right="1042"/>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4.50</w:t>
            </w:r>
          </w:p>
        </w:tc>
        <w:tc>
          <w:tcPr>
            <w:tcW w:w="1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ind w:right="1041"/>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(1.36)</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color w:val="auto"/>
              </w:rPr>
              <w:t>Weighted-Average Common Shares Outstanding</w:t>
            </w: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6740" w:type="dxa"/>
            <w:vAlign w:val="bottom"/>
            <w:vMerge w:val="continue"/>
          </w:tcPr>
          <w:p>
            <w:pPr>
              <w:spacing w:after="0"/>
              <w:rPr>
                <w:sz w:val="13"/>
                <w:szCs w:val="13"/>
                <w:color w:val="auto"/>
              </w:rPr>
            </w:pPr>
          </w:p>
        </w:tc>
        <w:tc>
          <w:tcPr>
            <w:tcW w:w="1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67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Basic</w:t>
            </w:r>
          </w:p>
        </w:tc>
        <w:tc>
          <w:tcPr>
            <w:tcW w:w="1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20,486,621</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17,440,994</w:t>
            </w:r>
          </w:p>
        </w:tc>
        <w:tc>
          <w:tcPr>
            <w:tcW w:w="0" w:type="dxa"/>
            <w:vAlign w:val="bottom"/>
          </w:tcPr>
          <w:p>
            <w:pPr>
              <w:spacing w:after="0"/>
              <w:rPr>
                <w:sz w:val="1"/>
                <w:szCs w:val="1"/>
                <w:color w:val="auto"/>
              </w:rPr>
            </w:pPr>
          </w:p>
        </w:tc>
      </w:tr>
      <w:tr>
        <w:trPr>
          <w:trHeight w:val="273"/>
        </w:trPr>
        <w:tc>
          <w:tcPr>
            <w:tcW w:w="6740" w:type="dxa"/>
            <w:vAlign w:val="bottom"/>
          </w:tcPr>
          <w:p>
            <w:pPr>
              <w:ind w:left="340"/>
              <w:spacing w:after="0"/>
              <w:rPr>
                <w:sz w:val="20"/>
                <w:szCs w:val="20"/>
                <w:color w:val="auto"/>
              </w:rPr>
            </w:pPr>
            <w:r>
              <w:rPr>
                <w:rFonts w:ascii="Arial" w:cs="Arial" w:eastAsia="Arial" w:hAnsi="Arial"/>
                <w:sz w:val="16"/>
                <w:szCs w:val="16"/>
                <w:color w:val="auto"/>
              </w:rPr>
              <w:t>Diluted</w:t>
            </w:r>
            <w:r>
              <w:rPr>
                <w:rFonts w:ascii="Arial" w:cs="Arial" w:eastAsia="Arial" w:hAnsi="Arial"/>
                <w:sz w:val="21"/>
                <w:szCs w:val="21"/>
                <w:color w:val="auto"/>
                <w:vertAlign w:val="superscript"/>
              </w:rPr>
              <w:t>(1)</w:t>
            </w:r>
          </w:p>
        </w:tc>
        <w:tc>
          <w:tcPr>
            <w:tcW w:w="12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w w:val="99"/>
              </w:rPr>
              <w:t>24,123,339</w:t>
            </w:r>
          </w:p>
        </w:tc>
        <w:tc>
          <w:tcPr>
            <w:tcW w:w="12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w w:val="99"/>
              </w:rPr>
              <w:t>17,440,994</w:t>
            </w:r>
          </w:p>
        </w:tc>
        <w:tc>
          <w:tcPr>
            <w:tcW w:w="0" w:type="dxa"/>
            <w:vAlign w:val="bottom"/>
          </w:tcPr>
          <w:p>
            <w:pPr>
              <w:spacing w:after="0"/>
              <w:rPr>
                <w:sz w:val="1"/>
                <w:szCs w:val="1"/>
                <w:color w:val="auto"/>
              </w:rPr>
            </w:pPr>
          </w:p>
        </w:tc>
      </w:tr>
    </w:tbl>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14"/>
          <w:szCs w:val="14"/>
          <w:i w:val="1"/>
          <w:iCs w:val="1"/>
          <w:color w:val="auto"/>
        </w:rPr>
        <w:t>See accompanying notes to condensed consolidated financial statements.</w:t>
      </w:r>
    </w:p>
    <w:p>
      <w:pPr>
        <w:spacing w:after="0" w:line="251" w:lineRule="exact"/>
        <w:rPr>
          <w:sz w:val="20"/>
          <w:szCs w:val="20"/>
          <w:color w:val="auto"/>
        </w:rPr>
      </w:pPr>
    </w:p>
    <w:p>
      <w:pPr>
        <w:spacing w:after="0"/>
        <w:rPr>
          <w:sz w:val="20"/>
          <w:szCs w:val="20"/>
          <w:color w:val="auto"/>
        </w:rPr>
      </w:pPr>
      <w:r>
        <w:rPr>
          <w:rFonts w:ascii="Arial" w:cs="Arial" w:eastAsia="Arial" w:hAnsi="Arial"/>
          <w:sz w:val="4"/>
          <w:szCs w:val="4"/>
          <w:color w:val="auto"/>
        </w:rPr>
        <w:t>____________________________________________________________________________________________________________________________</w:t>
      </w:r>
    </w:p>
    <w:p>
      <w:pPr>
        <w:jc w:val="both"/>
        <w:ind w:left="340" w:hanging="332"/>
        <w:spacing w:after="0" w:line="248" w:lineRule="auto"/>
        <w:tabs>
          <w:tab w:leader="none" w:pos="331" w:val="left"/>
        </w:tabs>
        <w:numPr>
          <w:ilvl w:val="0"/>
          <w:numId w:val="3"/>
        </w:numPr>
        <w:rPr>
          <w:rFonts w:ascii="Arial" w:cs="Arial" w:eastAsia="Arial" w:hAnsi="Arial"/>
          <w:sz w:val="14"/>
          <w:szCs w:val="14"/>
          <w:color w:val="auto"/>
        </w:rPr>
      </w:pPr>
      <w:r>
        <w:rPr>
          <w:rFonts w:ascii="Arial" w:cs="Arial" w:eastAsia="Arial" w:hAnsi="Arial"/>
          <w:sz w:val="14"/>
          <w:szCs w:val="14"/>
          <w:color w:val="auto"/>
        </w:rPr>
        <w:t>For the three months ended March 31, 2021 and 2020, 0 and 3,917,792 potentially dilutive common shares were excluded from the weighted-average common shares outstanding for diluted net increase in net assets resulting from operations per common share because the effect of these shares would have been anti-dilutive. Refer to “Note 6—Net Change in Net Assets Resulting from Operations per Common Share—Basic and Diluted”.</w:t>
      </w: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122" w:right="339" w:bottom="1440" w:gutter="0" w:footer="0" w:header="0"/>
        </w:sectPr>
      </w:pPr>
    </w:p>
    <w:bookmarkStart w:id="4" w:name="page5"/>
    <w:bookmarkEnd w:id="4"/>
    <w:p>
      <w:pPr>
        <w:spacing w:after="0"/>
        <w:rPr>
          <w:rFonts w:ascii="Arial" w:cs="Arial" w:eastAsia="Arial" w:hAnsi="Arial"/>
          <w:sz w:val="14"/>
          <w:szCs w:val="14"/>
          <w:color w:val="0000FF"/>
        </w:rPr>
      </w:pPr>
      <w:hyperlink w:anchor="page1">
        <w:r>
          <w:rPr>
            <w:rFonts w:ascii="Arial" w:cs="Arial" w:eastAsia="Arial" w:hAnsi="Arial"/>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SURO CAPITAL CORP. AND SUBSIDIARIES</w:t>
      </w:r>
    </w:p>
    <w:p>
      <w:pPr>
        <w:spacing w:after="0" w:line="27"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CONDENSED CONSOLIDATED STATEMENTS OF CHANGES IN NET ASSETS (UNAUDITED)</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84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3440" w:type="dxa"/>
            <w:vAlign w:val="bottom"/>
            <w:tcBorders>
              <w:bottom w:val="single" w:sz="8" w:color="auto"/>
            </w:tcBorders>
            <w:gridSpan w:val="4"/>
          </w:tcPr>
          <w:p>
            <w:pPr>
              <w:jc w:val="right"/>
              <w:ind w:right="879"/>
              <w:spacing w:after="0"/>
              <w:rPr>
                <w:sz w:val="20"/>
                <w:szCs w:val="20"/>
                <w:color w:val="auto"/>
              </w:rPr>
            </w:pPr>
            <w:r>
              <w:rPr>
                <w:rFonts w:ascii="Arial" w:cs="Arial" w:eastAsia="Arial" w:hAnsi="Arial"/>
                <w:sz w:val="14"/>
                <w:szCs w:val="14"/>
                <w:b w:val="1"/>
                <w:bCs w:val="1"/>
                <w:color w:val="auto"/>
              </w:rPr>
              <w:t>Three Months Ended March 31,</w:t>
            </w:r>
          </w:p>
        </w:tc>
      </w:tr>
      <w:tr>
        <w:trPr>
          <w:trHeight w:val="187"/>
        </w:trPr>
        <w:tc>
          <w:tcPr>
            <w:tcW w:w="684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720"/>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719"/>
              <w:spacing w:after="0"/>
              <w:rPr>
                <w:sz w:val="20"/>
                <w:szCs w:val="20"/>
                <w:color w:val="auto"/>
              </w:rPr>
            </w:pPr>
            <w:r>
              <w:rPr>
                <w:rFonts w:ascii="Arial" w:cs="Arial" w:eastAsia="Arial" w:hAnsi="Arial"/>
                <w:sz w:val="14"/>
                <w:szCs w:val="14"/>
                <w:b w:val="1"/>
                <w:bCs w:val="1"/>
                <w:color w:val="auto"/>
              </w:rPr>
              <w:t>2020</w:t>
            </w:r>
          </w:p>
        </w:tc>
      </w:tr>
      <w:tr>
        <w:trPr>
          <w:trHeight w:val="197"/>
        </w:trPr>
        <w:tc>
          <w:tcPr>
            <w:tcW w:w="68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Change in Net Assets Resulting from Operations</w:t>
            </w:r>
          </w:p>
        </w:tc>
        <w:tc>
          <w:tcPr>
            <w:tcW w:w="46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r>
      <w:tr>
        <w:trPr>
          <w:trHeight w:val="213"/>
        </w:trPr>
        <w:tc>
          <w:tcPr>
            <w:tcW w:w="6840" w:type="dxa"/>
            <w:vAlign w:val="bottom"/>
          </w:tcPr>
          <w:p>
            <w:pPr>
              <w:ind w:left="140"/>
              <w:spacing w:after="0"/>
              <w:rPr>
                <w:sz w:val="20"/>
                <w:szCs w:val="20"/>
                <w:color w:val="auto"/>
              </w:rPr>
            </w:pPr>
            <w:r>
              <w:rPr>
                <w:rFonts w:ascii="Arial" w:cs="Arial" w:eastAsia="Arial" w:hAnsi="Arial"/>
                <w:sz w:val="16"/>
                <w:szCs w:val="16"/>
                <w:color w:val="auto"/>
              </w:rPr>
              <w:t>Net investment loss</w:t>
            </w: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(2,834,318)</w:t>
            </w:r>
          </w:p>
        </w:tc>
        <w:tc>
          <w:tcPr>
            <w:tcW w:w="100" w:type="dxa"/>
            <w:vAlign w:val="bottom"/>
          </w:tcPr>
          <w:p>
            <w:pPr>
              <w:spacing w:after="0"/>
              <w:rPr>
                <w:sz w:val="18"/>
                <w:szCs w:val="18"/>
                <w:color w:val="auto"/>
              </w:rPr>
            </w:pP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(3,004,553)</w:t>
            </w:r>
          </w:p>
        </w:tc>
      </w:tr>
      <w:tr>
        <w:trPr>
          <w:trHeight w:val="219"/>
        </w:trPr>
        <w:tc>
          <w:tcPr>
            <w:tcW w:w="68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Net realized gains on investments</w:t>
            </w:r>
          </w:p>
        </w:tc>
        <w:tc>
          <w:tcPr>
            <w:tcW w:w="4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112,152,518</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6,978,240</w:t>
            </w:r>
          </w:p>
        </w:tc>
      </w:tr>
      <w:tr>
        <w:trPr>
          <w:trHeight w:val="213"/>
        </w:trPr>
        <w:tc>
          <w:tcPr>
            <w:tcW w:w="684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Net change in unrealized depreciation of investments</w:t>
            </w:r>
          </w:p>
        </w:tc>
        <w:tc>
          <w:tcPr>
            <w:tcW w:w="4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(1,315,837)</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(27,665,934)</w:t>
            </w:r>
          </w:p>
        </w:tc>
      </w:tr>
      <w:tr>
        <w:trPr>
          <w:trHeight w:val="213"/>
        </w:trPr>
        <w:tc>
          <w:tcPr>
            <w:tcW w:w="6840" w:type="dxa"/>
            <w:vAlign w:val="bottom"/>
            <w:shd w:val="clear" w:color="auto" w:fill="CCEEFF"/>
          </w:tcPr>
          <w:p>
            <w:pPr>
              <w:ind w:left="220"/>
              <w:spacing w:after="0"/>
              <w:rPr>
                <w:sz w:val="20"/>
                <w:szCs w:val="20"/>
                <w:color w:val="auto"/>
              </w:rPr>
            </w:pPr>
            <w:r>
              <w:rPr>
                <w:rFonts w:ascii="Arial" w:cs="Arial" w:eastAsia="Arial" w:hAnsi="Arial"/>
                <w:sz w:val="16"/>
                <w:szCs w:val="16"/>
                <w:b w:val="1"/>
                <w:bCs w:val="1"/>
                <w:color w:val="auto"/>
              </w:rPr>
              <w:t>Net Change in Net Assets Resulting from Operations</w:t>
            </w:r>
          </w:p>
        </w:tc>
        <w:tc>
          <w:tcPr>
            <w:tcW w:w="46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108,002,363</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(23,692,247)</w:t>
            </w:r>
          </w:p>
        </w:tc>
      </w:tr>
      <w:tr>
        <w:trPr>
          <w:trHeight w:val="213"/>
        </w:trPr>
        <w:tc>
          <w:tcPr>
            <w:tcW w:w="6840" w:type="dxa"/>
            <w:vAlign w:val="bottom"/>
          </w:tcPr>
          <w:p>
            <w:pPr>
              <w:ind w:left="20"/>
              <w:spacing w:after="0"/>
              <w:rPr>
                <w:sz w:val="20"/>
                <w:szCs w:val="20"/>
                <w:color w:val="auto"/>
              </w:rPr>
            </w:pPr>
            <w:r>
              <w:rPr>
                <w:rFonts w:ascii="Arial" w:cs="Arial" w:eastAsia="Arial" w:hAnsi="Arial"/>
                <w:sz w:val="16"/>
                <w:szCs w:val="16"/>
                <w:b w:val="1"/>
                <w:bCs w:val="1"/>
                <w:color w:val="auto"/>
              </w:rPr>
              <w:t>Distributions</w:t>
            </w:r>
          </w:p>
        </w:tc>
        <w:tc>
          <w:tcPr>
            <w:tcW w:w="4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29"/>
        </w:trPr>
        <w:tc>
          <w:tcPr>
            <w:tcW w:w="68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Dividends declared</w:t>
            </w:r>
          </w:p>
        </w:tc>
        <w:tc>
          <w:tcPr>
            <w:tcW w:w="4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(11,032,436)</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0"/>
        </w:trPr>
        <w:tc>
          <w:tcPr>
            <w:tcW w:w="6840" w:type="dxa"/>
            <w:vAlign w:val="bottom"/>
          </w:tcPr>
          <w:p>
            <w:pPr>
              <w:ind w:left="220"/>
              <w:spacing w:after="0"/>
              <w:rPr>
                <w:sz w:val="20"/>
                <w:szCs w:val="20"/>
                <w:color w:val="auto"/>
              </w:rPr>
            </w:pPr>
            <w:r>
              <w:rPr>
                <w:rFonts w:ascii="Arial" w:cs="Arial" w:eastAsia="Arial" w:hAnsi="Arial"/>
                <w:sz w:val="16"/>
                <w:szCs w:val="16"/>
                <w:b w:val="1"/>
                <w:bCs w:val="1"/>
                <w:color w:val="auto"/>
              </w:rPr>
              <w:t>Total Distributions</w:t>
            </w:r>
          </w:p>
        </w:tc>
        <w:tc>
          <w:tcPr>
            <w:tcW w:w="4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(11,032,436)</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32"/>
        </w:trPr>
        <w:tc>
          <w:tcPr>
            <w:tcW w:w="68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Change in Net Assets Resulting from Capital Transactions</w:t>
            </w:r>
          </w:p>
        </w:tc>
        <w:tc>
          <w:tcPr>
            <w:tcW w:w="46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r>
      <w:tr>
        <w:trPr>
          <w:trHeight w:val="213"/>
        </w:trPr>
        <w:tc>
          <w:tcPr>
            <w:tcW w:w="6840" w:type="dxa"/>
            <w:vAlign w:val="bottom"/>
          </w:tcPr>
          <w:p>
            <w:pPr>
              <w:ind w:left="140"/>
              <w:spacing w:after="0"/>
              <w:rPr>
                <w:sz w:val="20"/>
                <w:szCs w:val="20"/>
                <w:color w:val="auto"/>
              </w:rPr>
            </w:pPr>
            <w:r>
              <w:rPr>
                <w:rFonts w:ascii="Arial" w:cs="Arial" w:eastAsia="Arial" w:hAnsi="Arial"/>
                <w:sz w:val="16"/>
                <w:szCs w:val="16"/>
                <w:color w:val="auto"/>
              </w:rPr>
              <w:t>Issuance of common stock from conversion of 4.75% Convertible Notes due 2023</w:t>
            </w:r>
          </w:p>
        </w:tc>
        <w:tc>
          <w:tcPr>
            <w:tcW w:w="4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37,259,819</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68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Stock-based compensation</w:t>
            </w:r>
          </w:p>
        </w:tc>
        <w:tc>
          <w:tcPr>
            <w:tcW w:w="4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148,802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7"/>
        </w:trPr>
        <w:tc>
          <w:tcPr>
            <w:tcW w:w="6840" w:type="dxa"/>
            <w:vAlign w:val="bottom"/>
          </w:tcPr>
          <w:p>
            <w:pPr>
              <w:ind w:left="140"/>
              <w:spacing w:after="0"/>
              <w:rPr>
                <w:sz w:val="20"/>
                <w:szCs w:val="20"/>
                <w:color w:val="auto"/>
              </w:rPr>
            </w:pPr>
            <w:r>
              <w:rPr>
                <w:rFonts w:ascii="Arial" w:cs="Arial" w:eastAsia="Arial" w:hAnsi="Arial"/>
                <w:sz w:val="16"/>
                <w:szCs w:val="16"/>
                <w:color w:val="auto"/>
              </w:rPr>
              <w:t>Repurchases of common stock</w:t>
            </w:r>
          </w:p>
        </w:tc>
        <w:tc>
          <w:tcPr>
            <w:tcW w:w="460" w:type="dxa"/>
            <w:vAlign w:val="bottom"/>
          </w:tcPr>
          <w:p>
            <w:pPr>
              <w:spacing w:after="0"/>
              <w:rPr>
                <w:sz w:val="17"/>
                <w:szCs w:val="17"/>
                <w:color w:val="auto"/>
              </w:rPr>
            </w:pPr>
          </w:p>
        </w:tc>
        <w:tc>
          <w:tcPr>
            <w:tcW w:w="15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(3,709,244)</w:t>
            </w:r>
          </w:p>
        </w:tc>
      </w:tr>
      <w:tr>
        <w:trPr>
          <w:trHeight w:val="212"/>
        </w:trPr>
        <w:tc>
          <w:tcPr>
            <w:tcW w:w="684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6"/>
                <w:szCs w:val="16"/>
                <w:b w:val="1"/>
                <w:bCs w:val="1"/>
                <w:color w:val="auto"/>
              </w:rPr>
              <w:t>Net Increase/(Decrease) in Net Assets Resulting from Capital Transactions</w:t>
            </w:r>
          </w:p>
        </w:tc>
        <w:tc>
          <w:tcPr>
            <w:tcW w:w="460" w:type="dxa"/>
            <w:vAlign w:val="bottom"/>
            <w:tcBorders>
              <w:top w:val="single" w:sz="8" w:color="auto"/>
              <w:bottom w:val="single" w:sz="8" w:color="auto"/>
            </w:tcBorders>
            <w:shd w:val="clear" w:color="auto" w:fill="CCEEFF"/>
          </w:tcPr>
          <w:p>
            <w:pPr>
              <w:spacing w:after="0"/>
              <w:rPr>
                <w:sz w:val="18"/>
                <w:szCs w:val="18"/>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37,408,621</w:t>
            </w:r>
          </w:p>
        </w:tc>
        <w:tc>
          <w:tcPr>
            <w:tcW w:w="1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spacing w:after="0"/>
              <w:rPr>
                <w:sz w:val="18"/>
                <w:szCs w:val="18"/>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(3,709,244)</w:t>
            </w:r>
          </w:p>
        </w:tc>
      </w:tr>
      <w:tr>
        <w:trPr>
          <w:trHeight w:val="207"/>
        </w:trPr>
        <w:tc>
          <w:tcPr>
            <w:tcW w:w="6840" w:type="dxa"/>
            <w:vAlign w:val="bottom"/>
          </w:tcPr>
          <w:p>
            <w:pPr>
              <w:ind w:left="20"/>
              <w:spacing w:after="0"/>
              <w:rPr>
                <w:sz w:val="20"/>
                <w:szCs w:val="20"/>
                <w:color w:val="auto"/>
              </w:rPr>
            </w:pPr>
            <w:r>
              <w:rPr>
                <w:rFonts w:ascii="Arial" w:cs="Arial" w:eastAsia="Arial" w:hAnsi="Arial"/>
                <w:sz w:val="16"/>
                <w:szCs w:val="16"/>
                <w:b w:val="1"/>
                <w:bCs w:val="1"/>
                <w:color w:val="auto"/>
              </w:rPr>
              <w:t>Total Change in Net Assets</w:t>
            </w:r>
          </w:p>
        </w:tc>
        <w:tc>
          <w:tcPr>
            <w:tcW w:w="46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134,378,548</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(27,401,491)</w:t>
            </w:r>
          </w:p>
        </w:tc>
      </w:tr>
      <w:tr>
        <w:trPr>
          <w:trHeight w:val="233"/>
        </w:trPr>
        <w:tc>
          <w:tcPr>
            <w:tcW w:w="6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Assets at Beginning of Year</w:t>
            </w:r>
          </w:p>
        </w:tc>
        <w:tc>
          <w:tcPr>
            <w:tcW w:w="460" w:type="dxa"/>
            <w:vAlign w:val="bottom"/>
            <w:tcBorders>
              <w:bottom w:val="single" w:sz="8" w:color="auto"/>
            </w:tcBorders>
            <w:shd w:val="clear" w:color="auto" w:fill="CCEEFF"/>
          </w:tcPr>
          <w:p>
            <w:pPr>
              <w:spacing w:after="0"/>
              <w:rPr>
                <w:sz w:val="20"/>
                <w:szCs w:val="20"/>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301,583,073</w:t>
            </w:r>
          </w:p>
        </w:tc>
        <w:tc>
          <w:tcPr>
            <w:tcW w:w="100" w:type="dxa"/>
            <w:vAlign w:val="bottom"/>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spacing w:after="0"/>
              <w:rPr>
                <w:sz w:val="20"/>
                <w:szCs w:val="20"/>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199,917,289</w:t>
            </w:r>
          </w:p>
        </w:tc>
      </w:tr>
      <w:tr>
        <w:trPr>
          <w:trHeight w:val="183"/>
        </w:trPr>
        <w:tc>
          <w:tcPr>
            <w:tcW w:w="6840" w:type="dxa"/>
            <w:vAlign w:val="bottom"/>
          </w:tcPr>
          <w:p>
            <w:pPr>
              <w:ind w:left="220"/>
              <w:spacing w:after="0" w:line="183" w:lineRule="exact"/>
              <w:rPr>
                <w:sz w:val="20"/>
                <w:szCs w:val="20"/>
                <w:color w:val="auto"/>
              </w:rPr>
            </w:pPr>
            <w:r>
              <w:rPr>
                <w:rFonts w:ascii="Arial" w:cs="Arial" w:eastAsia="Arial" w:hAnsi="Arial"/>
                <w:sz w:val="16"/>
                <w:szCs w:val="16"/>
                <w:b w:val="1"/>
                <w:bCs w:val="1"/>
                <w:color w:val="auto"/>
              </w:rPr>
              <w:t>Net Assets at End of Period</w:t>
            </w:r>
          </w:p>
        </w:tc>
        <w:tc>
          <w:tcPr>
            <w:tcW w:w="460" w:type="dxa"/>
            <w:vAlign w:val="bottom"/>
            <w:tcBorders>
              <w:bottom w:val="single" w:sz="8" w:color="auto"/>
            </w:tcBorders>
          </w:tcPr>
          <w:p>
            <w:pPr>
              <w:jc w:val="right"/>
              <w:ind w:right="279"/>
              <w:spacing w:after="0" w:line="183" w:lineRule="exact"/>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435,961,621</w:t>
            </w:r>
          </w:p>
        </w:tc>
        <w:tc>
          <w:tcPr>
            <w:tcW w:w="100" w:type="dxa"/>
            <w:vAlign w:val="bottom"/>
          </w:tcPr>
          <w:p>
            <w:pPr>
              <w:spacing w:after="0"/>
              <w:rPr>
                <w:sz w:val="15"/>
                <w:szCs w:val="15"/>
                <w:color w:val="auto"/>
              </w:rPr>
            </w:pPr>
          </w:p>
        </w:tc>
        <w:tc>
          <w:tcPr>
            <w:tcW w:w="460" w:type="dxa"/>
            <w:vAlign w:val="bottom"/>
            <w:tcBorders>
              <w:bottom w:val="single" w:sz="8" w:color="auto"/>
            </w:tcBorders>
          </w:tcPr>
          <w:p>
            <w:pPr>
              <w:jc w:val="right"/>
              <w:ind w:right="279"/>
              <w:spacing w:after="0" w:line="183" w:lineRule="exact"/>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172,515,798</w:t>
            </w:r>
          </w:p>
        </w:tc>
      </w:tr>
      <w:tr>
        <w:trPr>
          <w:trHeight w:val="20"/>
        </w:trPr>
        <w:tc>
          <w:tcPr>
            <w:tcW w:w="684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183"/>
        </w:trPr>
        <w:tc>
          <w:tcPr>
            <w:tcW w:w="68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Capital Share Activity</w:t>
            </w:r>
          </w:p>
        </w:tc>
        <w:tc>
          <w:tcPr>
            <w:tcW w:w="46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r>
      <w:tr>
        <w:trPr>
          <w:trHeight w:val="213"/>
        </w:trPr>
        <w:tc>
          <w:tcPr>
            <w:tcW w:w="6840" w:type="dxa"/>
            <w:vAlign w:val="bottom"/>
          </w:tcPr>
          <w:p>
            <w:pPr>
              <w:ind w:left="140"/>
              <w:spacing w:after="0"/>
              <w:rPr>
                <w:sz w:val="20"/>
                <w:szCs w:val="20"/>
                <w:color w:val="auto"/>
              </w:rPr>
            </w:pPr>
            <w:r>
              <w:rPr>
                <w:rFonts w:ascii="Arial" w:cs="Arial" w:eastAsia="Arial" w:hAnsi="Arial"/>
                <w:sz w:val="16"/>
                <w:szCs w:val="16"/>
                <w:color w:val="auto"/>
              </w:rPr>
              <w:t>Shares outstanding at beginning of year</w:t>
            </w:r>
          </w:p>
        </w:tc>
        <w:tc>
          <w:tcPr>
            <w:tcW w:w="4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19,914,023</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17,564,244</w:t>
            </w:r>
          </w:p>
        </w:tc>
      </w:tr>
      <w:tr>
        <w:trPr>
          <w:trHeight w:val="219"/>
        </w:trPr>
        <w:tc>
          <w:tcPr>
            <w:tcW w:w="68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Issuance of common stock under restricted stock plan</w:t>
            </w:r>
          </w:p>
        </w:tc>
        <w:tc>
          <w:tcPr>
            <w:tcW w:w="4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193,385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6840" w:type="dxa"/>
            <w:vAlign w:val="bottom"/>
          </w:tcPr>
          <w:p>
            <w:pPr>
              <w:ind w:left="140"/>
              <w:spacing w:after="0"/>
              <w:rPr>
                <w:sz w:val="20"/>
                <w:szCs w:val="20"/>
                <w:color w:val="auto"/>
              </w:rPr>
            </w:pPr>
            <w:r>
              <w:rPr>
                <w:rFonts w:ascii="Arial" w:cs="Arial" w:eastAsia="Arial" w:hAnsi="Arial"/>
                <w:sz w:val="16"/>
                <w:szCs w:val="16"/>
                <w:color w:val="auto"/>
              </w:rPr>
              <w:t>Issuance of common stock from conversion of 4.75% Convertible Notes due 2023</w:t>
            </w:r>
          </w:p>
        </w:tc>
        <w:tc>
          <w:tcPr>
            <w:tcW w:w="4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4,097,808</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68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Shares repurchased</w:t>
            </w:r>
          </w:p>
        </w:tc>
        <w:tc>
          <w:tcPr>
            <w:tcW w:w="4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(689,928)</w:t>
            </w:r>
          </w:p>
        </w:tc>
      </w:tr>
      <w:tr>
        <w:trPr>
          <w:trHeight w:val="213"/>
        </w:trPr>
        <w:tc>
          <w:tcPr>
            <w:tcW w:w="6840" w:type="dxa"/>
            <w:vAlign w:val="bottom"/>
            <w:tcBorders>
              <w:top w:val="single" w:sz="8" w:color="CCEEFF"/>
            </w:tcBorders>
          </w:tcPr>
          <w:p>
            <w:pPr>
              <w:ind w:left="20"/>
              <w:spacing w:after="0"/>
              <w:rPr>
                <w:sz w:val="20"/>
                <w:szCs w:val="20"/>
                <w:color w:val="auto"/>
              </w:rPr>
            </w:pPr>
            <w:r>
              <w:rPr>
                <w:rFonts w:ascii="Arial" w:cs="Arial" w:eastAsia="Arial" w:hAnsi="Arial"/>
                <w:sz w:val="16"/>
                <w:szCs w:val="16"/>
                <w:b w:val="1"/>
                <w:bCs w:val="1"/>
                <w:color w:val="auto"/>
              </w:rPr>
              <w:t>Shares Outstanding at End of Period</w:t>
            </w:r>
          </w:p>
        </w:tc>
        <w:tc>
          <w:tcPr>
            <w:tcW w:w="460" w:type="dxa"/>
            <w:vAlign w:val="bottom"/>
            <w:tcBorders>
              <w:top w:val="single" w:sz="8" w:color="auto"/>
              <w:bottom w:val="single" w:sz="8" w:color="auto"/>
            </w:tcBorders>
          </w:tcPr>
          <w:p>
            <w:pPr>
              <w:spacing w:after="0"/>
              <w:rPr>
                <w:sz w:val="18"/>
                <w:szCs w:val="18"/>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24,205,216</w:t>
            </w:r>
          </w:p>
        </w:tc>
        <w:tc>
          <w:tcPr>
            <w:tcW w:w="100" w:type="dxa"/>
            <w:vAlign w:val="bottom"/>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16,874,316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-1276985</wp:posOffset>
            </wp:positionV>
            <wp:extent cx="4337685" cy="1543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337685"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-2134235</wp:posOffset>
            </wp:positionV>
            <wp:extent cx="4337685" cy="1543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337685" cy="154305"/>
                    </a:xfrm>
                    <a:prstGeom prst="rect">
                      <a:avLst/>
                    </a:prstGeom>
                    <a:noFill/>
                  </pic:spPr>
                </pic:pic>
              </a:graphicData>
            </a:graphic>
          </wp:anchor>
        </w:drawing>
      </w:r>
    </w:p>
    <w:p>
      <w:pPr>
        <w:spacing w:after="0" w:line="2" w:lineRule="exact"/>
        <w:rPr>
          <w:sz w:val="20"/>
          <w:szCs w:val="20"/>
          <w:color w:val="auto"/>
        </w:rPr>
      </w:pPr>
    </w:p>
    <w:p>
      <w:pPr>
        <w:ind w:left="3520"/>
        <w:spacing w:after="0"/>
        <w:rPr>
          <w:sz w:val="20"/>
          <w:szCs w:val="20"/>
          <w:color w:val="auto"/>
        </w:rPr>
      </w:pPr>
      <w:r>
        <w:rPr>
          <w:rFonts w:ascii="Arial" w:cs="Arial" w:eastAsia="Arial" w:hAnsi="Arial"/>
          <w:sz w:val="14"/>
          <w:szCs w:val="14"/>
          <w:i w:val="1"/>
          <w:iCs w:val="1"/>
          <w:color w:val="auto"/>
        </w:rPr>
        <w:t>See accompanying 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4342765</wp:posOffset>
            </wp:positionH>
            <wp:positionV relativeFrom="paragraph">
              <wp:posOffset>-98425</wp:posOffset>
            </wp:positionV>
            <wp:extent cx="247777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4777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740"/>
          </w:cols>
          <w:pgMar w:left="320" w:top="122" w:right="839" w:bottom="1440" w:gutter="0" w:footer="0" w:header="0"/>
        </w:sectPr>
      </w:pPr>
    </w:p>
    <w:bookmarkStart w:id="5" w:name="page6"/>
    <w:bookmarkEnd w:id="5"/>
    <w:p>
      <w:pPr>
        <w:spacing w:after="0"/>
        <w:rPr>
          <w:rFonts w:ascii="Arial" w:cs="Arial" w:eastAsia="Arial" w:hAnsi="Arial"/>
          <w:sz w:val="14"/>
          <w:szCs w:val="14"/>
          <w:color w:val="0000FF"/>
        </w:rPr>
      </w:pPr>
      <w:hyperlink w:anchor="page1">
        <w:r>
          <w:rPr>
            <w:rFonts w:ascii="Arial" w:cs="Arial" w:eastAsia="Arial" w:hAnsi="Arial"/>
            <w:sz w:val="14"/>
            <w:szCs w:val="14"/>
            <w:color w:val="0000FF"/>
          </w:rPr>
          <w:t>TABLE OF CONTENTS</w:t>
        </w:r>
      </w:hyperlink>
    </w:p>
    <w:p>
      <w:pPr>
        <w:spacing w:after="0" w:line="21" w:lineRule="exact"/>
        <w:rPr>
          <w:sz w:val="20"/>
          <w:szCs w:val="20"/>
          <w:color w:val="auto"/>
        </w:rPr>
      </w:pPr>
    </w:p>
    <w:p>
      <w:pPr>
        <w:jc w:val="center"/>
        <w:ind w:right="-439"/>
        <w:spacing w:after="0"/>
        <w:rPr>
          <w:sz w:val="20"/>
          <w:szCs w:val="20"/>
          <w:color w:val="auto"/>
        </w:rPr>
      </w:pPr>
      <w:r>
        <w:rPr>
          <w:rFonts w:ascii="Arial" w:cs="Arial" w:eastAsia="Arial" w:hAnsi="Arial"/>
          <w:sz w:val="18"/>
          <w:szCs w:val="18"/>
          <w:b w:val="1"/>
          <w:bCs w:val="1"/>
          <w:color w:val="auto"/>
        </w:rPr>
        <w:t>SURO CAPITAL CORP. AND SUBSIDIARIES</w:t>
      </w:r>
    </w:p>
    <w:p>
      <w:pPr>
        <w:spacing w:after="0" w:line="8" w:lineRule="exact"/>
        <w:rPr>
          <w:sz w:val="20"/>
          <w:szCs w:val="20"/>
          <w:color w:val="auto"/>
        </w:rPr>
      </w:pPr>
    </w:p>
    <w:p>
      <w:pPr>
        <w:jc w:val="center"/>
        <w:ind w:right="-439"/>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tbl>
      <w:tblPr>
        <w:tblLayout w:type="fixed"/>
        <w:tblInd w:w="460" w:type="dxa"/>
        <w:tblCellMar>
          <w:top w:w="0" w:type="dxa"/>
          <w:left w:w="0" w:type="dxa"/>
          <w:bottom w:w="0" w:type="dxa"/>
          <w:right w:w="0" w:type="dxa"/>
        </w:tblCellMar>
      </w:tblPr>
      <w:tr>
        <w:trPr>
          <w:trHeight w:val="192"/>
        </w:trPr>
        <w:tc>
          <w:tcPr>
            <w:tcW w:w="642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3480" w:type="dxa"/>
            <w:vAlign w:val="bottom"/>
            <w:tcBorders>
              <w:bottom w:val="single" w:sz="8" w:color="auto"/>
            </w:tcBorders>
            <w:gridSpan w:val="4"/>
          </w:tcPr>
          <w:p>
            <w:pPr>
              <w:jc w:val="right"/>
              <w:ind w:right="899"/>
              <w:spacing w:after="0"/>
              <w:rPr>
                <w:sz w:val="20"/>
                <w:szCs w:val="20"/>
                <w:color w:val="auto"/>
              </w:rPr>
            </w:pPr>
            <w:r>
              <w:rPr>
                <w:rFonts w:ascii="Arial" w:cs="Arial" w:eastAsia="Arial" w:hAnsi="Arial"/>
                <w:sz w:val="14"/>
                <w:szCs w:val="14"/>
                <w:b w:val="1"/>
                <w:bCs w:val="1"/>
                <w:color w:val="auto"/>
              </w:rPr>
              <w:t>Three Months Ended March 31,</w:t>
            </w:r>
          </w:p>
        </w:tc>
      </w:tr>
      <w:tr>
        <w:trPr>
          <w:trHeight w:val="187"/>
        </w:trPr>
        <w:tc>
          <w:tcPr>
            <w:tcW w:w="642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740"/>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739"/>
              <w:spacing w:after="0"/>
              <w:rPr>
                <w:sz w:val="20"/>
                <w:szCs w:val="20"/>
                <w:color w:val="auto"/>
              </w:rPr>
            </w:pPr>
            <w:r>
              <w:rPr>
                <w:rFonts w:ascii="Arial" w:cs="Arial" w:eastAsia="Arial" w:hAnsi="Arial"/>
                <w:sz w:val="14"/>
                <w:szCs w:val="14"/>
                <w:b w:val="1"/>
                <w:bCs w:val="1"/>
                <w:color w:val="auto"/>
              </w:rPr>
              <w:t>2020</w:t>
            </w:r>
          </w:p>
        </w:tc>
      </w:tr>
      <w:tr>
        <w:trPr>
          <w:trHeight w:val="197"/>
        </w:trPr>
        <w:tc>
          <w:tcPr>
            <w:tcW w:w="64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Cash Flows from Operating Activities</w:t>
            </w:r>
          </w:p>
        </w:tc>
        <w:tc>
          <w:tcPr>
            <w:tcW w:w="44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r>
      <w:tr>
        <w:trPr>
          <w:trHeight w:val="213"/>
        </w:trPr>
        <w:tc>
          <w:tcPr>
            <w:tcW w:w="6420" w:type="dxa"/>
            <w:vAlign w:val="bottom"/>
          </w:tcPr>
          <w:p>
            <w:pPr>
              <w:spacing w:after="0"/>
              <w:rPr>
                <w:sz w:val="20"/>
                <w:szCs w:val="20"/>
                <w:color w:val="auto"/>
              </w:rPr>
            </w:pPr>
            <w:r>
              <w:rPr>
                <w:rFonts w:ascii="Arial" w:cs="Arial" w:eastAsia="Arial" w:hAnsi="Arial"/>
                <w:sz w:val="16"/>
                <w:szCs w:val="16"/>
                <w:color w:val="auto"/>
              </w:rPr>
              <w:t>Net change in net assets resulting from operations</w:t>
            </w:r>
          </w:p>
        </w:tc>
        <w:tc>
          <w:tcPr>
            <w:tcW w:w="440" w:type="dxa"/>
            <w:vAlign w:val="bottom"/>
          </w:tcPr>
          <w:p>
            <w:pPr>
              <w:jc w:val="right"/>
              <w:ind w:right="259"/>
              <w:spacing w:after="0"/>
              <w:rPr>
                <w:sz w:val="20"/>
                <w:szCs w:val="20"/>
                <w:color w:val="auto"/>
              </w:rPr>
            </w:pPr>
            <w:r>
              <w:rPr>
                <w:rFonts w:ascii="Arial" w:cs="Arial" w:eastAsia="Arial" w:hAnsi="Arial"/>
                <w:sz w:val="16"/>
                <w:szCs w:val="16"/>
                <w:color w:val="auto"/>
                <w:w w:val="89"/>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108,002,363</w:t>
            </w:r>
          </w:p>
        </w:tc>
        <w:tc>
          <w:tcPr>
            <w:tcW w:w="100" w:type="dxa"/>
            <w:vAlign w:val="bottom"/>
          </w:tcPr>
          <w:p>
            <w:pPr>
              <w:spacing w:after="0"/>
              <w:rPr>
                <w:sz w:val="18"/>
                <w:szCs w:val="18"/>
                <w:color w:val="auto"/>
              </w:rPr>
            </w:pPr>
          </w:p>
        </w:tc>
        <w:tc>
          <w:tcPr>
            <w:tcW w:w="440" w:type="dxa"/>
            <w:vAlign w:val="bottom"/>
          </w:tcPr>
          <w:p>
            <w:pPr>
              <w:jc w:val="right"/>
              <w:ind w:right="284"/>
              <w:spacing w:after="0"/>
              <w:rPr>
                <w:sz w:val="20"/>
                <w:szCs w:val="20"/>
                <w:color w:val="auto"/>
              </w:rPr>
            </w:pPr>
            <w:r>
              <w:rPr>
                <w:rFonts w:ascii="Arial" w:cs="Arial" w:eastAsia="Arial" w:hAnsi="Arial"/>
                <w:sz w:val="15"/>
                <w:szCs w:val="15"/>
                <w:color w:val="auto"/>
                <w:w w:val="71"/>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(23,692,247)</w:t>
            </w:r>
          </w:p>
        </w:tc>
      </w:tr>
      <w:tr>
        <w:trPr>
          <w:trHeight w:val="169"/>
        </w:trPr>
        <w:tc>
          <w:tcPr>
            <w:tcW w:w="6420" w:type="dxa"/>
            <w:vAlign w:val="bottom"/>
            <w:shd w:val="clear" w:color="auto" w:fill="CCEEFF"/>
          </w:tcPr>
          <w:p>
            <w:pPr>
              <w:ind w:left="160"/>
              <w:spacing w:after="0" w:line="169" w:lineRule="exact"/>
              <w:rPr>
                <w:sz w:val="20"/>
                <w:szCs w:val="20"/>
                <w:color w:val="auto"/>
              </w:rPr>
            </w:pPr>
            <w:r>
              <w:rPr>
                <w:rFonts w:ascii="Arial" w:cs="Arial" w:eastAsia="Arial" w:hAnsi="Arial"/>
                <w:sz w:val="16"/>
                <w:szCs w:val="16"/>
                <w:color w:val="auto"/>
                <w:w w:val="91"/>
              </w:rPr>
              <w:t>Adjustments to reconcile net change in net assets resulting from operations to net cash provided</w:t>
            </w:r>
          </w:p>
        </w:tc>
        <w:tc>
          <w:tcPr>
            <w:tcW w:w="44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r>
      <w:tr>
        <w:trPr>
          <w:trHeight w:val="212"/>
        </w:trPr>
        <w:tc>
          <w:tcPr>
            <w:tcW w:w="64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by operating activities:</w:t>
            </w: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r>
      <w:tr>
        <w:trPr>
          <w:trHeight w:val="213"/>
        </w:trPr>
        <w:tc>
          <w:tcPr>
            <w:tcW w:w="6420" w:type="dxa"/>
            <w:vAlign w:val="bottom"/>
          </w:tcPr>
          <w:p>
            <w:pPr>
              <w:ind w:left="120"/>
              <w:spacing w:after="0"/>
              <w:rPr>
                <w:sz w:val="20"/>
                <w:szCs w:val="20"/>
                <w:color w:val="auto"/>
              </w:rPr>
            </w:pPr>
            <w:r>
              <w:rPr>
                <w:rFonts w:ascii="Arial" w:cs="Arial" w:eastAsia="Arial" w:hAnsi="Arial"/>
                <w:sz w:val="16"/>
                <w:szCs w:val="16"/>
                <w:color w:val="auto"/>
              </w:rPr>
              <w:t>Net realized gain on investments</w:t>
            </w:r>
          </w:p>
        </w:tc>
        <w:tc>
          <w:tcPr>
            <w:tcW w:w="4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(112,152,518)</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(6,978,240)</w:t>
            </w:r>
          </w:p>
        </w:tc>
      </w:tr>
      <w:tr>
        <w:trPr>
          <w:trHeight w:val="219"/>
        </w:trPr>
        <w:tc>
          <w:tcPr>
            <w:tcW w:w="64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Net change in unrealized depreciation of investments</w:t>
            </w:r>
          </w:p>
        </w:tc>
        <w:tc>
          <w:tcPr>
            <w:tcW w:w="4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1,315,837</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27,665,934</w:t>
            </w:r>
          </w:p>
        </w:tc>
      </w:tr>
      <w:tr>
        <w:trPr>
          <w:trHeight w:val="213"/>
        </w:trPr>
        <w:tc>
          <w:tcPr>
            <w:tcW w:w="6420" w:type="dxa"/>
            <w:vAlign w:val="bottom"/>
          </w:tcPr>
          <w:p>
            <w:pPr>
              <w:ind w:left="120"/>
              <w:spacing w:after="0"/>
              <w:rPr>
                <w:sz w:val="20"/>
                <w:szCs w:val="20"/>
                <w:color w:val="auto"/>
              </w:rPr>
            </w:pPr>
            <w:r>
              <w:rPr>
                <w:rFonts w:ascii="Arial" w:cs="Arial" w:eastAsia="Arial" w:hAnsi="Arial"/>
                <w:sz w:val="16"/>
                <w:szCs w:val="16"/>
                <w:color w:val="auto"/>
              </w:rPr>
              <w:t>Amortization of discount on 4.75% Convertible Senior Notes due 2023</w:t>
            </w:r>
          </w:p>
        </w:tc>
        <w:tc>
          <w:tcPr>
            <w:tcW w:w="4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76,925</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94,011</w:t>
            </w:r>
          </w:p>
        </w:tc>
      </w:tr>
      <w:tr>
        <w:trPr>
          <w:trHeight w:val="219"/>
        </w:trPr>
        <w:tc>
          <w:tcPr>
            <w:tcW w:w="64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Stock-based compensation</w:t>
            </w:r>
          </w:p>
        </w:tc>
        <w:tc>
          <w:tcPr>
            <w:tcW w:w="4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148,802</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6420" w:type="dxa"/>
            <w:vAlign w:val="bottom"/>
          </w:tcPr>
          <w:p>
            <w:pPr>
              <w:ind w:left="120"/>
              <w:spacing w:after="0"/>
              <w:rPr>
                <w:sz w:val="20"/>
                <w:szCs w:val="20"/>
                <w:color w:val="auto"/>
              </w:rPr>
            </w:pPr>
            <w:r>
              <w:rPr>
                <w:rFonts w:ascii="Arial" w:cs="Arial" w:eastAsia="Arial" w:hAnsi="Arial"/>
                <w:sz w:val="16"/>
                <w:szCs w:val="16"/>
                <w:color w:val="auto"/>
              </w:rPr>
              <w:t>Adjustments to escrow proceeds receivable</w:t>
            </w:r>
          </w:p>
        </w:tc>
        <w:tc>
          <w:tcPr>
            <w:tcW w:w="4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(144)</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189,546</w:t>
            </w:r>
          </w:p>
        </w:tc>
      </w:tr>
      <w:tr>
        <w:trPr>
          <w:trHeight w:val="219"/>
        </w:trPr>
        <w:tc>
          <w:tcPr>
            <w:tcW w:w="64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Forfeited interest on 4.75% Convertible Senior Notes due 2023</w:t>
            </w:r>
          </w:p>
        </w:tc>
        <w:tc>
          <w:tcPr>
            <w:tcW w:w="4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102,911</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6420" w:type="dxa"/>
            <w:vAlign w:val="bottom"/>
          </w:tcPr>
          <w:p>
            <w:pPr>
              <w:ind w:left="120"/>
              <w:spacing w:after="0"/>
              <w:rPr>
                <w:sz w:val="20"/>
                <w:szCs w:val="20"/>
                <w:color w:val="auto"/>
              </w:rPr>
            </w:pPr>
            <w:r>
              <w:rPr>
                <w:rFonts w:ascii="Arial" w:cs="Arial" w:eastAsia="Arial" w:hAnsi="Arial"/>
                <w:sz w:val="16"/>
                <w:szCs w:val="16"/>
                <w:color w:val="auto"/>
              </w:rPr>
              <w:t>Purchases of investments in:</w:t>
            </w: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19"/>
        </w:trPr>
        <w:tc>
          <w:tcPr>
            <w:tcW w:w="64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Portfolio investments</w:t>
            </w:r>
          </w:p>
        </w:tc>
        <w:tc>
          <w:tcPr>
            <w:tcW w:w="4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(9,503,636)</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6420" w:type="dxa"/>
            <w:vAlign w:val="bottom"/>
          </w:tcPr>
          <w:p>
            <w:pPr>
              <w:ind w:left="320"/>
              <w:spacing w:after="0"/>
              <w:rPr>
                <w:sz w:val="20"/>
                <w:szCs w:val="20"/>
                <w:color w:val="auto"/>
              </w:rPr>
            </w:pPr>
            <w:r>
              <w:rPr>
                <w:rFonts w:ascii="Arial" w:cs="Arial" w:eastAsia="Arial" w:hAnsi="Arial"/>
                <w:sz w:val="16"/>
                <w:szCs w:val="16"/>
                <w:color w:val="auto"/>
              </w:rPr>
              <w:t>U.S. Treasury bills</w:t>
            </w:r>
          </w:p>
        </w:tc>
        <w:tc>
          <w:tcPr>
            <w:tcW w:w="440" w:type="dxa"/>
            <w:vAlign w:val="bottom"/>
          </w:tcPr>
          <w:p>
            <w:pPr>
              <w:spacing w:after="0"/>
              <w:rPr>
                <w:sz w:val="18"/>
                <w:szCs w:val="18"/>
                <w:color w:val="auto"/>
              </w:rPr>
            </w:pPr>
          </w:p>
        </w:tc>
        <w:tc>
          <w:tcPr>
            <w:tcW w:w="15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(50,000,556)</w:t>
            </w:r>
          </w:p>
        </w:tc>
      </w:tr>
      <w:tr>
        <w:trPr>
          <w:trHeight w:val="219"/>
        </w:trPr>
        <w:tc>
          <w:tcPr>
            <w:tcW w:w="64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Proceeds from sales or maturity of investments in:</w:t>
            </w:r>
          </w:p>
        </w:tc>
        <w:tc>
          <w:tcPr>
            <w:tcW w:w="44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r>
      <w:tr>
        <w:trPr>
          <w:trHeight w:val="213"/>
        </w:trPr>
        <w:tc>
          <w:tcPr>
            <w:tcW w:w="6420" w:type="dxa"/>
            <w:vAlign w:val="bottom"/>
          </w:tcPr>
          <w:p>
            <w:pPr>
              <w:ind w:left="320"/>
              <w:spacing w:after="0"/>
              <w:rPr>
                <w:sz w:val="20"/>
                <w:szCs w:val="20"/>
                <w:color w:val="auto"/>
              </w:rPr>
            </w:pPr>
            <w:r>
              <w:rPr>
                <w:rFonts w:ascii="Arial" w:cs="Arial" w:eastAsia="Arial" w:hAnsi="Arial"/>
                <w:sz w:val="16"/>
                <w:szCs w:val="16"/>
                <w:color w:val="auto"/>
              </w:rPr>
              <w:t>Portfolio investments</w:t>
            </w:r>
          </w:p>
        </w:tc>
        <w:tc>
          <w:tcPr>
            <w:tcW w:w="4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125,277,788</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10,786,346</w:t>
            </w:r>
          </w:p>
        </w:tc>
      </w:tr>
      <w:tr>
        <w:trPr>
          <w:trHeight w:val="219"/>
        </w:trPr>
        <w:tc>
          <w:tcPr>
            <w:tcW w:w="64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U.S. Treasury bills</w:t>
            </w:r>
          </w:p>
        </w:tc>
        <w:tc>
          <w:tcPr>
            <w:tcW w:w="4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150,000,000</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50,000,000</w:t>
            </w:r>
          </w:p>
        </w:tc>
      </w:tr>
      <w:tr>
        <w:trPr>
          <w:trHeight w:val="213"/>
        </w:trPr>
        <w:tc>
          <w:tcPr>
            <w:tcW w:w="6420" w:type="dxa"/>
            <w:vAlign w:val="bottom"/>
          </w:tcPr>
          <w:p>
            <w:pPr>
              <w:spacing w:after="0"/>
              <w:rPr>
                <w:sz w:val="20"/>
                <w:szCs w:val="20"/>
                <w:color w:val="auto"/>
              </w:rPr>
            </w:pPr>
            <w:r>
              <w:rPr>
                <w:rFonts w:ascii="Arial" w:cs="Arial" w:eastAsia="Arial" w:hAnsi="Arial"/>
                <w:sz w:val="16"/>
                <w:szCs w:val="16"/>
                <w:color w:val="auto"/>
              </w:rPr>
              <w:t>Change in operating assets and liabilities:</w:t>
            </w: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19"/>
        </w:trPr>
        <w:tc>
          <w:tcPr>
            <w:tcW w:w="64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Prepaid expenses and other assets</w:t>
            </w:r>
          </w:p>
        </w:tc>
        <w:tc>
          <w:tcPr>
            <w:tcW w:w="4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82,593</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34,668</w:t>
            </w:r>
          </w:p>
        </w:tc>
      </w:tr>
      <w:tr>
        <w:trPr>
          <w:trHeight w:val="213"/>
        </w:trPr>
        <w:tc>
          <w:tcPr>
            <w:tcW w:w="6420" w:type="dxa"/>
            <w:vAlign w:val="bottom"/>
          </w:tcPr>
          <w:p>
            <w:pPr>
              <w:ind w:left="120"/>
              <w:spacing w:after="0"/>
              <w:rPr>
                <w:sz w:val="20"/>
                <w:szCs w:val="20"/>
                <w:color w:val="auto"/>
              </w:rPr>
            </w:pPr>
            <w:r>
              <w:rPr>
                <w:rFonts w:ascii="Arial" w:cs="Arial" w:eastAsia="Arial" w:hAnsi="Arial"/>
                <w:sz w:val="16"/>
                <w:szCs w:val="16"/>
                <w:color w:val="auto"/>
              </w:rPr>
              <w:t>Interest and dividends receivable</w:t>
            </w:r>
          </w:p>
        </w:tc>
        <w:tc>
          <w:tcPr>
            <w:tcW w:w="4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93,592</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(169)</w:t>
            </w:r>
          </w:p>
        </w:tc>
      </w:tr>
      <w:tr>
        <w:trPr>
          <w:trHeight w:val="219"/>
        </w:trPr>
        <w:tc>
          <w:tcPr>
            <w:tcW w:w="64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Escrow proceeds receivable</w:t>
            </w:r>
          </w:p>
        </w:tc>
        <w:tc>
          <w:tcPr>
            <w:tcW w:w="4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57,928</w:t>
            </w:r>
          </w:p>
        </w:tc>
      </w:tr>
      <w:tr>
        <w:trPr>
          <w:trHeight w:val="213"/>
        </w:trPr>
        <w:tc>
          <w:tcPr>
            <w:tcW w:w="6420" w:type="dxa"/>
            <w:vAlign w:val="bottom"/>
          </w:tcPr>
          <w:p>
            <w:pPr>
              <w:ind w:left="120"/>
              <w:spacing w:after="0"/>
              <w:rPr>
                <w:sz w:val="20"/>
                <w:szCs w:val="20"/>
                <w:color w:val="auto"/>
              </w:rPr>
            </w:pPr>
            <w:r>
              <w:rPr>
                <w:rFonts w:ascii="Arial" w:cs="Arial" w:eastAsia="Arial" w:hAnsi="Arial"/>
                <w:sz w:val="16"/>
                <w:szCs w:val="16"/>
                <w:color w:val="auto"/>
              </w:rPr>
              <w:t>Payable for securities purchased</w:t>
            </w:r>
          </w:p>
        </w:tc>
        <w:tc>
          <w:tcPr>
            <w:tcW w:w="4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(134,250,000)</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354,599</w:t>
            </w:r>
          </w:p>
        </w:tc>
      </w:tr>
      <w:tr>
        <w:trPr>
          <w:trHeight w:val="219"/>
        </w:trPr>
        <w:tc>
          <w:tcPr>
            <w:tcW w:w="64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Accounts payable and accrued expenses</w:t>
            </w:r>
          </w:p>
        </w:tc>
        <w:tc>
          <w:tcPr>
            <w:tcW w:w="4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854,267</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382,289</w:t>
            </w:r>
          </w:p>
        </w:tc>
      </w:tr>
      <w:tr>
        <w:trPr>
          <w:trHeight w:val="213"/>
        </w:trPr>
        <w:tc>
          <w:tcPr>
            <w:tcW w:w="6420" w:type="dxa"/>
            <w:vAlign w:val="bottom"/>
          </w:tcPr>
          <w:p>
            <w:pPr>
              <w:ind w:left="120"/>
              <w:spacing w:after="0"/>
              <w:rPr>
                <w:sz w:val="20"/>
                <w:szCs w:val="20"/>
                <w:color w:val="auto"/>
              </w:rPr>
            </w:pPr>
            <w:r>
              <w:rPr>
                <w:rFonts w:ascii="Arial" w:cs="Arial" w:eastAsia="Arial" w:hAnsi="Arial"/>
                <w:sz w:val="16"/>
                <w:szCs w:val="16"/>
                <w:color w:val="auto"/>
              </w:rPr>
              <w:t>Payable to executive officers</w:t>
            </w:r>
          </w:p>
        </w:tc>
        <w:tc>
          <w:tcPr>
            <w:tcW w:w="440" w:type="dxa"/>
            <w:vAlign w:val="bottom"/>
          </w:tcPr>
          <w:p>
            <w:pPr>
              <w:spacing w:after="0"/>
              <w:rPr>
                <w:sz w:val="18"/>
                <w:szCs w:val="18"/>
                <w:color w:val="auto"/>
              </w:rPr>
            </w:pPr>
          </w:p>
        </w:tc>
        <w:tc>
          <w:tcPr>
            <w:tcW w:w="15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(1,368,316)</w:t>
            </w:r>
          </w:p>
        </w:tc>
      </w:tr>
      <w:tr>
        <w:trPr>
          <w:trHeight w:val="219"/>
        </w:trPr>
        <w:tc>
          <w:tcPr>
            <w:tcW w:w="64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Income tax payable</w:t>
            </w:r>
          </w:p>
        </w:tc>
        <w:tc>
          <w:tcPr>
            <w:tcW w:w="4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(35,850)</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642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Accrued interest payable</w:t>
            </w:r>
          </w:p>
        </w:tc>
        <w:tc>
          <w:tcPr>
            <w:tcW w:w="4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(453,803)</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(475,000)</w:t>
            </w:r>
          </w:p>
        </w:tc>
      </w:tr>
      <w:tr>
        <w:trPr>
          <w:trHeight w:val="209"/>
        </w:trPr>
        <w:tc>
          <w:tcPr>
            <w:tcW w:w="6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Net Cash Provided by Operating Activities</w:t>
            </w:r>
          </w:p>
        </w:tc>
        <w:tc>
          <w:tcPr>
            <w:tcW w:w="44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129,559,282</w:t>
            </w:r>
          </w:p>
        </w:tc>
        <w:tc>
          <w:tcPr>
            <w:tcW w:w="1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7,050,793</w:t>
            </w:r>
          </w:p>
        </w:tc>
      </w:tr>
      <w:tr>
        <w:trPr>
          <w:trHeight w:val="210"/>
        </w:trPr>
        <w:tc>
          <w:tcPr>
            <w:tcW w:w="6420" w:type="dxa"/>
            <w:vAlign w:val="bottom"/>
          </w:tcPr>
          <w:p>
            <w:pPr>
              <w:spacing w:after="0"/>
              <w:rPr>
                <w:sz w:val="20"/>
                <w:szCs w:val="20"/>
                <w:color w:val="auto"/>
              </w:rPr>
            </w:pPr>
            <w:r>
              <w:rPr>
                <w:rFonts w:ascii="Arial" w:cs="Arial" w:eastAsia="Arial" w:hAnsi="Arial"/>
                <w:sz w:val="16"/>
                <w:szCs w:val="16"/>
                <w:b w:val="1"/>
                <w:bCs w:val="1"/>
                <w:color w:val="auto"/>
              </w:rPr>
              <w:t>Cash Flows from Financing Activities</w:t>
            </w: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19"/>
        </w:trPr>
        <w:tc>
          <w:tcPr>
            <w:tcW w:w="6420" w:type="dxa"/>
            <w:vAlign w:val="bottom"/>
            <w:shd w:val="clear" w:color="auto" w:fill="CCEEFF"/>
          </w:tcPr>
          <w:p>
            <w:pPr>
              <w:spacing w:after="0"/>
              <w:rPr>
                <w:sz w:val="20"/>
                <w:szCs w:val="20"/>
                <w:color w:val="auto"/>
              </w:rPr>
            </w:pPr>
            <w:r>
              <w:rPr>
                <w:rFonts w:ascii="Arial" w:cs="Arial" w:eastAsia="Arial" w:hAnsi="Arial"/>
                <w:sz w:val="16"/>
                <w:szCs w:val="16"/>
                <w:color w:val="auto"/>
              </w:rPr>
              <w:t>Repurchases of common stock</w:t>
            </w:r>
          </w:p>
        </w:tc>
        <w:tc>
          <w:tcPr>
            <w:tcW w:w="44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(3,709,244)</w:t>
            </w:r>
          </w:p>
        </w:tc>
      </w:tr>
      <w:tr>
        <w:trPr>
          <w:trHeight w:val="226"/>
        </w:trPr>
        <w:tc>
          <w:tcPr>
            <w:tcW w:w="6420" w:type="dxa"/>
            <w:vAlign w:val="bottom"/>
          </w:tcPr>
          <w:p>
            <w:pPr>
              <w:spacing w:after="0"/>
              <w:rPr>
                <w:sz w:val="20"/>
                <w:szCs w:val="20"/>
                <w:color w:val="auto"/>
              </w:rPr>
            </w:pPr>
            <w:r>
              <w:rPr>
                <w:rFonts w:ascii="Arial" w:cs="Arial" w:eastAsia="Arial" w:hAnsi="Arial"/>
                <w:sz w:val="16"/>
                <w:szCs w:val="16"/>
                <w:color w:val="auto"/>
              </w:rPr>
              <w:t>Dividends paid</w:t>
            </w:r>
          </w:p>
        </w:tc>
        <w:tc>
          <w:tcPr>
            <w:tcW w:w="4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(9,349,364)</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(2,107,709)</w:t>
            </w:r>
          </w:p>
        </w:tc>
      </w:tr>
      <w:tr>
        <w:trPr>
          <w:trHeight w:val="233"/>
        </w:trPr>
        <w:tc>
          <w:tcPr>
            <w:tcW w:w="6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Cash paid for fractional shares</w:t>
            </w:r>
          </w:p>
        </w:tc>
        <w:tc>
          <w:tcPr>
            <w:tcW w:w="440" w:type="dxa"/>
            <w:vAlign w:val="bottom"/>
            <w:shd w:val="clear" w:color="auto" w:fill="CCEEFF"/>
          </w:tcPr>
          <w:p>
            <w:pPr>
              <w:spacing w:after="0"/>
              <w:rPr>
                <w:sz w:val="20"/>
                <w:szCs w:val="20"/>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7"/>
        </w:trPr>
        <w:tc>
          <w:tcPr>
            <w:tcW w:w="6420" w:type="dxa"/>
            <w:vAlign w:val="bottom"/>
          </w:tcPr>
          <w:p>
            <w:pPr>
              <w:spacing w:after="0"/>
              <w:rPr>
                <w:sz w:val="20"/>
                <w:szCs w:val="20"/>
                <w:color w:val="auto"/>
              </w:rPr>
            </w:pPr>
            <w:r>
              <w:rPr>
                <w:rFonts w:ascii="Arial" w:cs="Arial" w:eastAsia="Arial" w:hAnsi="Arial"/>
                <w:sz w:val="16"/>
                <w:szCs w:val="16"/>
                <w:color w:val="auto"/>
              </w:rPr>
              <w:t>Redemption of 4.75% Convertible Senior Notes due 2023</w:t>
            </w:r>
          </w:p>
        </w:tc>
        <w:tc>
          <w:tcPr>
            <w:tcW w:w="44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(290,000)</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33"/>
        </w:trPr>
        <w:tc>
          <w:tcPr>
            <w:tcW w:w="6420" w:type="dxa"/>
            <w:vAlign w:val="bottom"/>
            <w:shd w:val="clear" w:color="auto" w:fill="CCEEFF"/>
          </w:tcPr>
          <w:p>
            <w:pPr>
              <w:spacing w:after="0"/>
              <w:rPr>
                <w:sz w:val="20"/>
                <w:szCs w:val="20"/>
                <w:color w:val="auto"/>
              </w:rPr>
            </w:pPr>
            <w:r>
              <w:rPr>
                <w:rFonts w:ascii="Arial" w:cs="Arial" w:eastAsia="Arial" w:hAnsi="Arial"/>
                <w:sz w:val="16"/>
                <w:szCs w:val="16"/>
                <w:color w:val="auto"/>
              </w:rPr>
              <w:t>Deferred offering costs</w:t>
            </w:r>
          </w:p>
        </w:tc>
        <w:tc>
          <w:tcPr>
            <w:tcW w:w="440" w:type="dxa"/>
            <w:vAlign w:val="bottom"/>
            <w:tcBorders>
              <w:bottom w:val="single" w:sz="8" w:color="auto"/>
            </w:tcBorders>
            <w:shd w:val="clear" w:color="auto" w:fill="CCEEFF"/>
          </w:tcPr>
          <w:p>
            <w:pPr>
              <w:spacing w:after="0"/>
              <w:rPr>
                <w:sz w:val="20"/>
                <w:szCs w:val="20"/>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(13,977)</w:t>
            </w:r>
          </w:p>
        </w:tc>
        <w:tc>
          <w:tcPr>
            <w:tcW w:w="100" w:type="dxa"/>
            <w:vAlign w:val="bottom"/>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spacing w:after="0"/>
              <w:rPr>
                <w:sz w:val="20"/>
                <w:szCs w:val="20"/>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6"/>
        </w:trPr>
        <w:tc>
          <w:tcPr>
            <w:tcW w:w="6420" w:type="dxa"/>
            <w:vAlign w:val="bottom"/>
            <w:tcBorders>
              <w:bottom w:val="single" w:sz="8" w:color="CCEEFF"/>
            </w:tcBorders>
          </w:tcPr>
          <w:p>
            <w:pPr>
              <w:spacing w:after="0"/>
              <w:rPr>
                <w:sz w:val="20"/>
                <w:szCs w:val="20"/>
                <w:color w:val="auto"/>
              </w:rPr>
            </w:pPr>
            <w:r>
              <w:rPr>
                <w:rFonts w:ascii="Arial" w:cs="Arial" w:eastAsia="Arial" w:hAnsi="Arial"/>
                <w:sz w:val="16"/>
                <w:szCs w:val="16"/>
                <w:b w:val="1"/>
                <w:bCs w:val="1"/>
                <w:color w:val="auto"/>
              </w:rPr>
              <w:t>Net Cash Used in Financing Activities</w:t>
            </w:r>
          </w:p>
        </w:tc>
        <w:tc>
          <w:tcPr>
            <w:tcW w:w="44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(9,653,441)</w:t>
            </w:r>
          </w:p>
        </w:tc>
        <w:tc>
          <w:tcPr>
            <w:tcW w:w="10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(5,816,953)</w:t>
            </w:r>
          </w:p>
        </w:tc>
      </w:tr>
      <w:tr>
        <w:trPr>
          <w:trHeight w:val="199"/>
        </w:trPr>
        <w:tc>
          <w:tcPr>
            <w:tcW w:w="64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r>
      <w:tr>
        <w:trPr>
          <w:trHeight w:val="213"/>
        </w:trPr>
        <w:tc>
          <w:tcPr>
            <w:tcW w:w="6420" w:type="dxa"/>
            <w:vAlign w:val="bottom"/>
          </w:tcPr>
          <w:p>
            <w:pPr>
              <w:spacing w:after="0"/>
              <w:rPr>
                <w:sz w:val="20"/>
                <w:szCs w:val="20"/>
                <w:color w:val="auto"/>
              </w:rPr>
            </w:pPr>
            <w:r>
              <w:rPr>
                <w:rFonts w:ascii="Arial" w:cs="Arial" w:eastAsia="Arial" w:hAnsi="Arial"/>
                <w:sz w:val="16"/>
                <w:szCs w:val="16"/>
                <w:b w:val="1"/>
                <w:bCs w:val="1"/>
                <w:color w:val="auto"/>
              </w:rPr>
              <w:t>Total Increase in Cash Balance</w:t>
            </w:r>
          </w:p>
        </w:tc>
        <w:tc>
          <w:tcPr>
            <w:tcW w:w="4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119,905,841</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1,233,840</w:t>
            </w:r>
          </w:p>
        </w:tc>
      </w:tr>
      <w:tr>
        <w:trPr>
          <w:trHeight w:val="219"/>
        </w:trPr>
        <w:tc>
          <w:tcPr>
            <w:tcW w:w="6420" w:type="dxa"/>
            <w:vAlign w:val="bottom"/>
            <w:shd w:val="clear" w:color="auto" w:fill="CCEEFF"/>
          </w:tcPr>
          <w:p>
            <w:pPr>
              <w:spacing w:after="0"/>
              <w:rPr>
                <w:sz w:val="20"/>
                <w:szCs w:val="20"/>
                <w:color w:val="auto"/>
              </w:rPr>
            </w:pPr>
            <w:r>
              <w:rPr>
                <w:rFonts w:ascii="Arial" w:cs="Arial" w:eastAsia="Arial" w:hAnsi="Arial"/>
                <w:sz w:val="16"/>
                <w:szCs w:val="16"/>
                <w:color w:val="auto"/>
              </w:rPr>
              <w:t>Cash Balance at Beginning of Year</w:t>
            </w:r>
          </w:p>
        </w:tc>
        <w:tc>
          <w:tcPr>
            <w:tcW w:w="44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45,793,724</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44,861,263</w:t>
            </w:r>
          </w:p>
        </w:tc>
      </w:tr>
      <w:tr>
        <w:trPr>
          <w:trHeight w:val="206"/>
        </w:trPr>
        <w:tc>
          <w:tcPr>
            <w:tcW w:w="6420" w:type="dxa"/>
            <w:vAlign w:val="bottom"/>
            <w:tcBorders>
              <w:bottom w:val="single" w:sz="8" w:color="CCEEFF"/>
            </w:tcBorders>
          </w:tcPr>
          <w:p>
            <w:pPr>
              <w:spacing w:after="0"/>
              <w:rPr>
                <w:sz w:val="20"/>
                <w:szCs w:val="20"/>
                <w:color w:val="auto"/>
              </w:rPr>
            </w:pPr>
            <w:r>
              <w:rPr>
                <w:rFonts w:ascii="Arial" w:cs="Arial" w:eastAsia="Arial" w:hAnsi="Arial"/>
                <w:sz w:val="16"/>
                <w:szCs w:val="16"/>
                <w:b w:val="1"/>
                <w:bCs w:val="1"/>
                <w:color w:val="auto"/>
              </w:rPr>
              <w:t>Cash Balance at End of Period</w:t>
            </w:r>
          </w:p>
        </w:tc>
        <w:tc>
          <w:tcPr>
            <w:tcW w:w="44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165,699,565</w:t>
            </w:r>
          </w:p>
        </w:tc>
        <w:tc>
          <w:tcPr>
            <w:tcW w:w="10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46,095,103</w:t>
            </w:r>
          </w:p>
        </w:tc>
      </w:tr>
      <w:tr>
        <w:trPr>
          <w:trHeight w:val="199"/>
        </w:trPr>
        <w:tc>
          <w:tcPr>
            <w:tcW w:w="64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r>
      <w:tr>
        <w:trPr>
          <w:trHeight w:val="213"/>
        </w:trPr>
        <w:tc>
          <w:tcPr>
            <w:tcW w:w="6420" w:type="dxa"/>
            <w:vAlign w:val="bottom"/>
          </w:tcPr>
          <w:p>
            <w:pPr>
              <w:spacing w:after="0"/>
              <w:rPr>
                <w:sz w:val="20"/>
                <w:szCs w:val="20"/>
                <w:color w:val="auto"/>
              </w:rPr>
            </w:pPr>
            <w:r>
              <w:rPr>
                <w:rFonts w:ascii="Arial" w:cs="Arial" w:eastAsia="Arial" w:hAnsi="Arial"/>
                <w:sz w:val="16"/>
                <w:szCs w:val="16"/>
                <w:b w:val="1"/>
                <w:bCs w:val="1"/>
                <w:color w:val="auto"/>
              </w:rPr>
              <w:t>Supplemental Information:</w:t>
            </w: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19"/>
        </w:trPr>
        <w:tc>
          <w:tcPr>
            <w:tcW w:w="6420" w:type="dxa"/>
            <w:vAlign w:val="bottom"/>
            <w:shd w:val="clear" w:color="auto" w:fill="CCEEFF"/>
          </w:tcPr>
          <w:p>
            <w:pPr>
              <w:spacing w:after="0"/>
              <w:rPr>
                <w:sz w:val="20"/>
                <w:szCs w:val="20"/>
                <w:color w:val="auto"/>
              </w:rPr>
            </w:pPr>
            <w:r>
              <w:rPr>
                <w:rFonts w:ascii="Arial" w:cs="Arial" w:eastAsia="Arial" w:hAnsi="Arial"/>
                <w:sz w:val="16"/>
                <w:szCs w:val="16"/>
                <w:color w:val="auto"/>
              </w:rPr>
              <w:t>Interest paid</w:t>
            </w:r>
          </w:p>
        </w:tc>
        <w:tc>
          <w:tcPr>
            <w:tcW w:w="4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794,206</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956,190</w:t>
            </w:r>
          </w:p>
        </w:tc>
      </w:tr>
      <w:tr>
        <w:trPr>
          <w:trHeight w:val="209"/>
        </w:trPr>
        <w:tc>
          <w:tcPr>
            <w:tcW w:w="6420" w:type="dxa"/>
            <w:vAlign w:val="bottom"/>
          </w:tcPr>
          <w:p>
            <w:pPr>
              <w:spacing w:after="0"/>
              <w:rPr>
                <w:sz w:val="20"/>
                <w:szCs w:val="20"/>
                <w:color w:val="auto"/>
              </w:rPr>
            </w:pPr>
            <w:r>
              <w:rPr>
                <w:rFonts w:ascii="Arial" w:cs="Arial" w:eastAsia="Arial" w:hAnsi="Arial"/>
                <w:sz w:val="16"/>
                <w:szCs w:val="16"/>
                <w:color w:val="auto"/>
              </w:rPr>
              <w:t>Taxes paid</w:t>
            </w:r>
          </w:p>
        </w:tc>
        <w:tc>
          <w:tcPr>
            <w:tcW w:w="4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37,875</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8,665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-1829435</wp:posOffset>
            </wp:positionV>
            <wp:extent cx="4080510" cy="1543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080510" cy="154305"/>
                    </a:xfrm>
                    <a:prstGeom prst="rect">
                      <a:avLst/>
                    </a:prstGeom>
                    <a:noFill/>
                  </pic:spPr>
                </pic:pic>
              </a:graphicData>
            </a:graphic>
          </wp:anchor>
        </w:drawing>
        <w:drawing>
          <wp:anchor simplePos="0" relativeHeight="251657728" behindDoc="1" locked="0" layoutInCell="0" allowOverlap="1">
            <wp:simplePos x="0" y="0"/>
            <wp:positionH relativeFrom="column">
              <wp:posOffset>287655</wp:posOffset>
            </wp:positionH>
            <wp:positionV relativeFrom="paragraph">
              <wp:posOffset>-2395220</wp:posOffset>
            </wp:positionV>
            <wp:extent cx="4080510" cy="1460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080510" cy="146050"/>
                    </a:xfrm>
                    <a:prstGeom prst="rect">
                      <a:avLst/>
                    </a:prstGeom>
                    <a:noFill/>
                  </pic:spPr>
                </pic:pic>
              </a:graphicData>
            </a:graphic>
          </wp:anchor>
        </w:drawing>
      </w:r>
    </w:p>
    <w:p>
      <w:pPr>
        <w:ind w:left="3520"/>
        <w:spacing w:after="0"/>
        <w:rPr>
          <w:sz w:val="20"/>
          <w:szCs w:val="20"/>
          <w:color w:val="auto"/>
        </w:rPr>
      </w:pPr>
      <w:r>
        <w:rPr>
          <w:rFonts w:ascii="Arial" w:cs="Arial" w:eastAsia="Arial" w:hAnsi="Arial"/>
          <w:sz w:val="14"/>
          <w:szCs w:val="14"/>
          <w:i w:val="1"/>
          <w:iCs w:val="1"/>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800"/>
          </w:cols>
          <w:pgMar w:left="320" w:top="121" w:right="779" w:bottom="1440" w:gutter="0" w:footer="0" w:header="0"/>
        </w:sectPr>
      </w:pPr>
    </w:p>
    <w:bookmarkStart w:id="6" w:name="page7"/>
    <w:bookmarkEnd w:id="6"/>
    <w:p>
      <w:pPr>
        <w:spacing w:after="0"/>
        <w:rPr>
          <w:rFonts w:ascii="Arial" w:cs="Arial" w:eastAsia="Arial" w:hAnsi="Arial"/>
          <w:sz w:val="14"/>
          <w:szCs w:val="14"/>
          <w:color w:val="0000FF"/>
        </w:rPr>
      </w:pPr>
      <w:hyperlink w:anchor="page1">
        <w:r>
          <w:rPr>
            <w:rFonts w:ascii="Arial" w:cs="Arial" w:eastAsia="Arial" w:hAnsi="Arial"/>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left="340" w:right="2320"/>
        <w:spacing w:after="0" w:line="275" w:lineRule="auto"/>
        <w:rPr>
          <w:sz w:val="20"/>
          <w:szCs w:val="20"/>
          <w:color w:val="auto"/>
        </w:rPr>
      </w:pPr>
      <w:r>
        <w:rPr>
          <w:rFonts w:ascii="Arial" w:cs="Arial" w:eastAsia="Arial" w:hAnsi="Arial"/>
          <w:sz w:val="18"/>
          <w:szCs w:val="18"/>
          <w:b w:val="1"/>
          <w:bCs w:val="1"/>
          <w:color w:val="auto"/>
        </w:rPr>
        <w:t>SURO CAPITAL CORP. AND SUBSIDIARIES CONDENSED CONSOLIDATED SCHEDULE OF INVESTMENTS (UNAUDITED) March 31, 2021</w:t>
      </w:r>
    </w:p>
    <w:p>
      <w:pPr>
        <w:spacing w:after="0" w:line="28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540" w:type="dxa"/>
            <w:vAlign w:val="bottom"/>
            <w:gridSpan w:val="13"/>
            <w:vMerge w:val="restart"/>
          </w:tcPr>
          <w:p>
            <w:pPr>
              <w:spacing w:after="0"/>
              <w:rPr>
                <w:sz w:val="20"/>
                <w:szCs w:val="20"/>
                <w:color w:val="auto"/>
              </w:rPr>
            </w:pPr>
            <w:r>
              <w:rPr>
                <w:rFonts w:ascii="Arial" w:cs="Arial" w:eastAsia="Arial" w:hAnsi="Arial"/>
                <w:sz w:val="14"/>
                <w:szCs w:val="14"/>
                <w:b w:val="1"/>
                <w:bCs w:val="1"/>
                <w:color w:val="auto"/>
              </w:rPr>
              <w:t>Portfolio Investments*</w:t>
            </w:r>
          </w:p>
        </w:tc>
        <w:tc>
          <w:tcPr>
            <w:tcW w:w="120" w:type="dxa"/>
            <w:vAlign w:val="bottom"/>
          </w:tcPr>
          <w:p>
            <w:pPr>
              <w:spacing w:after="0"/>
              <w:rPr>
                <w:sz w:val="14"/>
                <w:szCs w:val="14"/>
                <w:color w:val="auto"/>
              </w:rPr>
            </w:pPr>
          </w:p>
        </w:tc>
        <w:tc>
          <w:tcPr>
            <w:tcW w:w="20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Headquarters/</w:t>
            </w:r>
          </w:p>
        </w:tc>
        <w:tc>
          <w:tcPr>
            <w:tcW w:w="10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Date of Initial</w:t>
            </w:r>
          </w:p>
        </w:tc>
        <w:tc>
          <w:tcPr>
            <w:tcW w:w="140" w:type="dxa"/>
            <w:vAlign w:val="bottom"/>
          </w:tcPr>
          <w:p>
            <w:pPr>
              <w:spacing w:after="0"/>
              <w:rPr>
                <w:sz w:val="14"/>
                <w:szCs w:val="14"/>
                <w:color w:val="auto"/>
              </w:rPr>
            </w:pPr>
          </w:p>
        </w:tc>
        <w:tc>
          <w:tcPr>
            <w:tcW w:w="840" w:type="dxa"/>
            <w:vAlign w:val="bottom"/>
          </w:tcPr>
          <w:p>
            <w:pPr>
              <w:jc w:val="right"/>
              <w:ind w:right="208"/>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Cost</w:t>
            </w:r>
          </w:p>
        </w:tc>
        <w:tc>
          <w:tcPr>
            <w:tcW w:w="160" w:type="dxa"/>
            <w:vAlign w:val="bottom"/>
          </w:tcPr>
          <w:p>
            <w:pPr>
              <w:spacing w:after="0"/>
              <w:rPr>
                <w:sz w:val="14"/>
                <w:szCs w:val="14"/>
                <w:color w:val="auto"/>
              </w:rPr>
            </w:pPr>
          </w:p>
        </w:tc>
        <w:tc>
          <w:tcPr>
            <w:tcW w:w="10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Fair Value</w:t>
            </w:r>
          </w:p>
        </w:tc>
        <w:tc>
          <w:tcPr>
            <w:tcW w:w="900" w:type="dxa"/>
            <w:vAlign w:val="bottom"/>
          </w:tcPr>
          <w:p>
            <w:pPr>
              <w:jc w:val="right"/>
              <w:ind w:right="108"/>
              <w:spacing w:after="0"/>
              <w:rPr>
                <w:sz w:val="20"/>
                <w:szCs w:val="20"/>
                <w:color w:val="auto"/>
              </w:rPr>
            </w:pPr>
            <w:r>
              <w:rPr>
                <w:rFonts w:ascii="Arial" w:cs="Arial" w:eastAsia="Arial" w:hAnsi="Arial"/>
                <w:sz w:val="14"/>
                <w:szCs w:val="14"/>
                <w:b w:val="1"/>
                <w:bCs w:val="1"/>
                <w:color w:val="auto"/>
              </w:rPr>
              <w:t>% of Net</w:t>
            </w:r>
          </w:p>
        </w:tc>
        <w:tc>
          <w:tcPr>
            <w:tcW w:w="0" w:type="dxa"/>
            <w:vAlign w:val="bottom"/>
          </w:tcPr>
          <w:p>
            <w:pPr>
              <w:spacing w:after="0"/>
              <w:rPr>
                <w:sz w:val="1"/>
                <w:szCs w:val="1"/>
                <w:color w:val="auto"/>
              </w:rPr>
            </w:pPr>
          </w:p>
        </w:tc>
      </w:tr>
      <w:tr>
        <w:trPr>
          <w:trHeight w:val="188"/>
        </w:trPr>
        <w:tc>
          <w:tcPr>
            <w:tcW w:w="3540" w:type="dxa"/>
            <w:vAlign w:val="bottom"/>
            <w:gridSpan w:val="13"/>
            <w:vMerge w:val="continue"/>
          </w:tcPr>
          <w:p>
            <w:pPr>
              <w:spacing w:after="0"/>
              <w:rPr>
                <w:sz w:val="16"/>
                <w:szCs w:val="16"/>
                <w:color w:val="auto"/>
              </w:rPr>
            </w:pPr>
          </w:p>
        </w:tc>
        <w:tc>
          <w:tcPr>
            <w:tcW w:w="120" w:type="dxa"/>
            <w:vAlign w:val="bottom"/>
          </w:tcPr>
          <w:p>
            <w:pPr>
              <w:spacing w:after="0"/>
              <w:rPr>
                <w:sz w:val="16"/>
                <w:szCs w:val="16"/>
                <w:color w:val="auto"/>
              </w:rPr>
            </w:pPr>
          </w:p>
        </w:tc>
        <w:tc>
          <w:tcPr>
            <w:tcW w:w="20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7"/>
              </w:rPr>
              <w:t>Industry</w:t>
            </w:r>
          </w:p>
        </w:tc>
        <w:tc>
          <w:tcPr>
            <w:tcW w:w="10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Investment</w:t>
            </w:r>
          </w:p>
        </w:tc>
        <w:tc>
          <w:tcPr>
            <w:tcW w:w="140" w:type="dxa"/>
            <w:vAlign w:val="bottom"/>
          </w:tcPr>
          <w:p>
            <w:pPr>
              <w:spacing w:after="0"/>
              <w:rPr>
                <w:sz w:val="16"/>
                <w:szCs w:val="16"/>
                <w:color w:val="auto"/>
              </w:rPr>
            </w:pPr>
          </w:p>
        </w:tc>
        <w:tc>
          <w:tcPr>
            <w:tcW w:w="840" w:type="dxa"/>
            <w:vAlign w:val="bottom"/>
          </w:tcPr>
          <w:p>
            <w:pPr>
              <w:jc w:val="right"/>
              <w:ind w:right="148"/>
              <w:spacing w:after="0"/>
              <w:rPr>
                <w:sz w:val="20"/>
                <w:szCs w:val="20"/>
                <w:color w:val="auto"/>
              </w:rPr>
            </w:pPr>
            <w:r>
              <w:rPr>
                <w:rFonts w:ascii="Arial" w:cs="Arial" w:eastAsia="Arial" w:hAnsi="Arial"/>
                <w:sz w:val="14"/>
                <w:szCs w:val="14"/>
                <w:b w:val="1"/>
                <w:bCs w:val="1"/>
                <w:color w:val="auto"/>
              </w:rPr>
              <w:t>Principal</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900" w:type="dxa"/>
            <w:vAlign w:val="bottom"/>
          </w:tcPr>
          <w:p>
            <w:pPr>
              <w:jc w:val="right"/>
              <w:ind w:right="188"/>
              <w:spacing w:after="0"/>
              <w:rPr>
                <w:sz w:val="20"/>
                <w:szCs w:val="20"/>
                <w:color w:val="auto"/>
              </w:rPr>
            </w:pPr>
            <w:r>
              <w:rPr>
                <w:rFonts w:ascii="Arial" w:cs="Arial" w:eastAsia="Arial" w:hAnsi="Arial"/>
                <w:sz w:val="14"/>
                <w:szCs w:val="14"/>
                <w:b w:val="1"/>
                <w:bCs w:val="1"/>
                <w:color w:val="auto"/>
              </w:rPr>
              <w:t>Assets</w:t>
            </w:r>
          </w:p>
        </w:tc>
        <w:tc>
          <w:tcPr>
            <w:tcW w:w="0" w:type="dxa"/>
            <w:vAlign w:val="bottom"/>
          </w:tcPr>
          <w:p>
            <w:pPr>
              <w:spacing w:after="0"/>
              <w:rPr>
                <w:sz w:val="1"/>
                <w:szCs w:val="1"/>
                <w:color w:val="auto"/>
              </w:rPr>
            </w:pPr>
          </w:p>
        </w:tc>
      </w:tr>
      <w:tr>
        <w:trPr>
          <w:trHeight w:val="184"/>
        </w:trPr>
        <w:tc>
          <w:tcPr>
            <w:tcW w:w="3540" w:type="dxa"/>
            <w:vAlign w:val="bottom"/>
            <w:tcBorders>
              <w:top w:val="single" w:sz="8" w:color="auto"/>
            </w:tcBorders>
            <w:gridSpan w:val="13"/>
            <w:shd w:val="clear" w:color="auto" w:fill="CCEEFF"/>
          </w:tcPr>
          <w:p>
            <w:pPr>
              <w:spacing w:after="0"/>
              <w:rPr>
                <w:sz w:val="20"/>
                <w:szCs w:val="20"/>
                <w:color w:val="auto"/>
              </w:rPr>
            </w:pPr>
            <w:r>
              <w:rPr>
                <w:rFonts w:ascii="Arial" w:cs="Arial" w:eastAsia="Arial" w:hAnsi="Arial"/>
                <w:sz w:val="14"/>
                <w:szCs w:val="14"/>
                <w:b w:val="1"/>
                <w:bCs w:val="1"/>
                <w:color w:val="auto"/>
              </w:rPr>
              <w:t>NON-CONTROLLED/NON-AFFILIATE</w:t>
            </w:r>
          </w:p>
        </w:tc>
        <w:tc>
          <w:tcPr>
            <w:tcW w:w="120" w:type="dxa"/>
            <w:vAlign w:val="bottom"/>
            <w:tcBorders>
              <w:top w:val="single" w:sz="8" w:color="CCEEFF"/>
            </w:tcBorders>
            <w:shd w:val="clear" w:color="auto" w:fill="CCEEFF"/>
          </w:tcPr>
          <w:p>
            <w:pPr>
              <w:spacing w:after="0"/>
              <w:rPr>
                <w:sz w:val="15"/>
                <w:szCs w:val="15"/>
                <w:color w:val="auto"/>
              </w:rPr>
            </w:pPr>
          </w:p>
        </w:tc>
        <w:tc>
          <w:tcPr>
            <w:tcW w:w="19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3540" w:type="dxa"/>
            <w:vAlign w:val="bottom"/>
            <w:gridSpan w:val="13"/>
          </w:tcPr>
          <w:p>
            <w:pPr>
              <w:spacing w:after="0" w:line="149" w:lineRule="exact"/>
              <w:rPr>
                <w:sz w:val="20"/>
                <w:szCs w:val="20"/>
                <w:color w:val="auto"/>
              </w:rPr>
            </w:pPr>
            <w:r>
              <w:rPr>
                <w:rFonts w:ascii="Arial" w:cs="Arial" w:eastAsia="Arial" w:hAnsi="Arial"/>
                <w:sz w:val="14"/>
                <w:szCs w:val="14"/>
                <w:b w:val="1"/>
                <w:bCs w:val="1"/>
                <w:color w:val="auto"/>
              </w:rPr>
              <w:t>Coursera, Inc.**</w:t>
            </w:r>
          </w:p>
        </w:tc>
        <w:tc>
          <w:tcPr>
            <w:tcW w:w="120" w:type="dxa"/>
            <w:vAlign w:val="bottom"/>
          </w:tcPr>
          <w:p>
            <w:pPr>
              <w:spacing w:after="0"/>
              <w:rPr>
                <w:sz w:val="12"/>
                <w:szCs w:val="12"/>
                <w:color w:val="auto"/>
              </w:rPr>
            </w:pPr>
          </w:p>
        </w:tc>
        <w:tc>
          <w:tcPr>
            <w:tcW w:w="2060" w:type="dxa"/>
            <w:vAlign w:val="bottom"/>
            <w:gridSpan w:val="2"/>
          </w:tcPr>
          <w:p>
            <w:pPr>
              <w:jc w:val="center"/>
              <w:ind w:right="140"/>
              <w:spacing w:after="0" w:line="149" w:lineRule="exact"/>
              <w:rPr>
                <w:sz w:val="20"/>
                <w:szCs w:val="20"/>
                <w:color w:val="auto"/>
              </w:rPr>
            </w:pPr>
            <w:r>
              <w:rPr>
                <w:rFonts w:ascii="Arial" w:cs="Arial" w:eastAsia="Arial" w:hAnsi="Arial"/>
                <w:sz w:val="14"/>
                <w:szCs w:val="14"/>
                <w:color w:val="auto"/>
                <w:w w:val="97"/>
              </w:rPr>
              <w:t>Mountain View, CA</w:t>
            </w: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70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3540" w:type="dxa"/>
            <w:vAlign w:val="bottom"/>
            <w:gridSpan w:val="13"/>
            <w:shd w:val="clear" w:color="auto" w:fill="CCEEFF"/>
          </w:tcPr>
          <w:p>
            <w:pPr>
              <w:spacing w:after="0" w:line="189" w:lineRule="exact"/>
              <w:rPr>
                <w:sz w:val="20"/>
                <w:szCs w:val="20"/>
                <w:color w:val="auto"/>
              </w:rPr>
            </w:pPr>
            <w:r>
              <w:rPr>
                <w:rFonts w:ascii="Arial" w:cs="Arial" w:eastAsia="Arial" w:hAnsi="Arial"/>
                <w:sz w:val="14"/>
                <w:szCs w:val="14"/>
                <w:color w:val="auto"/>
              </w:rPr>
              <w:t>Common shares</w:t>
            </w:r>
            <w:r>
              <w:rPr>
                <w:rFonts w:ascii="Arial" w:cs="Arial" w:eastAsia="Arial" w:hAnsi="Arial"/>
                <w:sz w:val="18"/>
                <w:szCs w:val="18"/>
                <w:color w:val="auto"/>
                <w:vertAlign w:val="superscript"/>
              </w:rPr>
              <w:t>(3)(13)</w:t>
            </w:r>
          </w:p>
        </w:tc>
        <w:tc>
          <w:tcPr>
            <w:tcW w:w="120" w:type="dxa"/>
            <w:vAlign w:val="bottom"/>
            <w:shd w:val="clear" w:color="auto" w:fill="CCEEFF"/>
          </w:tcPr>
          <w:p>
            <w:pPr>
              <w:spacing w:after="0"/>
              <w:rPr>
                <w:sz w:val="16"/>
                <w:szCs w:val="16"/>
                <w:color w:val="auto"/>
              </w:rPr>
            </w:pPr>
          </w:p>
        </w:tc>
        <w:tc>
          <w:tcPr>
            <w:tcW w:w="206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5"/>
              </w:rPr>
              <w:t>Online Education</w:t>
            </w:r>
          </w:p>
        </w:tc>
        <w:tc>
          <w:tcPr>
            <w:tcW w:w="9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6/9/2013</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3,128,361</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17,359,536</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126,698,621</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29.06 %</w:t>
            </w:r>
          </w:p>
        </w:tc>
        <w:tc>
          <w:tcPr>
            <w:tcW w:w="0" w:type="dxa"/>
            <w:vAlign w:val="bottom"/>
          </w:tcPr>
          <w:p>
            <w:pPr>
              <w:spacing w:after="0"/>
              <w:rPr>
                <w:sz w:val="1"/>
                <w:szCs w:val="1"/>
                <w:color w:val="auto"/>
              </w:rPr>
            </w:pPr>
          </w:p>
        </w:tc>
      </w:tr>
      <w:tr>
        <w:trPr>
          <w:trHeight w:val="149"/>
        </w:trPr>
        <w:tc>
          <w:tcPr>
            <w:tcW w:w="3540" w:type="dxa"/>
            <w:vAlign w:val="bottom"/>
            <w:gridSpan w:val="13"/>
          </w:tcPr>
          <w:p>
            <w:pPr>
              <w:spacing w:after="0" w:line="149" w:lineRule="exact"/>
              <w:rPr>
                <w:sz w:val="20"/>
                <w:szCs w:val="20"/>
                <w:color w:val="auto"/>
              </w:rPr>
            </w:pPr>
            <w:r>
              <w:rPr>
                <w:rFonts w:ascii="Arial" w:cs="Arial" w:eastAsia="Arial" w:hAnsi="Arial"/>
                <w:sz w:val="14"/>
                <w:szCs w:val="14"/>
                <w:b w:val="1"/>
                <w:bCs w:val="1"/>
                <w:color w:val="auto"/>
              </w:rPr>
              <w:t>Course Hero, Inc.</w:t>
            </w:r>
          </w:p>
        </w:tc>
        <w:tc>
          <w:tcPr>
            <w:tcW w:w="120" w:type="dxa"/>
            <w:vAlign w:val="bottom"/>
          </w:tcPr>
          <w:p>
            <w:pPr>
              <w:spacing w:after="0"/>
              <w:rPr>
                <w:sz w:val="12"/>
                <w:szCs w:val="12"/>
                <w:color w:val="auto"/>
              </w:rPr>
            </w:pPr>
          </w:p>
        </w:tc>
        <w:tc>
          <w:tcPr>
            <w:tcW w:w="206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6"/>
              </w:rPr>
              <w:t>Redwood City, CA</w:t>
            </w: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0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3540" w:type="dxa"/>
            <w:vAlign w:val="bottom"/>
            <w:gridSpan w:val="13"/>
            <w:shd w:val="clear" w:color="auto" w:fill="CCEEFF"/>
          </w:tcPr>
          <w:p>
            <w:pPr>
              <w:spacing w:after="0"/>
              <w:rPr>
                <w:sz w:val="20"/>
                <w:szCs w:val="20"/>
                <w:color w:val="auto"/>
              </w:rPr>
            </w:pPr>
            <w:r>
              <w:rPr>
                <w:rFonts w:ascii="Arial" w:cs="Arial" w:eastAsia="Arial" w:hAnsi="Arial"/>
                <w:sz w:val="14"/>
                <w:szCs w:val="14"/>
                <w:color w:val="auto"/>
              </w:rPr>
              <w:t>Preferred shares, Series A 8%</w:t>
            </w:r>
          </w:p>
        </w:tc>
        <w:tc>
          <w:tcPr>
            <w:tcW w:w="120" w:type="dxa"/>
            <w:vAlign w:val="bottom"/>
            <w:shd w:val="clear" w:color="auto" w:fill="CCEEFF"/>
          </w:tcPr>
          <w:p>
            <w:pPr>
              <w:spacing w:after="0"/>
              <w:rPr>
                <w:sz w:val="16"/>
                <w:szCs w:val="16"/>
                <w:color w:val="auto"/>
              </w:rPr>
            </w:pPr>
          </w:p>
        </w:tc>
        <w:tc>
          <w:tcPr>
            <w:tcW w:w="206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5"/>
              </w:rPr>
              <w:t>Online Education</w:t>
            </w:r>
          </w:p>
        </w:tc>
        <w:tc>
          <w:tcPr>
            <w:tcW w:w="9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9/18/2014</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2,145,509</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5,000,001</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32,530,814</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7.46 %</w:t>
            </w:r>
          </w:p>
        </w:tc>
        <w:tc>
          <w:tcPr>
            <w:tcW w:w="0" w:type="dxa"/>
            <w:vAlign w:val="bottom"/>
          </w:tcPr>
          <w:p>
            <w:pPr>
              <w:spacing w:after="0"/>
              <w:rPr>
                <w:sz w:val="1"/>
                <w:szCs w:val="1"/>
                <w:color w:val="auto"/>
              </w:rPr>
            </w:pPr>
          </w:p>
        </w:tc>
      </w:tr>
      <w:tr>
        <w:trPr>
          <w:trHeight w:val="148"/>
        </w:trPr>
        <w:tc>
          <w:tcPr>
            <w:tcW w:w="3540" w:type="dxa"/>
            <w:vAlign w:val="bottom"/>
            <w:gridSpan w:val="13"/>
          </w:tcPr>
          <w:p>
            <w:pPr>
              <w:spacing w:after="0" w:line="149" w:lineRule="exact"/>
              <w:rPr>
                <w:sz w:val="20"/>
                <w:szCs w:val="20"/>
                <w:color w:val="auto"/>
              </w:rPr>
            </w:pPr>
            <w:r>
              <w:rPr>
                <w:rFonts w:ascii="Arial" w:cs="Arial" w:eastAsia="Arial" w:hAnsi="Arial"/>
                <w:sz w:val="14"/>
                <w:szCs w:val="14"/>
                <w:b w:val="1"/>
                <w:bCs w:val="1"/>
                <w:color w:val="auto"/>
              </w:rPr>
              <w:t>Nextdoor.com, Inc.</w:t>
            </w:r>
          </w:p>
        </w:tc>
        <w:tc>
          <w:tcPr>
            <w:tcW w:w="120" w:type="dxa"/>
            <w:vAlign w:val="bottom"/>
          </w:tcPr>
          <w:p>
            <w:pPr>
              <w:spacing w:after="0"/>
              <w:rPr>
                <w:sz w:val="12"/>
                <w:szCs w:val="12"/>
                <w:color w:val="auto"/>
              </w:rPr>
            </w:pPr>
          </w:p>
        </w:tc>
        <w:tc>
          <w:tcPr>
            <w:tcW w:w="2060" w:type="dxa"/>
            <w:vAlign w:val="bottom"/>
            <w:gridSpan w:val="2"/>
          </w:tcPr>
          <w:p>
            <w:pPr>
              <w:jc w:val="center"/>
              <w:ind w:right="140"/>
              <w:spacing w:after="0" w:line="149" w:lineRule="exact"/>
              <w:rPr>
                <w:sz w:val="20"/>
                <w:szCs w:val="20"/>
                <w:color w:val="auto"/>
              </w:rPr>
            </w:pPr>
            <w:r>
              <w:rPr>
                <w:rFonts w:ascii="Arial" w:cs="Arial" w:eastAsia="Arial" w:hAnsi="Arial"/>
                <w:sz w:val="14"/>
                <w:szCs w:val="14"/>
                <w:color w:val="auto"/>
                <w:w w:val="92"/>
              </w:rPr>
              <w:t>San Francisco, CA</w:t>
            </w: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70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3540" w:type="dxa"/>
            <w:vAlign w:val="bottom"/>
            <w:gridSpan w:val="13"/>
            <w:shd w:val="clear" w:color="auto" w:fill="CCEEFF"/>
          </w:tcPr>
          <w:p>
            <w:pPr>
              <w:spacing w:after="0"/>
              <w:rPr>
                <w:sz w:val="20"/>
                <w:szCs w:val="20"/>
                <w:color w:val="auto"/>
              </w:rPr>
            </w:pPr>
            <w:r>
              <w:rPr>
                <w:rFonts w:ascii="Arial" w:cs="Arial" w:eastAsia="Arial" w:hAnsi="Arial"/>
                <w:sz w:val="14"/>
                <w:szCs w:val="14"/>
                <w:color w:val="auto"/>
              </w:rPr>
              <w:t>Common shares</w:t>
            </w:r>
          </w:p>
        </w:tc>
        <w:tc>
          <w:tcPr>
            <w:tcW w:w="120" w:type="dxa"/>
            <w:vAlign w:val="bottom"/>
            <w:shd w:val="clear" w:color="auto" w:fill="CCEEFF"/>
          </w:tcPr>
          <w:p>
            <w:pPr>
              <w:spacing w:after="0"/>
              <w:rPr>
                <w:sz w:val="16"/>
                <w:szCs w:val="16"/>
                <w:color w:val="auto"/>
              </w:rPr>
            </w:pPr>
          </w:p>
        </w:tc>
        <w:tc>
          <w:tcPr>
            <w:tcW w:w="2060" w:type="dxa"/>
            <w:vAlign w:val="bottom"/>
            <w:gridSpan w:val="2"/>
            <w:shd w:val="clear" w:color="auto" w:fill="CCEEFF"/>
          </w:tcPr>
          <w:p>
            <w:pPr>
              <w:jc w:val="center"/>
              <w:ind w:right="140"/>
              <w:spacing w:after="0"/>
              <w:rPr>
                <w:sz w:val="20"/>
                <w:szCs w:val="20"/>
                <w:color w:val="auto"/>
              </w:rPr>
            </w:pPr>
            <w:r>
              <w:rPr>
                <w:rFonts w:ascii="Arial" w:cs="Arial" w:eastAsia="Arial" w:hAnsi="Arial"/>
                <w:sz w:val="14"/>
                <w:szCs w:val="14"/>
                <w:color w:val="auto"/>
                <w:w w:val="96"/>
              </w:rPr>
              <w:t>Social Networking</w:t>
            </w:r>
          </w:p>
        </w:tc>
        <w:tc>
          <w:tcPr>
            <w:tcW w:w="9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9/27/2018</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580,360</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10,002,666</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17,913,799</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4.11 %</w:t>
            </w:r>
          </w:p>
        </w:tc>
        <w:tc>
          <w:tcPr>
            <w:tcW w:w="0" w:type="dxa"/>
            <w:vAlign w:val="bottom"/>
          </w:tcPr>
          <w:p>
            <w:pPr>
              <w:spacing w:after="0"/>
              <w:rPr>
                <w:sz w:val="1"/>
                <w:szCs w:val="1"/>
                <w:color w:val="auto"/>
              </w:rPr>
            </w:pPr>
          </w:p>
        </w:tc>
      </w:tr>
      <w:tr>
        <w:trPr>
          <w:trHeight w:val="148"/>
        </w:trPr>
        <w:tc>
          <w:tcPr>
            <w:tcW w:w="3540" w:type="dxa"/>
            <w:vAlign w:val="bottom"/>
            <w:gridSpan w:val="13"/>
          </w:tcPr>
          <w:p>
            <w:pPr>
              <w:spacing w:after="0" w:line="149" w:lineRule="exact"/>
              <w:rPr>
                <w:sz w:val="20"/>
                <w:szCs w:val="20"/>
                <w:color w:val="auto"/>
              </w:rPr>
            </w:pPr>
            <w:r>
              <w:rPr>
                <w:rFonts w:ascii="Arial" w:cs="Arial" w:eastAsia="Arial" w:hAnsi="Arial"/>
                <w:sz w:val="14"/>
                <w:szCs w:val="14"/>
                <w:b w:val="1"/>
                <w:bCs w:val="1"/>
                <w:color w:val="auto"/>
              </w:rPr>
              <w:t>Blink Health, Inc.</w:t>
            </w:r>
          </w:p>
        </w:tc>
        <w:tc>
          <w:tcPr>
            <w:tcW w:w="120" w:type="dxa"/>
            <w:vAlign w:val="bottom"/>
          </w:tcPr>
          <w:p>
            <w:pPr>
              <w:spacing w:after="0"/>
              <w:rPr>
                <w:sz w:val="12"/>
                <w:szCs w:val="12"/>
                <w:color w:val="auto"/>
              </w:rPr>
            </w:pPr>
          </w:p>
        </w:tc>
        <w:tc>
          <w:tcPr>
            <w:tcW w:w="206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7"/>
              </w:rPr>
              <w:t>New York, NY</w:t>
            </w: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0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3540" w:type="dxa"/>
            <w:vAlign w:val="bottom"/>
            <w:gridSpan w:val="13"/>
            <w:shd w:val="clear" w:color="auto" w:fill="CCEEFF"/>
          </w:tcPr>
          <w:p>
            <w:pPr>
              <w:spacing w:after="0"/>
              <w:rPr>
                <w:sz w:val="20"/>
                <w:szCs w:val="20"/>
                <w:color w:val="auto"/>
              </w:rPr>
            </w:pPr>
            <w:r>
              <w:rPr>
                <w:rFonts w:ascii="Arial" w:cs="Arial" w:eastAsia="Arial" w:hAnsi="Arial"/>
                <w:sz w:val="14"/>
                <w:szCs w:val="14"/>
                <w:color w:val="auto"/>
              </w:rPr>
              <w:t>Preferred shares, Series A</w:t>
            </w:r>
          </w:p>
        </w:tc>
        <w:tc>
          <w:tcPr>
            <w:tcW w:w="120" w:type="dxa"/>
            <w:vAlign w:val="bottom"/>
            <w:shd w:val="clear" w:color="auto" w:fill="CCEEFF"/>
          </w:tcPr>
          <w:p>
            <w:pPr>
              <w:spacing w:after="0"/>
              <w:rPr>
                <w:sz w:val="16"/>
                <w:szCs w:val="16"/>
                <w:color w:val="auto"/>
              </w:rPr>
            </w:pPr>
          </w:p>
        </w:tc>
        <w:tc>
          <w:tcPr>
            <w:tcW w:w="2060" w:type="dxa"/>
            <w:vAlign w:val="bottom"/>
            <w:gridSpan w:val="2"/>
            <w:shd w:val="clear" w:color="auto" w:fill="CCEEFF"/>
          </w:tcPr>
          <w:p>
            <w:pPr>
              <w:jc w:val="center"/>
              <w:ind w:right="140"/>
              <w:spacing w:after="0"/>
              <w:rPr>
                <w:sz w:val="20"/>
                <w:szCs w:val="20"/>
                <w:color w:val="auto"/>
              </w:rPr>
            </w:pPr>
            <w:r>
              <w:rPr>
                <w:rFonts w:ascii="Arial" w:cs="Arial" w:eastAsia="Arial" w:hAnsi="Arial"/>
                <w:sz w:val="14"/>
                <w:szCs w:val="14"/>
                <w:color w:val="auto"/>
                <w:w w:val="92"/>
              </w:rPr>
              <w:t>Pharmaceutical Technology</w:t>
            </w:r>
          </w:p>
        </w:tc>
        <w:tc>
          <w:tcPr>
            <w:tcW w:w="9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10/27/2020</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238,095</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5,000,423</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4,999,995</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1.15 %</w:t>
            </w:r>
          </w:p>
        </w:tc>
        <w:tc>
          <w:tcPr>
            <w:tcW w:w="0" w:type="dxa"/>
            <w:vAlign w:val="bottom"/>
          </w:tcPr>
          <w:p>
            <w:pPr>
              <w:spacing w:after="0"/>
              <w:rPr>
                <w:sz w:val="1"/>
                <w:szCs w:val="1"/>
                <w:color w:val="auto"/>
              </w:rPr>
            </w:pPr>
          </w:p>
        </w:tc>
      </w:tr>
      <w:tr>
        <w:trPr>
          <w:trHeight w:val="166"/>
        </w:trPr>
        <w:tc>
          <w:tcPr>
            <w:tcW w:w="3540" w:type="dxa"/>
            <w:vAlign w:val="bottom"/>
            <w:tcBorders>
              <w:bottom w:val="single" w:sz="8" w:color="CCEEFF"/>
            </w:tcBorders>
            <w:gridSpan w:val="13"/>
          </w:tcPr>
          <w:p>
            <w:pPr>
              <w:spacing w:after="0"/>
              <w:rPr>
                <w:sz w:val="20"/>
                <w:szCs w:val="20"/>
                <w:color w:val="auto"/>
              </w:rPr>
            </w:pPr>
            <w:r>
              <w:rPr>
                <w:rFonts w:ascii="Arial" w:cs="Arial" w:eastAsia="Arial" w:hAnsi="Arial"/>
                <w:sz w:val="14"/>
                <w:szCs w:val="14"/>
                <w:color w:val="auto"/>
              </w:rPr>
              <w:t>Preferred shares, Series C</w:t>
            </w:r>
          </w:p>
        </w:tc>
        <w:tc>
          <w:tcPr>
            <w:tcW w:w="120" w:type="dxa"/>
            <w:vAlign w:val="bottom"/>
            <w:tcBorders>
              <w:bottom w:val="single" w:sz="8" w:color="CCEEFF"/>
            </w:tcBorders>
          </w:tcPr>
          <w:p>
            <w:pPr>
              <w:spacing w:after="0"/>
              <w:rPr>
                <w:sz w:val="14"/>
                <w:szCs w:val="14"/>
                <w:color w:val="auto"/>
              </w:rPr>
            </w:pPr>
          </w:p>
        </w:tc>
        <w:tc>
          <w:tcPr>
            <w:tcW w:w="1960" w:type="dxa"/>
            <w:vAlign w:val="bottom"/>
            <w:tcBorders>
              <w:top w:val="single" w:sz="8" w:color="CCEEFF"/>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980" w:type="dxa"/>
            <w:vAlign w:val="bottom"/>
            <w:tcBorders>
              <w:bottom w:val="single" w:sz="8" w:color="CCEEFF"/>
            </w:tcBorders>
          </w:tcPr>
          <w:p>
            <w:pPr>
              <w:jc w:val="center"/>
              <w:spacing w:after="0"/>
              <w:rPr>
                <w:sz w:val="20"/>
                <w:szCs w:val="20"/>
                <w:color w:val="auto"/>
              </w:rPr>
            </w:pPr>
            <w:r>
              <w:rPr>
                <w:rFonts w:ascii="Arial" w:cs="Arial" w:eastAsia="Arial" w:hAnsi="Arial"/>
                <w:sz w:val="14"/>
                <w:szCs w:val="14"/>
                <w:color w:val="auto"/>
                <w:w w:val="91"/>
              </w:rPr>
              <w:t>10/27/2020</w:t>
            </w: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840" w:type="dxa"/>
            <w:vAlign w:val="bottom"/>
            <w:tcBorders>
              <w:bottom w:val="single" w:sz="8" w:color="CCEEFF"/>
            </w:tcBorders>
          </w:tcPr>
          <w:p>
            <w:pPr>
              <w:jc w:val="right"/>
              <w:ind w:right="8"/>
              <w:spacing w:after="0"/>
              <w:rPr>
                <w:sz w:val="20"/>
                <w:szCs w:val="20"/>
                <w:color w:val="auto"/>
              </w:rPr>
            </w:pPr>
            <w:r>
              <w:rPr>
                <w:rFonts w:ascii="Arial" w:cs="Arial" w:eastAsia="Arial" w:hAnsi="Arial"/>
                <w:sz w:val="14"/>
                <w:szCs w:val="14"/>
                <w:color w:val="auto"/>
              </w:rPr>
              <w:t>130,972</w:t>
            </w: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5,002,932</w:t>
            </w: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4,999,987</w:t>
            </w:r>
          </w:p>
        </w:tc>
        <w:tc>
          <w:tcPr>
            <w:tcW w:w="10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1.15 %</w:t>
            </w:r>
          </w:p>
        </w:tc>
        <w:tc>
          <w:tcPr>
            <w:tcW w:w="0" w:type="dxa"/>
            <w:vAlign w:val="bottom"/>
          </w:tcPr>
          <w:p>
            <w:pPr>
              <w:spacing w:after="0"/>
              <w:rPr>
                <w:sz w:val="1"/>
                <w:szCs w:val="1"/>
                <w:color w:val="auto"/>
              </w:rPr>
            </w:pPr>
          </w:p>
        </w:tc>
      </w:tr>
      <w:tr>
        <w:trPr>
          <w:trHeight w:val="186"/>
        </w:trPr>
        <w:tc>
          <w:tcPr>
            <w:tcW w:w="3540" w:type="dxa"/>
            <w:vAlign w:val="bottom"/>
            <w:tcBorders>
              <w:bottom w:val="single" w:sz="8" w:color="CCEEFF"/>
            </w:tcBorders>
            <w:gridSpan w:val="13"/>
            <w:shd w:val="clear" w:color="auto" w:fill="CCEEFF"/>
          </w:tcPr>
          <w:p>
            <w:pPr>
              <w:ind w:left="120"/>
              <w:spacing w:after="0"/>
              <w:rPr>
                <w:sz w:val="20"/>
                <w:szCs w:val="20"/>
                <w:color w:val="auto"/>
              </w:rPr>
            </w:pPr>
            <w:r>
              <w:rPr>
                <w:rFonts w:ascii="Arial" w:cs="Arial" w:eastAsia="Arial" w:hAnsi="Arial"/>
                <w:sz w:val="14"/>
                <w:szCs w:val="14"/>
                <w:color w:val="auto"/>
              </w:rPr>
              <w:t>Total</w:t>
            </w:r>
          </w:p>
        </w:tc>
        <w:tc>
          <w:tcPr>
            <w:tcW w:w="120" w:type="dxa"/>
            <w:vAlign w:val="bottom"/>
            <w:shd w:val="clear" w:color="auto" w:fill="CCEEFF"/>
          </w:tcPr>
          <w:p>
            <w:pPr>
              <w:spacing w:after="0"/>
              <w:rPr>
                <w:sz w:val="16"/>
                <w:szCs w:val="16"/>
                <w:color w:val="auto"/>
              </w:rPr>
            </w:pPr>
          </w:p>
        </w:tc>
        <w:tc>
          <w:tcPr>
            <w:tcW w:w="1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10,003,355</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9,999,982</w:t>
            </w:r>
          </w:p>
        </w:tc>
        <w:tc>
          <w:tcPr>
            <w:tcW w:w="100" w:type="dxa"/>
            <w:vAlign w:val="bottom"/>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2.30 %</w:t>
            </w:r>
          </w:p>
        </w:tc>
        <w:tc>
          <w:tcPr>
            <w:tcW w:w="0" w:type="dxa"/>
            <w:vAlign w:val="bottom"/>
          </w:tcPr>
          <w:p>
            <w:pPr>
              <w:spacing w:after="0"/>
              <w:rPr>
                <w:sz w:val="1"/>
                <w:szCs w:val="1"/>
                <w:color w:val="auto"/>
              </w:rPr>
            </w:pPr>
          </w:p>
        </w:tc>
      </w:tr>
      <w:tr>
        <w:trPr>
          <w:trHeight w:val="142"/>
        </w:trPr>
        <w:tc>
          <w:tcPr>
            <w:tcW w:w="3540" w:type="dxa"/>
            <w:vAlign w:val="bottom"/>
            <w:gridSpan w:val="13"/>
          </w:tcPr>
          <w:p>
            <w:pPr>
              <w:spacing w:after="0" w:line="142" w:lineRule="exact"/>
              <w:rPr>
                <w:sz w:val="20"/>
                <w:szCs w:val="20"/>
                <w:color w:val="auto"/>
              </w:rPr>
            </w:pPr>
            <w:r>
              <w:rPr>
                <w:rFonts w:ascii="Arial" w:cs="Arial" w:eastAsia="Arial" w:hAnsi="Arial"/>
                <w:sz w:val="13"/>
                <w:szCs w:val="13"/>
                <w:b w:val="1"/>
                <w:bCs w:val="1"/>
                <w:color w:val="auto"/>
              </w:rPr>
              <w:t>Forge Global, Inc.</w:t>
            </w:r>
            <w:r>
              <w:rPr>
                <w:rFonts w:ascii="Arial" w:cs="Arial" w:eastAsia="Arial" w:hAnsi="Arial"/>
                <w:sz w:val="16"/>
                <w:szCs w:val="16"/>
                <w:b w:val="1"/>
                <w:bCs w:val="1"/>
                <w:color w:val="auto"/>
                <w:vertAlign w:val="superscript"/>
              </w:rPr>
              <w:t>(12)</w:t>
            </w:r>
          </w:p>
        </w:tc>
        <w:tc>
          <w:tcPr>
            <w:tcW w:w="120" w:type="dxa"/>
            <w:vAlign w:val="bottom"/>
          </w:tcPr>
          <w:p>
            <w:pPr>
              <w:spacing w:after="0"/>
              <w:rPr>
                <w:sz w:val="12"/>
                <w:szCs w:val="12"/>
                <w:color w:val="auto"/>
              </w:rPr>
            </w:pPr>
          </w:p>
        </w:tc>
        <w:tc>
          <w:tcPr>
            <w:tcW w:w="2060" w:type="dxa"/>
            <w:vAlign w:val="bottom"/>
            <w:gridSpan w:val="2"/>
          </w:tcPr>
          <w:p>
            <w:pPr>
              <w:jc w:val="center"/>
              <w:ind w:right="140"/>
              <w:spacing w:after="0" w:line="142" w:lineRule="exact"/>
              <w:rPr>
                <w:sz w:val="20"/>
                <w:szCs w:val="20"/>
                <w:color w:val="auto"/>
              </w:rPr>
            </w:pPr>
            <w:r>
              <w:rPr>
                <w:rFonts w:ascii="Arial" w:cs="Arial" w:eastAsia="Arial" w:hAnsi="Arial"/>
                <w:sz w:val="14"/>
                <w:szCs w:val="14"/>
                <w:color w:val="auto"/>
                <w:w w:val="92"/>
              </w:rPr>
              <w:t>San Francisco, CA</w:t>
            </w: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70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540" w:type="dxa"/>
            <w:vAlign w:val="bottom"/>
            <w:gridSpan w:val="13"/>
            <w:shd w:val="clear" w:color="auto" w:fill="CCEEFF"/>
          </w:tcPr>
          <w:p>
            <w:pPr>
              <w:spacing w:after="0"/>
              <w:rPr>
                <w:sz w:val="20"/>
                <w:szCs w:val="20"/>
                <w:color w:val="auto"/>
              </w:rPr>
            </w:pPr>
            <w:r>
              <w:rPr>
                <w:rFonts w:ascii="Arial" w:cs="Arial" w:eastAsia="Arial" w:hAnsi="Arial"/>
                <w:sz w:val="14"/>
                <w:szCs w:val="14"/>
                <w:color w:val="auto"/>
              </w:rPr>
              <w:t>Common shares, Class AA</w:t>
            </w:r>
          </w:p>
        </w:tc>
        <w:tc>
          <w:tcPr>
            <w:tcW w:w="120" w:type="dxa"/>
            <w:vAlign w:val="bottom"/>
            <w:shd w:val="clear" w:color="auto" w:fill="CCEEFF"/>
          </w:tcPr>
          <w:p>
            <w:pPr>
              <w:spacing w:after="0"/>
              <w:rPr>
                <w:sz w:val="17"/>
                <w:szCs w:val="17"/>
                <w:color w:val="auto"/>
              </w:rPr>
            </w:pPr>
          </w:p>
        </w:tc>
        <w:tc>
          <w:tcPr>
            <w:tcW w:w="2060" w:type="dxa"/>
            <w:vAlign w:val="bottom"/>
            <w:gridSpan w:val="2"/>
            <w:shd w:val="clear" w:color="auto" w:fill="CCEEFF"/>
          </w:tcPr>
          <w:p>
            <w:pPr>
              <w:jc w:val="center"/>
              <w:ind w:right="140"/>
              <w:spacing w:after="0"/>
              <w:rPr>
                <w:sz w:val="20"/>
                <w:szCs w:val="20"/>
                <w:color w:val="auto"/>
              </w:rPr>
            </w:pPr>
            <w:r>
              <w:rPr>
                <w:rFonts w:ascii="Arial" w:cs="Arial" w:eastAsia="Arial" w:hAnsi="Arial"/>
                <w:sz w:val="14"/>
                <w:szCs w:val="14"/>
                <w:color w:val="auto"/>
                <w:w w:val="94"/>
              </w:rPr>
              <w:t>Online Marketplace Finance</w:t>
            </w:r>
          </w:p>
        </w:tc>
        <w:tc>
          <w:tcPr>
            <w:tcW w:w="9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7/20/2011</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614,042</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123,987</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7,624,437</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1.75 %</w:t>
            </w:r>
          </w:p>
        </w:tc>
        <w:tc>
          <w:tcPr>
            <w:tcW w:w="0" w:type="dxa"/>
            <w:vAlign w:val="bottom"/>
          </w:tcPr>
          <w:p>
            <w:pPr>
              <w:spacing w:after="0"/>
              <w:rPr>
                <w:sz w:val="1"/>
                <w:szCs w:val="1"/>
                <w:color w:val="auto"/>
              </w:rPr>
            </w:pPr>
          </w:p>
        </w:tc>
      </w:tr>
      <w:tr>
        <w:trPr>
          <w:trHeight w:val="179"/>
        </w:trPr>
        <w:tc>
          <w:tcPr>
            <w:tcW w:w="3540" w:type="dxa"/>
            <w:vAlign w:val="bottom"/>
            <w:tcBorders>
              <w:top w:val="single" w:sz="8" w:color="CCEEFF"/>
            </w:tcBorders>
            <w:gridSpan w:val="13"/>
          </w:tcPr>
          <w:p>
            <w:pPr>
              <w:spacing w:after="0"/>
              <w:rPr>
                <w:sz w:val="20"/>
                <w:szCs w:val="20"/>
                <w:color w:val="auto"/>
              </w:rPr>
            </w:pPr>
            <w:r>
              <w:rPr>
                <w:rFonts w:ascii="Arial" w:cs="Arial" w:eastAsia="Arial" w:hAnsi="Arial"/>
                <w:sz w:val="14"/>
                <w:szCs w:val="14"/>
                <w:color w:val="auto"/>
              </w:rPr>
              <w:t>Junior Preferred shares</w:t>
            </w:r>
          </w:p>
        </w:tc>
        <w:tc>
          <w:tcPr>
            <w:tcW w:w="120" w:type="dxa"/>
            <w:vAlign w:val="bottom"/>
            <w:tcBorders>
              <w:top w:val="single" w:sz="8" w:color="CCEEFF"/>
            </w:tcBorders>
          </w:tcPr>
          <w:p>
            <w:pPr>
              <w:spacing w:after="0"/>
              <w:rPr>
                <w:sz w:val="15"/>
                <w:szCs w:val="15"/>
                <w:color w:val="auto"/>
              </w:rPr>
            </w:pPr>
          </w:p>
        </w:tc>
        <w:tc>
          <w:tcPr>
            <w:tcW w:w="1960" w:type="dxa"/>
            <w:vAlign w:val="bottom"/>
            <w:tcBorders>
              <w:top w:val="single" w:sz="8" w:color="CCEEFF"/>
            </w:tcBorders>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Borders>
              <w:top w:val="single" w:sz="8" w:color="CCEEFF"/>
            </w:tcBorders>
          </w:tcPr>
          <w:p>
            <w:pPr>
              <w:jc w:val="center"/>
              <w:spacing w:after="0"/>
              <w:rPr>
                <w:sz w:val="20"/>
                <w:szCs w:val="20"/>
                <w:color w:val="auto"/>
              </w:rPr>
            </w:pPr>
            <w:r>
              <w:rPr>
                <w:rFonts w:ascii="Arial" w:cs="Arial" w:eastAsia="Arial" w:hAnsi="Arial"/>
                <w:sz w:val="14"/>
                <w:szCs w:val="14"/>
                <w:color w:val="auto"/>
                <w:w w:val="93"/>
              </w:rPr>
              <w:t>7/19/2011</w:t>
            </w:r>
          </w:p>
        </w:tc>
        <w:tc>
          <w:tcPr>
            <w:tcW w:w="100" w:type="dxa"/>
            <w:vAlign w:val="bottom"/>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840" w:type="dxa"/>
            <w:vAlign w:val="bottom"/>
            <w:tcBorders>
              <w:top w:val="single" w:sz="8" w:color="CCEEFF"/>
            </w:tcBorders>
          </w:tcPr>
          <w:p>
            <w:pPr>
              <w:jc w:val="right"/>
              <w:ind w:right="8"/>
              <w:spacing w:after="0"/>
              <w:rPr>
                <w:sz w:val="20"/>
                <w:szCs w:val="20"/>
                <w:color w:val="auto"/>
              </w:rPr>
            </w:pPr>
            <w:r>
              <w:rPr>
                <w:rFonts w:ascii="Arial" w:cs="Arial" w:eastAsia="Arial" w:hAnsi="Arial"/>
                <w:sz w:val="14"/>
                <w:szCs w:val="14"/>
                <w:color w:val="auto"/>
              </w:rPr>
              <w:t>160,534</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2,259,716</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1,993,319</w:t>
            </w:r>
          </w:p>
        </w:tc>
        <w:tc>
          <w:tcPr>
            <w:tcW w:w="1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0.46 %</w:t>
            </w:r>
          </w:p>
        </w:tc>
        <w:tc>
          <w:tcPr>
            <w:tcW w:w="0" w:type="dxa"/>
            <w:vAlign w:val="bottom"/>
          </w:tcPr>
          <w:p>
            <w:pPr>
              <w:spacing w:after="0"/>
              <w:rPr>
                <w:sz w:val="1"/>
                <w:szCs w:val="1"/>
                <w:color w:val="auto"/>
              </w:rPr>
            </w:pPr>
          </w:p>
        </w:tc>
      </w:tr>
      <w:tr>
        <w:trPr>
          <w:trHeight w:val="152"/>
        </w:trPr>
        <w:tc>
          <w:tcPr>
            <w:tcW w:w="3540" w:type="dxa"/>
            <w:vAlign w:val="bottom"/>
            <w:gridSpan w:val="13"/>
            <w:shd w:val="clear" w:color="auto" w:fill="CCEEFF"/>
          </w:tcPr>
          <w:p>
            <w:pPr>
              <w:spacing w:after="0" w:line="152" w:lineRule="exact"/>
              <w:rPr>
                <w:sz w:val="20"/>
                <w:szCs w:val="20"/>
                <w:color w:val="auto"/>
              </w:rPr>
            </w:pPr>
            <w:r>
              <w:rPr>
                <w:rFonts w:ascii="Arial" w:cs="Arial" w:eastAsia="Arial" w:hAnsi="Arial"/>
                <w:sz w:val="14"/>
                <w:szCs w:val="14"/>
                <w:color w:val="auto"/>
                <w:w w:val="99"/>
              </w:rPr>
              <w:t>Junior Preferred warrants, Strike Price $12.42, Expiration</w:t>
            </w:r>
          </w:p>
        </w:tc>
        <w:tc>
          <w:tcPr>
            <w:tcW w:w="120" w:type="dxa"/>
            <w:vAlign w:val="bottom"/>
            <w:shd w:val="clear" w:color="auto" w:fill="CCEEFF"/>
          </w:tcPr>
          <w:p>
            <w:pPr>
              <w:spacing w:after="0"/>
              <w:rPr>
                <w:sz w:val="13"/>
                <w:szCs w:val="13"/>
                <w:color w:val="auto"/>
              </w:rPr>
            </w:pPr>
          </w:p>
        </w:tc>
        <w:tc>
          <w:tcPr>
            <w:tcW w:w="19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8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3"/>
              </w:rPr>
              <w:t>7/19/2011</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4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73,695</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94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281,514</w:t>
            </w:r>
          </w:p>
        </w:tc>
        <w:tc>
          <w:tcPr>
            <w:tcW w:w="100" w:type="dxa"/>
            <w:vAlign w:val="bottom"/>
            <w:shd w:val="clear" w:color="auto" w:fill="CCEEFF"/>
          </w:tcPr>
          <w:p>
            <w:pPr>
              <w:spacing w:after="0"/>
              <w:rPr>
                <w:sz w:val="13"/>
                <w:szCs w:val="13"/>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0.06 %</w:t>
            </w:r>
          </w:p>
        </w:tc>
        <w:tc>
          <w:tcPr>
            <w:tcW w:w="0" w:type="dxa"/>
            <w:vAlign w:val="bottom"/>
          </w:tcPr>
          <w:p>
            <w:pPr>
              <w:spacing w:after="0"/>
              <w:rPr>
                <w:sz w:val="1"/>
                <w:szCs w:val="1"/>
                <w:color w:val="auto"/>
              </w:rPr>
            </w:pPr>
          </w:p>
        </w:tc>
      </w:tr>
      <w:tr>
        <w:trPr>
          <w:trHeight w:val="189"/>
        </w:trPr>
        <w:tc>
          <w:tcPr>
            <w:tcW w:w="3540" w:type="dxa"/>
            <w:vAlign w:val="bottom"/>
            <w:gridSpan w:val="13"/>
            <w:shd w:val="clear" w:color="auto" w:fill="CCEEFF"/>
          </w:tcPr>
          <w:p>
            <w:pPr>
              <w:spacing w:after="0"/>
              <w:rPr>
                <w:sz w:val="20"/>
                <w:szCs w:val="20"/>
                <w:color w:val="auto"/>
              </w:rPr>
            </w:pPr>
            <w:r>
              <w:rPr>
                <w:rFonts w:ascii="Arial" w:cs="Arial" w:eastAsia="Arial" w:hAnsi="Arial"/>
                <w:sz w:val="14"/>
                <w:szCs w:val="14"/>
                <w:color w:val="auto"/>
              </w:rPr>
              <w:t>Date 11/9/2025</w:t>
            </w:r>
          </w:p>
        </w:tc>
        <w:tc>
          <w:tcPr>
            <w:tcW w:w="120" w:type="dxa"/>
            <w:vAlign w:val="bottom"/>
            <w:shd w:val="clear" w:color="auto" w:fill="CCEEFF"/>
          </w:tcPr>
          <w:p>
            <w:pPr>
              <w:spacing w:after="0"/>
              <w:rPr>
                <w:sz w:val="16"/>
                <w:szCs w:val="16"/>
                <w:color w:val="auto"/>
              </w:rPr>
            </w:pPr>
          </w:p>
        </w:tc>
        <w:tc>
          <w:tcPr>
            <w:tcW w:w="1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8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3540" w:type="dxa"/>
            <w:vAlign w:val="bottom"/>
            <w:tcBorders>
              <w:bottom w:val="single" w:sz="8" w:color="CCEEFF"/>
            </w:tcBorders>
            <w:gridSpan w:val="13"/>
          </w:tcPr>
          <w:p>
            <w:pPr>
              <w:ind w:left="120"/>
              <w:spacing w:after="0"/>
              <w:rPr>
                <w:sz w:val="20"/>
                <w:szCs w:val="20"/>
                <w:color w:val="auto"/>
              </w:rPr>
            </w:pPr>
            <w:r>
              <w:rPr>
                <w:rFonts w:ascii="Arial" w:cs="Arial" w:eastAsia="Arial" w:hAnsi="Arial"/>
                <w:sz w:val="14"/>
                <w:szCs w:val="14"/>
                <w:color w:val="auto"/>
              </w:rPr>
              <w:t>Total</w:t>
            </w:r>
          </w:p>
        </w:tc>
        <w:tc>
          <w:tcPr>
            <w:tcW w:w="120" w:type="dxa"/>
            <w:vAlign w:val="bottom"/>
            <w:tcBorders>
              <w:bottom w:val="single" w:sz="8" w:color="CCEEFF"/>
            </w:tcBorders>
          </w:tcPr>
          <w:p>
            <w:pPr>
              <w:spacing w:after="0"/>
              <w:rPr>
                <w:sz w:val="15"/>
                <w:szCs w:val="15"/>
                <w:color w:val="auto"/>
              </w:rPr>
            </w:pPr>
          </w:p>
        </w:tc>
        <w:tc>
          <w:tcPr>
            <w:tcW w:w="196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98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40" w:type="dxa"/>
            <w:vAlign w:val="bottom"/>
            <w:tcBorders>
              <w:top w:val="single" w:sz="8" w:color="CCEEFF"/>
              <w:bottom w:val="single" w:sz="8" w:color="CCEEFF"/>
            </w:tcBorders>
          </w:tcPr>
          <w:p>
            <w:pPr>
              <w:spacing w:after="0"/>
              <w:rPr>
                <w:sz w:val="15"/>
                <w:szCs w:val="15"/>
                <w:color w:val="auto"/>
              </w:rPr>
            </w:pPr>
          </w:p>
        </w:tc>
        <w:tc>
          <w:tcPr>
            <w:tcW w:w="840" w:type="dxa"/>
            <w:vAlign w:val="bottom"/>
            <w:tcBorders>
              <w:top w:val="single" w:sz="8" w:color="CCEEFF"/>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8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2,383,703</w:t>
            </w:r>
          </w:p>
        </w:tc>
        <w:tc>
          <w:tcPr>
            <w:tcW w:w="100" w:type="dxa"/>
            <w:vAlign w:val="bottom"/>
            <w:tcBorders>
              <w:bottom w:val="single" w:sz="8" w:color="CCEEFF"/>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94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9,899,270</w:t>
            </w:r>
          </w:p>
        </w:tc>
        <w:tc>
          <w:tcPr>
            <w:tcW w:w="100" w:type="dxa"/>
            <w:vAlign w:val="bottom"/>
            <w:tcBorders>
              <w:bottom w:val="single" w:sz="8" w:color="CCEEFF"/>
            </w:tcBorders>
          </w:tcPr>
          <w:p>
            <w:pPr>
              <w:spacing w:after="0"/>
              <w:rPr>
                <w:sz w:val="15"/>
                <w:szCs w:val="15"/>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2.27 %</w:t>
            </w:r>
          </w:p>
        </w:tc>
        <w:tc>
          <w:tcPr>
            <w:tcW w:w="0" w:type="dxa"/>
            <w:vAlign w:val="bottom"/>
          </w:tcPr>
          <w:p>
            <w:pPr>
              <w:spacing w:after="0"/>
              <w:rPr>
                <w:sz w:val="1"/>
                <w:szCs w:val="1"/>
                <w:color w:val="auto"/>
              </w:rPr>
            </w:pPr>
          </w:p>
        </w:tc>
      </w:tr>
      <w:tr>
        <w:trPr>
          <w:trHeight w:val="132"/>
        </w:trPr>
        <w:tc>
          <w:tcPr>
            <w:tcW w:w="3540" w:type="dxa"/>
            <w:vAlign w:val="bottom"/>
            <w:gridSpan w:val="13"/>
            <w:shd w:val="clear" w:color="auto" w:fill="CCEEFF"/>
          </w:tcPr>
          <w:p>
            <w:pPr>
              <w:spacing w:after="0" w:line="132" w:lineRule="exact"/>
              <w:rPr>
                <w:sz w:val="20"/>
                <w:szCs w:val="20"/>
                <w:color w:val="auto"/>
              </w:rPr>
            </w:pPr>
            <w:r>
              <w:rPr>
                <w:rFonts w:ascii="Arial" w:cs="Arial" w:eastAsia="Arial" w:hAnsi="Arial"/>
                <w:sz w:val="14"/>
                <w:szCs w:val="14"/>
                <w:b w:val="1"/>
                <w:bCs w:val="1"/>
                <w:color w:val="auto"/>
              </w:rPr>
              <w:t>Shogun Enterprises, Inc.</w:t>
            </w:r>
          </w:p>
        </w:tc>
        <w:tc>
          <w:tcPr>
            <w:tcW w:w="120" w:type="dxa"/>
            <w:vAlign w:val="bottom"/>
            <w:shd w:val="clear" w:color="auto" w:fill="CCEEFF"/>
          </w:tcPr>
          <w:p>
            <w:pPr>
              <w:spacing w:after="0"/>
              <w:rPr>
                <w:sz w:val="11"/>
                <w:szCs w:val="11"/>
                <w:color w:val="auto"/>
              </w:rPr>
            </w:pPr>
          </w:p>
        </w:tc>
        <w:tc>
          <w:tcPr>
            <w:tcW w:w="2060" w:type="dxa"/>
            <w:vAlign w:val="bottom"/>
            <w:gridSpan w:val="2"/>
            <w:shd w:val="clear" w:color="auto" w:fill="CCEEFF"/>
          </w:tcPr>
          <w:p>
            <w:pPr>
              <w:jc w:val="center"/>
              <w:ind w:right="140"/>
              <w:spacing w:after="0" w:line="132" w:lineRule="exact"/>
              <w:rPr>
                <w:sz w:val="20"/>
                <w:szCs w:val="20"/>
                <w:color w:val="auto"/>
              </w:rPr>
            </w:pPr>
            <w:r>
              <w:rPr>
                <w:rFonts w:ascii="Arial" w:cs="Arial" w:eastAsia="Arial" w:hAnsi="Arial"/>
                <w:sz w:val="14"/>
                <w:szCs w:val="14"/>
                <w:color w:val="auto"/>
                <w:w w:val="99"/>
              </w:rPr>
              <w:t>Austin, TX</w:t>
            </w:r>
          </w:p>
        </w:tc>
        <w:tc>
          <w:tcPr>
            <w:tcW w:w="9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1"/>
        </w:trPr>
        <w:tc>
          <w:tcPr>
            <w:tcW w:w="700" w:type="dxa"/>
            <w:vAlign w:val="bottom"/>
            <w:tcBorders>
              <w:top w:val="single" w:sz="8" w:color="auto"/>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9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3540" w:type="dxa"/>
            <w:vAlign w:val="bottom"/>
            <w:gridSpan w:val="13"/>
          </w:tcPr>
          <w:p>
            <w:pPr>
              <w:spacing w:after="0"/>
              <w:rPr>
                <w:sz w:val="20"/>
                <w:szCs w:val="20"/>
                <w:color w:val="auto"/>
              </w:rPr>
            </w:pPr>
            <w:r>
              <w:rPr>
                <w:rFonts w:ascii="Arial" w:cs="Arial" w:eastAsia="Arial" w:hAnsi="Arial"/>
                <w:sz w:val="14"/>
                <w:szCs w:val="14"/>
                <w:color w:val="auto"/>
              </w:rPr>
              <w:t>Preferred shares, Series B-1</w:t>
            </w:r>
          </w:p>
        </w:tc>
        <w:tc>
          <w:tcPr>
            <w:tcW w:w="120" w:type="dxa"/>
            <w:vAlign w:val="bottom"/>
          </w:tcPr>
          <w:p>
            <w:pPr>
              <w:spacing w:after="0"/>
              <w:rPr>
                <w:sz w:val="16"/>
                <w:szCs w:val="16"/>
                <w:color w:val="auto"/>
              </w:rPr>
            </w:pPr>
          </w:p>
        </w:tc>
        <w:tc>
          <w:tcPr>
            <w:tcW w:w="2060" w:type="dxa"/>
            <w:vAlign w:val="bottom"/>
            <w:gridSpan w:val="2"/>
          </w:tcPr>
          <w:p>
            <w:pPr>
              <w:jc w:val="center"/>
              <w:ind w:right="120"/>
              <w:spacing w:after="0"/>
              <w:rPr>
                <w:sz w:val="20"/>
                <w:szCs w:val="20"/>
                <w:color w:val="auto"/>
              </w:rPr>
            </w:pPr>
            <w:r>
              <w:rPr>
                <w:rFonts w:ascii="Arial" w:cs="Arial" w:eastAsia="Arial" w:hAnsi="Arial"/>
                <w:sz w:val="14"/>
                <w:szCs w:val="14"/>
                <w:color w:val="auto"/>
                <w:w w:val="93"/>
              </w:rPr>
              <w:t>Home Improvement Finance</w:t>
            </w:r>
          </w:p>
        </w:tc>
        <w:tc>
          <w:tcPr>
            <w:tcW w:w="980" w:type="dxa"/>
            <w:vAlign w:val="bottom"/>
          </w:tcPr>
          <w:p>
            <w:pPr>
              <w:jc w:val="center"/>
              <w:spacing w:after="0"/>
              <w:rPr>
                <w:sz w:val="20"/>
                <w:szCs w:val="20"/>
                <w:color w:val="auto"/>
              </w:rPr>
            </w:pPr>
            <w:r>
              <w:rPr>
                <w:rFonts w:ascii="Arial" w:cs="Arial" w:eastAsia="Arial" w:hAnsi="Arial"/>
                <w:sz w:val="14"/>
                <w:szCs w:val="14"/>
                <w:color w:val="auto"/>
                <w:w w:val="96"/>
              </w:rPr>
              <w:t>2/26/2021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436,844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3,501,657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3,499,994</w:t>
            </w: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0.80 %</w:t>
            </w:r>
          </w:p>
        </w:tc>
        <w:tc>
          <w:tcPr>
            <w:tcW w:w="0" w:type="dxa"/>
            <w:vAlign w:val="bottom"/>
          </w:tcPr>
          <w:p>
            <w:pPr>
              <w:spacing w:after="0"/>
              <w:rPr>
                <w:sz w:val="1"/>
                <w:szCs w:val="1"/>
                <w:color w:val="auto"/>
              </w:rPr>
            </w:pPr>
          </w:p>
        </w:tc>
      </w:tr>
      <w:tr>
        <w:trPr>
          <w:trHeight w:val="192"/>
        </w:trPr>
        <w:tc>
          <w:tcPr>
            <w:tcW w:w="3540" w:type="dxa"/>
            <w:vAlign w:val="bottom"/>
            <w:gridSpan w:val="13"/>
            <w:shd w:val="clear" w:color="auto" w:fill="CCEEFF"/>
          </w:tcPr>
          <w:p>
            <w:pPr>
              <w:spacing w:after="0"/>
              <w:rPr>
                <w:sz w:val="20"/>
                <w:szCs w:val="20"/>
                <w:color w:val="auto"/>
              </w:rPr>
            </w:pPr>
            <w:r>
              <w:rPr>
                <w:rFonts w:ascii="Arial" w:cs="Arial" w:eastAsia="Arial" w:hAnsi="Arial"/>
                <w:sz w:val="14"/>
                <w:szCs w:val="14"/>
                <w:color w:val="auto"/>
              </w:rPr>
              <w:t>Preferred shares, Series B-2</w:t>
            </w:r>
          </w:p>
        </w:tc>
        <w:tc>
          <w:tcPr>
            <w:tcW w:w="120" w:type="dxa"/>
            <w:vAlign w:val="bottom"/>
            <w:shd w:val="clear" w:color="auto" w:fill="CCEEFF"/>
          </w:tcPr>
          <w:p>
            <w:pPr>
              <w:spacing w:after="0"/>
              <w:rPr>
                <w:sz w:val="16"/>
                <w:szCs w:val="16"/>
                <w:color w:val="auto"/>
              </w:rPr>
            </w:pPr>
          </w:p>
        </w:tc>
        <w:tc>
          <w:tcPr>
            <w:tcW w:w="1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2/26/2021</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301,750</w:t>
            </w:r>
          </w:p>
        </w:tc>
        <w:tc>
          <w:tcPr>
            <w:tcW w:w="10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3,501,661</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3,499,998</w:t>
            </w:r>
          </w:p>
        </w:tc>
        <w:tc>
          <w:tcPr>
            <w:tcW w:w="100" w:type="dxa"/>
            <w:vAlign w:val="bottom"/>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0.80 %</w:t>
            </w:r>
          </w:p>
        </w:tc>
        <w:tc>
          <w:tcPr>
            <w:tcW w:w="0" w:type="dxa"/>
            <w:vAlign w:val="bottom"/>
          </w:tcPr>
          <w:p>
            <w:pPr>
              <w:spacing w:after="0"/>
              <w:rPr>
                <w:sz w:val="1"/>
                <w:szCs w:val="1"/>
                <w:color w:val="auto"/>
              </w:rPr>
            </w:pPr>
          </w:p>
        </w:tc>
      </w:tr>
      <w:tr>
        <w:trPr>
          <w:trHeight w:val="179"/>
        </w:trPr>
        <w:tc>
          <w:tcPr>
            <w:tcW w:w="3540" w:type="dxa"/>
            <w:vAlign w:val="bottom"/>
            <w:tcBorders>
              <w:bottom w:val="single" w:sz="8" w:color="CCEEFF"/>
            </w:tcBorders>
            <w:gridSpan w:val="13"/>
          </w:tcPr>
          <w:p>
            <w:pPr>
              <w:ind w:left="120"/>
              <w:spacing w:after="0"/>
              <w:rPr>
                <w:sz w:val="20"/>
                <w:szCs w:val="20"/>
                <w:color w:val="auto"/>
              </w:rPr>
            </w:pPr>
            <w:r>
              <w:rPr>
                <w:rFonts w:ascii="Arial" w:cs="Arial" w:eastAsia="Arial" w:hAnsi="Arial"/>
                <w:sz w:val="14"/>
                <w:szCs w:val="14"/>
                <w:color w:val="auto"/>
              </w:rPr>
              <w:t>Total</w:t>
            </w:r>
          </w:p>
        </w:tc>
        <w:tc>
          <w:tcPr>
            <w:tcW w:w="120" w:type="dxa"/>
            <w:vAlign w:val="bottom"/>
            <w:tcBorders>
              <w:bottom w:val="single" w:sz="8" w:color="CCEEFF"/>
            </w:tcBorders>
          </w:tcPr>
          <w:p>
            <w:pPr>
              <w:spacing w:after="0"/>
              <w:rPr>
                <w:sz w:val="15"/>
                <w:szCs w:val="15"/>
                <w:color w:val="auto"/>
              </w:rPr>
            </w:pPr>
          </w:p>
        </w:tc>
        <w:tc>
          <w:tcPr>
            <w:tcW w:w="196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98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84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7,003,318</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6,999,992</w:t>
            </w:r>
          </w:p>
        </w:tc>
        <w:tc>
          <w:tcPr>
            <w:tcW w:w="10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1.61 %</w:t>
            </w:r>
          </w:p>
        </w:tc>
        <w:tc>
          <w:tcPr>
            <w:tcW w:w="0" w:type="dxa"/>
            <w:vAlign w:val="bottom"/>
          </w:tcPr>
          <w:p>
            <w:pPr>
              <w:spacing w:after="0"/>
              <w:rPr>
                <w:sz w:val="1"/>
                <w:szCs w:val="1"/>
                <w:color w:val="auto"/>
              </w:rPr>
            </w:pPr>
          </w:p>
        </w:tc>
      </w:tr>
      <w:tr>
        <w:trPr>
          <w:trHeight w:val="186"/>
        </w:trPr>
        <w:tc>
          <w:tcPr>
            <w:tcW w:w="1380" w:type="dxa"/>
            <w:vAlign w:val="bottom"/>
            <w:tcBorders>
              <w:bottom w:val="single" w:sz="8" w:color="auto"/>
            </w:tcBorders>
            <w:gridSpan w:val="6"/>
            <w:shd w:val="clear" w:color="auto" w:fill="CCEEFF"/>
          </w:tcPr>
          <w:p>
            <w:pPr>
              <w:spacing w:after="0" w:line="145" w:lineRule="exact"/>
              <w:rPr>
                <w:sz w:val="20"/>
                <w:szCs w:val="20"/>
                <w:color w:val="auto"/>
              </w:rPr>
            </w:pPr>
            <w:r>
              <w:rPr>
                <w:rFonts w:ascii="Arial" w:cs="Arial" w:eastAsia="Arial" w:hAnsi="Arial"/>
                <w:sz w:val="14"/>
                <w:szCs w:val="14"/>
                <w:b w:val="1"/>
                <w:bCs w:val="1"/>
                <w:color w:val="auto"/>
                <w:w w:val="93"/>
              </w:rPr>
              <w:t>Rent the Runway, Inc.</w:t>
            </w:r>
          </w:p>
        </w:tc>
        <w:tc>
          <w:tcPr>
            <w:tcW w:w="2160" w:type="dxa"/>
            <w:vAlign w:val="bottom"/>
            <w:tcBorders>
              <w:bottom w:val="single" w:sz="8" w:color="CCEEFF"/>
            </w:tcBorders>
            <w:gridSpan w:val="7"/>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060" w:type="dxa"/>
            <w:vAlign w:val="bottom"/>
            <w:tcBorders>
              <w:bottom w:val="single" w:sz="8" w:color="CCEEFF"/>
            </w:tcBorders>
            <w:gridSpan w:val="2"/>
            <w:shd w:val="clear" w:color="auto" w:fill="CCEEFF"/>
          </w:tcPr>
          <w:p>
            <w:pPr>
              <w:jc w:val="center"/>
              <w:ind w:right="120"/>
              <w:spacing w:after="0" w:line="145" w:lineRule="exact"/>
              <w:rPr>
                <w:sz w:val="20"/>
                <w:szCs w:val="20"/>
                <w:color w:val="auto"/>
              </w:rPr>
            </w:pPr>
            <w:r>
              <w:rPr>
                <w:rFonts w:ascii="Arial" w:cs="Arial" w:eastAsia="Arial" w:hAnsi="Arial"/>
                <w:sz w:val="14"/>
                <w:szCs w:val="14"/>
                <w:color w:val="auto"/>
                <w:w w:val="97"/>
              </w:rPr>
              <w:t>New York, NY</w:t>
            </w:r>
          </w:p>
        </w:tc>
        <w:tc>
          <w:tcPr>
            <w:tcW w:w="9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3540" w:type="dxa"/>
            <w:vAlign w:val="bottom"/>
            <w:gridSpan w:val="13"/>
          </w:tcPr>
          <w:p>
            <w:pPr>
              <w:spacing w:after="0"/>
              <w:rPr>
                <w:sz w:val="20"/>
                <w:szCs w:val="20"/>
                <w:color w:val="auto"/>
              </w:rPr>
            </w:pPr>
            <w:r>
              <w:rPr>
                <w:rFonts w:ascii="Arial" w:cs="Arial" w:eastAsia="Arial" w:hAnsi="Arial"/>
                <w:sz w:val="14"/>
                <w:szCs w:val="14"/>
                <w:color w:val="auto"/>
              </w:rPr>
              <w:t>Preferred shares, Series G</w:t>
            </w:r>
          </w:p>
        </w:tc>
        <w:tc>
          <w:tcPr>
            <w:tcW w:w="120" w:type="dxa"/>
            <w:vAlign w:val="bottom"/>
          </w:tcPr>
          <w:p>
            <w:pPr>
              <w:spacing w:after="0"/>
              <w:rPr>
                <w:sz w:val="15"/>
                <w:szCs w:val="15"/>
                <w:color w:val="auto"/>
              </w:rPr>
            </w:pPr>
          </w:p>
        </w:tc>
        <w:tc>
          <w:tcPr>
            <w:tcW w:w="2060" w:type="dxa"/>
            <w:vAlign w:val="bottom"/>
            <w:gridSpan w:val="2"/>
          </w:tcPr>
          <w:p>
            <w:pPr>
              <w:jc w:val="center"/>
              <w:ind w:right="120"/>
              <w:spacing w:after="0"/>
              <w:rPr>
                <w:sz w:val="20"/>
                <w:szCs w:val="20"/>
                <w:color w:val="auto"/>
              </w:rPr>
            </w:pPr>
            <w:r>
              <w:rPr>
                <w:rFonts w:ascii="Arial" w:cs="Arial" w:eastAsia="Arial" w:hAnsi="Arial"/>
                <w:sz w:val="14"/>
                <w:szCs w:val="14"/>
                <w:color w:val="auto"/>
                <w:w w:val="92"/>
              </w:rPr>
              <w:t>Subscription Fashion Rental</w:t>
            </w:r>
          </w:p>
        </w:tc>
        <w:tc>
          <w:tcPr>
            <w:tcW w:w="980" w:type="dxa"/>
            <w:vAlign w:val="bottom"/>
          </w:tcPr>
          <w:p>
            <w:pPr>
              <w:jc w:val="center"/>
              <w:spacing w:after="0"/>
              <w:rPr>
                <w:sz w:val="20"/>
                <w:szCs w:val="20"/>
                <w:color w:val="auto"/>
              </w:rPr>
            </w:pPr>
            <w:r>
              <w:rPr>
                <w:rFonts w:ascii="Arial" w:cs="Arial" w:eastAsia="Arial" w:hAnsi="Arial"/>
                <w:sz w:val="14"/>
                <w:szCs w:val="14"/>
                <w:color w:val="auto"/>
                <w:w w:val="96"/>
              </w:rPr>
              <w:t>6/17/2020</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339,191</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5,153,945</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5,613,446</w:t>
            </w:r>
          </w:p>
        </w:tc>
        <w:tc>
          <w:tcPr>
            <w:tcW w:w="1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1.29 %</w:t>
            </w:r>
          </w:p>
        </w:tc>
        <w:tc>
          <w:tcPr>
            <w:tcW w:w="0" w:type="dxa"/>
            <w:vAlign w:val="bottom"/>
          </w:tcPr>
          <w:p>
            <w:pPr>
              <w:spacing w:after="0"/>
              <w:rPr>
                <w:sz w:val="1"/>
                <w:szCs w:val="1"/>
                <w:color w:val="auto"/>
              </w:rPr>
            </w:pPr>
          </w:p>
        </w:tc>
      </w:tr>
      <w:tr>
        <w:trPr>
          <w:trHeight w:val="172"/>
        </w:trPr>
        <w:tc>
          <w:tcPr>
            <w:tcW w:w="3540" w:type="dxa"/>
            <w:vAlign w:val="bottom"/>
            <w:gridSpan w:val="13"/>
            <w:shd w:val="clear" w:color="auto" w:fill="CCEEFF"/>
          </w:tcPr>
          <w:p>
            <w:pPr>
              <w:spacing w:after="0" w:line="152" w:lineRule="exact"/>
              <w:rPr>
                <w:sz w:val="20"/>
                <w:szCs w:val="20"/>
                <w:color w:val="auto"/>
              </w:rPr>
            </w:pPr>
            <w:r>
              <w:rPr>
                <w:rFonts w:ascii="Arial" w:cs="Arial" w:eastAsia="Arial" w:hAnsi="Arial"/>
                <w:sz w:val="14"/>
                <w:szCs w:val="14"/>
                <w:b w:val="1"/>
                <w:bCs w:val="1"/>
                <w:color w:val="auto"/>
              </w:rPr>
              <w:t>A Place for Rover Inc. (f/k/a DogVacay, Inc.)</w:t>
            </w:r>
          </w:p>
        </w:tc>
        <w:tc>
          <w:tcPr>
            <w:tcW w:w="120" w:type="dxa"/>
            <w:vAlign w:val="bottom"/>
            <w:shd w:val="clear" w:color="auto" w:fill="CCEEFF"/>
          </w:tcPr>
          <w:p>
            <w:pPr>
              <w:spacing w:after="0"/>
              <w:rPr>
                <w:sz w:val="14"/>
                <w:szCs w:val="14"/>
                <w:color w:val="auto"/>
              </w:rPr>
            </w:pPr>
          </w:p>
        </w:tc>
        <w:tc>
          <w:tcPr>
            <w:tcW w:w="2060" w:type="dxa"/>
            <w:vAlign w:val="bottom"/>
            <w:gridSpan w:val="2"/>
            <w:shd w:val="clear" w:color="auto" w:fill="CCEEFF"/>
          </w:tcPr>
          <w:p>
            <w:pPr>
              <w:jc w:val="center"/>
              <w:ind w:right="140"/>
              <w:spacing w:after="0" w:line="152" w:lineRule="exact"/>
              <w:rPr>
                <w:sz w:val="20"/>
                <w:szCs w:val="20"/>
                <w:color w:val="auto"/>
              </w:rPr>
            </w:pPr>
            <w:r>
              <w:rPr>
                <w:rFonts w:ascii="Arial" w:cs="Arial" w:eastAsia="Arial" w:hAnsi="Arial"/>
                <w:sz w:val="14"/>
                <w:szCs w:val="14"/>
                <w:color w:val="auto"/>
                <w:w w:val="91"/>
              </w:rPr>
              <w:t>Seattle, WA</w:t>
            </w: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740" w:type="dxa"/>
            <w:vAlign w:val="bottom"/>
            <w:tcBorders>
              <w:top w:val="single" w:sz="8" w:color="auto"/>
            </w:tcBorders>
            <w:gridSpan w:val="12"/>
          </w:tcPr>
          <w:p>
            <w:pPr>
              <w:spacing w:after="0"/>
              <w:rPr>
                <w:sz w:val="20"/>
                <w:szCs w:val="20"/>
                <w:color w:val="auto"/>
              </w:rPr>
            </w:pPr>
            <w:r>
              <w:rPr>
                <w:rFonts w:ascii="Arial" w:cs="Arial" w:eastAsia="Arial" w:hAnsi="Arial"/>
                <w:sz w:val="14"/>
                <w:szCs w:val="14"/>
                <w:color w:val="auto"/>
              </w:rPr>
              <w:t>Common shares</w:t>
            </w:r>
          </w:p>
        </w:tc>
        <w:tc>
          <w:tcPr>
            <w:tcW w:w="80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2060" w:type="dxa"/>
            <w:vAlign w:val="bottom"/>
            <w:tcBorders>
              <w:top w:val="single" w:sz="8" w:color="CCEEFF"/>
            </w:tcBorders>
            <w:gridSpan w:val="2"/>
          </w:tcPr>
          <w:p>
            <w:pPr>
              <w:jc w:val="center"/>
              <w:ind w:right="120"/>
              <w:spacing w:after="0"/>
              <w:rPr>
                <w:sz w:val="20"/>
                <w:szCs w:val="20"/>
                <w:color w:val="auto"/>
              </w:rPr>
            </w:pPr>
            <w:r>
              <w:rPr>
                <w:rFonts w:ascii="Arial" w:cs="Arial" w:eastAsia="Arial" w:hAnsi="Arial"/>
                <w:sz w:val="14"/>
                <w:szCs w:val="14"/>
                <w:color w:val="auto"/>
                <w:w w:val="89"/>
              </w:rPr>
              <w:t>Peer-to-Peer Pet Services</w:t>
            </w:r>
          </w:p>
        </w:tc>
        <w:tc>
          <w:tcPr>
            <w:tcW w:w="980" w:type="dxa"/>
            <w:vAlign w:val="bottom"/>
            <w:tcBorders>
              <w:top w:val="single" w:sz="8" w:color="CCEEFF"/>
            </w:tcBorders>
          </w:tcPr>
          <w:p>
            <w:pPr>
              <w:jc w:val="center"/>
              <w:spacing w:after="0"/>
              <w:rPr>
                <w:sz w:val="20"/>
                <w:szCs w:val="20"/>
                <w:color w:val="auto"/>
              </w:rPr>
            </w:pPr>
            <w:r>
              <w:rPr>
                <w:rFonts w:ascii="Arial" w:cs="Arial" w:eastAsia="Arial" w:hAnsi="Arial"/>
                <w:sz w:val="14"/>
                <w:szCs w:val="14"/>
                <w:color w:val="auto"/>
                <w:w w:val="93"/>
              </w:rPr>
              <w:t>11/3/2014</w:t>
            </w:r>
          </w:p>
        </w:tc>
        <w:tc>
          <w:tcPr>
            <w:tcW w:w="10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840" w:type="dxa"/>
            <w:vAlign w:val="bottom"/>
            <w:tcBorders>
              <w:top w:val="single" w:sz="8" w:color="CCEEFF"/>
            </w:tcBorders>
          </w:tcPr>
          <w:p>
            <w:pPr>
              <w:jc w:val="right"/>
              <w:ind w:right="8"/>
              <w:spacing w:after="0"/>
              <w:rPr>
                <w:sz w:val="20"/>
                <w:szCs w:val="20"/>
                <w:color w:val="auto"/>
              </w:rPr>
            </w:pPr>
            <w:r>
              <w:rPr>
                <w:rFonts w:ascii="Arial" w:cs="Arial" w:eastAsia="Arial" w:hAnsi="Arial"/>
                <w:sz w:val="14"/>
                <w:szCs w:val="14"/>
                <w:color w:val="auto"/>
              </w:rPr>
              <w:t>707,990</w:t>
            </w:r>
          </w:p>
        </w:tc>
        <w:tc>
          <w:tcPr>
            <w:tcW w:w="100" w:type="dxa"/>
            <w:vAlign w:val="bottom"/>
            <w:tcBorders>
              <w:top w:val="single" w:sz="8" w:color="CCEEFF"/>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880" w:type="dxa"/>
            <w:vAlign w:val="bottom"/>
            <w:tcBorders>
              <w:top w:val="single" w:sz="8" w:color="CCEEFF"/>
            </w:tcBorders>
          </w:tcPr>
          <w:p>
            <w:pPr>
              <w:jc w:val="right"/>
              <w:ind w:right="8"/>
              <w:spacing w:after="0"/>
              <w:rPr>
                <w:sz w:val="20"/>
                <w:szCs w:val="20"/>
                <w:color w:val="auto"/>
              </w:rPr>
            </w:pPr>
            <w:r>
              <w:rPr>
                <w:rFonts w:ascii="Arial" w:cs="Arial" w:eastAsia="Arial" w:hAnsi="Arial"/>
                <w:sz w:val="14"/>
                <w:szCs w:val="14"/>
                <w:color w:val="auto"/>
              </w:rPr>
              <w:t>2,506,119</w:t>
            </w:r>
          </w:p>
        </w:tc>
        <w:tc>
          <w:tcPr>
            <w:tcW w:w="10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940" w:type="dxa"/>
            <w:vAlign w:val="bottom"/>
            <w:tcBorders>
              <w:top w:val="single" w:sz="8" w:color="CCEEFF"/>
            </w:tcBorders>
          </w:tcPr>
          <w:p>
            <w:pPr>
              <w:jc w:val="right"/>
              <w:ind w:right="8"/>
              <w:spacing w:after="0"/>
              <w:rPr>
                <w:sz w:val="20"/>
                <w:szCs w:val="20"/>
                <w:color w:val="auto"/>
              </w:rPr>
            </w:pPr>
            <w:r>
              <w:rPr>
                <w:rFonts w:ascii="Arial" w:cs="Arial" w:eastAsia="Arial" w:hAnsi="Arial"/>
                <w:sz w:val="14"/>
                <w:szCs w:val="14"/>
                <w:color w:val="auto"/>
              </w:rPr>
              <w:t>5,416,128</w:t>
            </w:r>
          </w:p>
        </w:tc>
        <w:tc>
          <w:tcPr>
            <w:tcW w:w="100" w:type="dxa"/>
            <w:vAlign w:val="bottom"/>
            <w:tcBorders>
              <w:top w:val="single" w:sz="8" w:color="CCEEFF"/>
            </w:tcBorders>
          </w:tcPr>
          <w:p>
            <w:pPr>
              <w:spacing w:after="0"/>
              <w:rPr>
                <w:sz w:val="16"/>
                <w:szCs w:val="16"/>
                <w:color w:val="auto"/>
              </w:rPr>
            </w:pPr>
          </w:p>
        </w:tc>
        <w:tc>
          <w:tcPr>
            <w:tcW w:w="900" w:type="dxa"/>
            <w:vAlign w:val="bottom"/>
            <w:tcBorders>
              <w:top w:val="single" w:sz="8" w:color="CCEEFF"/>
            </w:tcBorders>
          </w:tcPr>
          <w:p>
            <w:pPr>
              <w:jc w:val="right"/>
              <w:spacing w:after="0"/>
              <w:rPr>
                <w:sz w:val="20"/>
                <w:szCs w:val="20"/>
                <w:color w:val="auto"/>
              </w:rPr>
            </w:pPr>
            <w:r>
              <w:rPr>
                <w:rFonts w:ascii="Arial" w:cs="Arial" w:eastAsia="Arial" w:hAnsi="Arial"/>
                <w:sz w:val="14"/>
                <w:szCs w:val="14"/>
                <w:color w:val="auto"/>
              </w:rPr>
              <w:t>1.24 %</w:t>
            </w:r>
          </w:p>
        </w:tc>
        <w:tc>
          <w:tcPr>
            <w:tcW w:w="0" w:type="dxa"/>
            <w:vAlign w:val="bottom"/>
          </w:tcPr>
          <w:p>
            <w:pPr>
              <w:spacing w:after="0"/>
              <w:rPr>
                <w:sz w:val="1"/>
                <w:szCs w:val="1"/>
                <w:color w:val="auto"/>
              </w:rPr>
            </w:pPr>
          </w:p>
        </w:tc>
      </w:tr>
      <w:tr>
        <w:trPr>
          <w:trHeight w:val="152"/>
        </w:trPr>
        <w:tc>
          <w:tcPr>
            <w:tcW w:w="3540" w:type="dxa"/>
            <w:vAlign w:val="bottom"/>
            <w:gridSpan w:val="13"/>
            <w:shd w:val="clear" w:color="auto" w:fill="CCEEFF"/>
          </w:tcPr>
          <w:p>
            <w:pPr>
              <w:spacing w:after="0" w:line="152" w:lineRule="exact"/>
              <w:rPr>
                <w:sz w:val="20"/>
                <w:szCs w:val="20"/>
                <w:color w:val="auto"/>
              </w:rPr>
            </w:pPr>
            <w:r>
              <w:rPr>
                <w:rFonts w:ascii="Arial" w:cs="Arial" w:eastAsia="Arial" w:hAnsi="Arial"/>
                <w:sz w:val="14"/>
                <w:szCs w:val="14"/>
                <w:b w:val="1"/>
                <w:bCs w:val="1"/>
                <w:color w:val="auto"/>
              </w:rPr>
              <w:t>Enjoy Technology, Inc.</w:t>
            </w:r>
          </w:p>
        </w:tc>
        <w:tc>
          <w:tcPr>
            <w:tcW w:w="120" w:type="dxa"/>
            <w:vAlign w:val="bottom"/>
            <w:shd w:val="clear" w:color="auto" w:fill="CCEEFF"/>
          </w:tcPr>
          <w:p>
            <w:pPr>
              <w:spacing w:after="0"/>
              <w:rPr>
                <w:sz w:val="13"/>
                <w:szCs w:val="13"/>
                <w:color w:val="auto"/>
              </w:rPr>
            </w:pPr>
          </w:p>
        </w:tc>
        <w:tc>
          <w:tcPr>
            <w:tcW w:w="2060" w:type="dxa"/>
            <w:vAlign w:val="bottom"/>
            <w:gridSpan w:val="2"/>
            <w:shd w:val="clear" w:color="auto" w:fill="CCEEFF"/>
          </w:tcPr>
          <w:p>
            <w:pPr>
              <w:jc w:val="center"/>
              <w:ind w:right="120"/>
              <w:spacing w:after="0" w:line="152" w:lineRule="exact"/>
              <w:rPr>
                <w:sz w:val="20"/>
                <w:szCs w:val="20"/>
                <w:color w:val="auto"/>
              </w:rPr>
            </w:pPr>
            <w:r>
              <w:rPr>
                <w:rFonts w:ascii="Arial" w:cs="Arial" w:eastAsia="Arial" w:hAnsi="Arial"/>
                <w:sz w:val="14"/>
                <w:szCs w:val="14"/>
                <w:color w:val="auto"/>
                <w:w w:val="95"/>
              </w:rPr>
              <w:t>Menlo Park, CA</w:t>
            </w: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00" w:type="dxa"/>
            <w:vAlign w:val="bottom"/>
            <w:tcBorders>
              <w:top w:val="single" w:sz="8" w:color="auto"/>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9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bottom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bottom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9"/>
        </w:trPr>
        <w:tc>
          <w:tcPr>
            <w:tcW w:w="3540" w:type="dxa"/>
            <w:vAlign w:val="bottom"/>
            <w:gridSpan w:val="13"/>
          </w:tcPr>
          <w:p>
            <w:pPr>
              <w:spacing w:after="0"/>
              <w:rPr>
                <w:sz w:val="20"/>
                <w:szCs w:val="20"/>
                <w:color w:val="auto"/>
              </w:rPr>
            </w:pPr>
            <w:r>
              <w:rPr>
                <w:rFonts w:ascii="Arial" w:cs="Arial" w:eastAsia="Arial" w:hAnsi="Arial"/>
                <w:sz w:val="14"/>
                <w:szCs w:val="14"/>
                <w:color w:val="auto"/>
              </w:rPr>
              <w:t>Preferred shares, Series B 6%</w:t>
            </w:r>
          </w:p>
        </w:tc>
        <w:tc>
          <w:tcPr>
            <w:tcW w:w="120" w:type="dxa"/>
            <w:vAlign w:val="bottom"/>
          </w:tcPr>
          <w:p>
            <w:pPr>
              <w:spacing w:after="0"/>
              <w:rPr>
                <w:sz w:val="15"/>
                <w:szCs w:val="15"/>
                <w:color w:val="auto"/>
              </w:rPr>
            </w:pPr>
          </w:p>
        </w:tc>
        <w:tc>
          <w:tcPr>
            <w:tcW w:w="2060" w:type="dxa"/>
            <w:vAlign w:val="bottom"/>
            <w:gridSpan w:val="2"/>
          </w:tcPr>
          <w:p>
            <w:pPr>
              <w:jc w:val="center"/>
              <w:ind w:right="120"/>
              <w:spacing w:after="0"/>
              <w:rPr>
                <w:sz w:val="20"/>
                <w:szCs w:val="20"/>
                <w:color w:val="auto"/>
              </w:rPr>
            </w:pPr>
            <w:r>
              <w:rPr>
                <w:rFonts w:ascii="Arial" w:cs="Arial" w:eastAsia="Arial" w:hAnsi="Arial"/>
                <w:sz w:val="14"/>
                <w:szCs w:val="14"/>
                <w:color w:val="auto"/>
                <w:w w:val="92"/>
              </w:rPr>
              <w:t>On-Demand Commerce</w:t>
            </w:r>
          </w:p>
        </w:tc>
        <w:tc>
          <w:tcPr>
            <w:tcW w:w="980" w:type="dxa"/>
            <w:vAlign w:val="bottom"/>
          </w:tcPr>
          <w:p>
            <w:pPr>
              <w:jc w:val="center"/>
              <w:spacing w:after="0"/>
              <w:rPr>
                <w:sz w:val="20"/>
                <w:szCs w:val="20"/>
                <w:color w:val="auto"/>
              </w:rPr>
            </w:pPr>
            <w:r>
              <w:rPr>
                <w:rFonts w:ascii="Arial" w:cs="Arial" w:eastAsia="Arial" w:hAnsi="Arial"/>
                <w:sz w:val="14"/>
                <w:szCs w:val="14"/>
                <w:color w:val="auto"/>
                <w:w w:val="96"/>
              </w:rPr>
              <w:t>7/29/2015</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1,681,520</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4,000,280</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3,309,810</w:t>
            </w:r>
          </w:p>
        </w:tc>
        <w:tc>
          <w:tcPr>
            <w:tcW w:w="1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0.76 %</w:t>
            </w:r>
          </w:p>
        </w:tc>
        <w:tc>
          <w:tcPr>
            <w:tcW w:w="0" w:type="dxa"/>
            <w:vAlign w:val="bottom"/>
          </w:tcPr>
          <w:p>
            <w:pPr>
              <w:spacing w:after="0"/>
              <w:rPr>
                <w:sz w:val="1"/>
                <w:szCs w:val="1"/>
                <w:color w:val="auto"/>
              </w:rPr>
            </w:pPr>
          </w:p>
        </w:tc>
      </w:tr>
      <w:tr>
        <w:trPr>
          <w:trHeight w:val="206"/>
        </w:trPr>
        <w:tc>
          <w:tcPr>
            <w:tcW w:w="3540" w:type="dxa"/>
            <w:vAlign w:val="bottom"/>
            <w:gridSpan w:val="13"/>
            <w:shd w:val="clear" w:color="auto" w:fill="CCEEFF"/>
          </w:tcPr>
          <w:p>
            <w:pPr>
              <w:spacing w:after="0"/>
              <w:rPr>
                <w:sz w:val="20"/>
                <w:szCs w:val="20"/>
                <w:color w:val="auto"/>
              </w:rPr>
            </w:pPr>
            <w:r>
              <w:rPr>
                <w:rFonts w:ascii="Arial" w:cs="Arial" w:eastAsia="Arial" w:hAnsi="Arial"/>
                <w:sz w:val="14"/>
                <w:szCs w:val="14"/>
                <w:color w:val="auto"/>
              </w:rPr>
              <w:t>Preferred shares, Series A 6%</w:t>
            </w:r>
          </w:p>
        </w:tc>
        <w:tc>
          <w:tcPr>
            <w:tcW w:w="120" w:type="dxa"/>
            <w:vAlign w:val="bottom"/>
            <w:shd w:val="clear" w:color="auto" w:fill="CCEEFF"/>
          </w:tcPr>
          <w:p>
            <w:pPr>
              <w:spacing w:after="0"/>
              <w:rPr>
                <w:sz w:val="17"/>
                <w:szCs w:val="17"/>
                <w:color w:val="auto"/>
              </w:rPr>
            </w:pPr>
          </w:p>
        </w:tc>
        <w:tc>
          <w:tcPr>
            <w:tcW w:w="1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10/16/2014</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879,198</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1,002,440</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824,979</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0.19 %</w:t>
            </w:r>
          </w:p>
        </w:tc>
        <w:tc>
          <w:tcPr>
            <w:tcW w:w="0" w:type="dxa"/>
            <w:vAlign w:val="bottom"/>
          </w:tcPr>
          <w:p>
            <w:pPr>
              <w:spacing w:after="0"/>
              <w:rPr>
                <w:sz w:val="1"/>
                <w:szCs w:val="1"/>
                <w:color w:val="auto"/>
              </w:rPr>
            </w:pPr>
          </w:p>
        </w:tc>
      </w:tr>
      <w:tr>
        <w:trPr>
          <w:trHeight w:val="179"/>
        </w:trPr>
        <w:tc>
          <w:tcPr>
            <w:tcW w:w="3540" w:type="dxa"/>
            <w:vAlign w:val="bottom"/>
            <w:tcBorders>
              <w:bottom w:val="single" w:sz="8" w:color="CCEEFF"/>
            </w:tcBorders>
            <w:gridSpan w:val="13"/>
          </w:tcPr>
          <w:p>
            <w:pPr>
              <w:spacing w:after="0"/>
              <w:rPr>
                <w:sz w:val="20"/>
                <w:szCs w:val="20"/>
                <w:color w:val="auto"/>
              </w:rPr>
            </w:pPr>
            <w:r>
              <w:rPr>
                <w:rFonts w:ascii="Arial" w:cs="Arial" w:eastAsia="Arial" w:hAnsi="Arial"/>
                <w:sz w:val="14"/>
                <w:szCs w:val="14"/>
                <w:color w:val="auto"/>
              </w:rPr>
              <w:t>Convertible Promissory Note 14% Due 1/30/2024***</w:t>
            </w:r>
          </w:p>
        </w:tc>
        <w:tc>
          <w:tcPr>
            <w:tcW w:w="120" w:type="dxa"/>
            <w:vAlign w:val="bottom"/>
            <w:tcBorders>
              <w:bottom w:val="single" w:sz="8" w:color="CCEEFF"/>
            </w:tcBorders>
          </w:tcPr>
          <w:p>
            <w:pPr>
              <w:spacing w:after="0"/>
              <w:rPr>
                <w:sz w:val="15"/>
                <w:szCs w:val="15"/>
                <w:color w:val="auto"/>
              </w:rPr>
            </w:pPr>
          </w:p>
        </w:tc>
        <w:tc>
          <w:tcPr>
            <w:tcW w:w="196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980" w:type="dxa"/>
            <w:vAlign w:val="bottom"/>
            <w:tcBorders>
              <w:bottom w:val="single" w:sz="8" w:color="CCEEFF"/>
            </w:tcBorders>
          </w:tcPr>
          <w:p>
            <w:pPr>
              <w:jc w:val="center"/>
              <w:spacing w:after="0"/>
              <w:rPr>
                <w:sz w:val="20"/>
                <w:szCs w:val="20"/>
                <w:color w:val="auto"/>
              </w:rPr>
            </w:pPr>
            <w:r>
              <w:rPr>
                <w:rFonts w:ascii="Arial" w:cs="Arial" w:eastAsia="Arial" w:hAnsi="Arial"/>
                <w:sz w:val="14"/>
                <w:szCs w:val="14"/>
                <w:color w:val="auto"/>
                <w:w w:val="91"/>
              </w:rPr>
              <w:t>11/30/2020</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CCEEFF"/>
            </w:tcBorders>
          </w:tcPr>
          <w:p>
            <w:pPr>
              <w:jc w:val="right"/>
              <w:ind w:right="8"/>
              <w:spacing w:after="0"/>
              <w:rPr>
                <w:sz w:val="20"/>
                <w:szCs w:val="20"/>
                <w:color w:val="auto"/>
              </w:rPr>
            </w:pPr>
            <w:r>
              <w:rPr>
                <w:rFonts w:ascii="Arial" w:cs="Arial" w:eastAsia="Arial" w:hAnsi="Arial"/>
                <w:sz w:val="14"/>
                <w:szCs w:val="14"/>
                <w:color w:val="auto"/>
              </w:rPr>
              <w:t>521,112</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524,057</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521,112</w:t>
            </w:r>
          </w:p>
        </w:tc>
        <w:tc>
          <w:tcPr>
            <w:tcW w:w="10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0.12 %</w:t>
            </w:r>
          </w:p>
        </w:tc>
        <w:tc>
          <w:tcPr>
            <w:tcW w:w="0" w:type="dxa"/>
            <w:vAlign w:val="bottom"/>
          </w:tcPr>
          <w:p>
            <w:pPr>
              <w:spacing w:after="0"/>
              <w:rPr>
                <w:sz w:val="1"/>
                <w:szCs w:val="1"/>
                <w:color w:val="auto"/>
              </w:rPr>
            </w:pPr>
          </w:p>
        </w:tc>
      </w:tr>
      <w:tr>
        <w:trPr>
          <w:trHeight w:val="186"/>
        </w:trPr>
        <w:tc>
          <w:tcPr>
            <w:tcW w:w="3540" w:type="dxa"/>
            <w:vAlign w:val="bottom"/>
            <w:gridSpan w:val="13"/>
            <w:shd w:val="clear" w:color="auto" w:fill="CCEEFF"/>
          </w:tcPr>
          <w:p>
            <w:pPr>
              <w:ind w:left="120"/>
              <w:spacing w:after="0"/>
              <w:rPr>
                <w:sz w:val="20"/>
                <w:szCs w:val="20"/>
                <w:color w:val="auto"/>
              </w:rPr>
            </w:pPr>
            <w:r>
              <w:rPr>
                <w:rFonts w:ascii="Arial" w:cs="Arial" w:eastAsia="Arial" w:hAnsi="Arial"/>
                <w:sz w:val="14"/>
                <w:szCs w:val="14"/>
                <w:color w:val="auto"/>
              </w:rPr>
              <w:t>Total</w:t>
            </w:r>
          </w:p>
        </w:tc>
        <w:tc>
          <w:tcPr>
            <w:tcW w:w="120" w:type="dxa"/>
            <w:vAlign w:val="bottom"/>
            <w:shd w:val="clear" w:color="auto" w:fill="CCEEFF"/>
          </w:tcPr>
          <w:p>
            <w:pPr>
              <w:spacing w:after="0"/>
              <w:rPr>
                <w:sz w:val="16"/>
                <w:szCs w:val="16"/>
                <w:color w:val="auto"/>
              </w:rPr>
            </w:pPr>
          </w:p>
        </w:tc>
        <w:tc>
          <w:tcPr>
            <w:tcW w:w="1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5,526,777</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4,655,901</w:t>
            </w:r>
          </w:p>
        </w:tc>
        <w:tc>
          <w:tcPr>
            <w:tcW w:w="100" w:type="dxa"/>
            <w:vAlign w:val="bottom"/>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1.07 %</w:t>
            </w:r>
          </w:p>
        </w:tc>
        <w:tc>
          <w:tcPr>
            <w:tcW w:w="0" w:type="dxa"/>
            <w:vAlign w:val="bottom"/>
          </w:tcPr>
          <w:p>
            <w:pPr>
              <w:spacing w:after="0"/>
              <w:rPr>
                <w:sz w:val="1"/>
                <w:szCs w:val="1"/>
                <w:color w:val="auto"/>
              </w:rPr>
            </w:pPr>
          </w:p>
        </w:tc>
      </w:tr>
      <w:tr>
        <w:trPr>
          <w:trHeight w:val="115"/>
        </w:trPr>
        <w:tc>
          <w:tcPr>
            <w:tcW w:w="3540" w:type="dxa"/>
            <w:vAlign w:val="bottom"/>
            <w:gridSpan w:val="13"/>
          </w:tcPr>
          <w:p>
            <w:pPr>
              <w:spacing w:after="0" w:line="115" w:lineRule="exact"/>
              <w:rPr>
                <w:sz w:val="20"/>
                <w:szCs w:val="20"/>
                <w:color w:val="auto"/>
              </w:rPr>
            </w:pPr>
            <w:r>
              <w:rPr>
                <w:rFonts w:ascii="Arial" w:cs="Arial" w:eastAsia="Arial" w:hAnsi="Arial"/>
                <w:sz w:val="13"/>
                <w:szCs w:val="13"/>
                <w:b w:val="1"/>
                <w:bCs w:val="1"/>
                <w:u w:val="single" w:color="auto"/>
                <w:color w:val="auto"/>
              </w:rPr>
              <w:t>Residential Homes for Rent, LLC (d/b/a Second Avenue)</w:t>
            </w:r>
          </w:p>
        </w:tc>
        <w:tc>
          <w:tcPr>
            <w:tcW w:w="120" w:type="dxa"/>
            <w:vAlign w:val="bottom"/>
          </w:tcPr>
          <w:p>
            <w:pPr>
              <w:spacing w:after="0"/>
              <w:rPr>
                <w:sz w:val="10"/>
                <w:szCs w:val="10"/>
                <w:color w:val="auto"/>
              </w:rPr>
            </w:pPr>
          </w:p>
        </w:tc>
        <w:tc>
          <w:tcPr>
            <w:tcW w:w="2060" w:type="dxa"/>
            <w:vAlign w:val="bottom"/>
            <w:gridSpan w:val="2"/>
            <w:vMerge w:val="restart"/>
          </w:tcPr>
          <w:p>
            <w:pPr>
              <w:jc w:val="center"/>
              <w:ind w:right="140"/>
              <w:spacing w:after="0"/>
              <w:rPr>
                <w:sz w:val="20"/>
                <w:szCs w:val="20"/>
                <w:color w:val="auto"/>
              </w:rPr>
            </w:pPr>
            <w:r>
              <w:rPr>
                <w:rFonts w:ascii="Arial" w:cs="Arial" w:eastAsia="Arial" w:hAnsi="Arial"/>
                <w:sz w:val="14"/>
                <w:szCs w:val="14"/>
                <w:color w:val="auto"/>
                <w:w w:val="95"/>
              </w:rPr>
              <w:t>Chicago, IL</w:t>
            </w: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700" w:type="dxa"/>
            <w:vAlign w:val="bottom"/>
          </w:tcPr>
          <w:p>
            <w:pPr>
              <w:spacing w:after="0"/>
              <w:rPr>
                <w:sz w:val="20"/>
                <w:szCs w:val="20"/>
                <w:color w:val="auto"/>
              </w:rPr>
            </w:pPr>
            <w:r>
              <w:rPr>
                <w:rFonts w:ascii="Arial" w:cs="Arial" w:eastAsia="Arial" w:hAnsi="Arial"/>
                <w:sz w:val="9"/>
                <w:szCs w:val="9"/>
                <w:b w:val="1"/>
                <w:bCs w:val="1"/>
                <w:color w:val="auto"/>
              </w:rPr>
              <w:t>(6)</w:t>
            </w: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60" w:type="dxa"/>
            <w:vAlign w:val="bottom"/>
            <w:gridSpan w:val="2"/>
            <w:vMerge w:val="continue"/>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9"/>
        </w:trPr>
        <w:tc>
          <w:tcPr>
            <w:tcW w:w="3540" w:type="dxa"/>
            <w:vAlign w:val="bottom"/>
            <w:gridSpan w:val="13"/>
            <w:shd w:val="clear" w:color="auto" w:fill="CCEEFF"/>
          </w:tcPr>
          <w:p>
            <w:pPr>
              <w:spacing w:after="0"/>
              <w:rPr>
                <w:sz w:val="20"/>
                <w:szCs w:val="20"/>
                <w:color w:val="auto"/>
              </w:rPr>
            </w:pPr>
            <w:r>
              <w:rPr>
                <w:rFonts w:ascii="Arial" w:cs="Arial" w:eastAsia="Arial" w:hAnsi="Arial"/>
                <w:sz w:val="14"/>
                <w:szCs w:val="14"/>
                <w:color w:val="auto"/>
              </w:rPr>
              <w:t>Preferred shares, Series A</w:t>
            </w:r>
          </w:p>
        </w:tc>
        <w:tc>
          <w:tcPr>
            <w:tcW w:w="120" w:type="dxa"/>
            <w:vAlign w:val="bottom"/>
            <w:shd w:val="clear" w:color="auto" w:fill="CCEEFF"/>
          </w:tcPr>
          <w:p>
            <w:pPr>
              <w:spacing w:after="0"/>
              <w:rPr>
                <w:sz w:val="18"/>
                <w:szCs w:val="18"/>
                <w:color w:val="auto"/>
              </w:rPr>
            </w:pPr>
          </w:p>
        </w:tc>
        <w:tc>
          <w:tcPr>
            <w:tcW w:w="206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1"/>
              </w:rPr>
              <w:t>Real Estate Platform</w:t>
            </w:r>
          </w:p>
        </w:tc>
        <w:tc>
          <w:tcPr>
            <w:tcW w:w="9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1"/>
              </w:rPr>
              <w:t>12/23/2020</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150,000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1,500,000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1,662,117</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0.38 %</w:t>
            </w:r>
          </w:p>
        </w:tc>
        <w:tc>
          <w:tcPr>
            <w:tcW w:w="0" w:type="dxa"/>
            <w:vAlign w:val="bottom"/>
          </w:tcPr>
          <w:p>
            <w:pPr>
              <w:spacing w:after="0"/>
              <w:rPr>
                <w:sz w:val="1"/>
                <w:szCs w:val="1"/>
                <w:color w:val="auto"/>
              </w:rPr>
            </w:pPr>
          </w:p>
        </w:tc>
      </w:tr>
      <w:tr>
        <w:trPr>
          <w:trHeight w:val="183"/>
        </w:trPr>
        <w:tc>
          <w:tcPr>
            <w:tcW w:w="3540" w:type="dxa"/>
            <w:vAlign w:val="bottom"/>
            <w:tcBorders>
              <w:bottom w:val="single" w:sz="8" w:color="CCEEFF"/>
            </w:tcBorders>
            <w:gridSpan w:val="13"/>
          </w:tcPr>
          <w:p>
            <w:pPr>
              <w:spacing w:after="0" w:line="182" w:lineRule="exact"/>
              <w:rPr>
                <w:sz w:val="20"/>
                <w:szCs w:val="20"/>
                <w:color w:val="auto"/>
              </w:rPr>
            </w:pPr>
            <w:r>
              <w:rPr>
                <w:rFonts w:ascii="Arial" w:cs="Arial" w:eastAsia="Arial" w:hAnsi="Arial"/>
                <w:sz w:val="14"/>
                <w:szCs w:val="14"/>
                <w:color w:val="auto"/>
              </w:rPr>
              <w:t>Term loan 15%, Due 12/23/2023***</w:t>
            </w:r>
            <w:r>
              <w:rPr>
                <w:rFonts w:ascii="Arial" w:cs="Arial" w:eastAsia="Arial" w:hAnsi="Arial"/>
                <w:sz w:val="18"/>
                <w:szCs w:val="18"/>
                <w:color w:val="auto"/>
                <w:vertAlign w:val="superscript"/>
              </w:rPr>
              <w:t>(14)</w:t>
            </w:r>
          </w:p>
        </w:tc>
        <w:tc>
          <w:tcPr>
            <w:tcW w:w="120" w:type="dxa"/>
            <w:vAlign w:val="bottom"/>
            <w:tcBorders>
              <w:bottom w:val="single" w:sz="8" w:color="CCEEFF"/>
            </w:tcBorders>
          </w:tcPr>
          <w:p>
            <w:pPr>
              <w:spacing w:after="0"/>
              <w:rPr>
                <w:sz w:val="15"/>
                <w:szCs w:val="15"/>
                <w:color w:val="auto"/>
              </w:rPr>
            </w:pPr>
          </w:p>
        </w:tc>
        <w:tc>
          <w:tcPr>
            <w:tcW w:w="196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980" w:type="dxa"/>
            <w:vAlign w:val="bottom"/>
            <w:tcBorders>
              <w:bottom w:val="single" w:sz="8" w:color="CCEEFF"/>
            </w:tcBorders>
          </w:tcPr>
          <w:p>
            <w:pPr>
              <w:jc w:val="center"/>
              <w:spacing w:after="0"/>
              <w:rPr>
                <w:sz w:val="20"/>
                <w:szCs w:val="20"/>
                <w:color w:val="auto"/>
              </w:rPr>
            </w:pPr>
            <w:r>
              <w:rPr>
                <w:rFonts w:ascii="Arial" w:cs="Arial" w:eastAsia="Arial" w:hAnsi="Arial"/>
                <w:sz w:val="14"/>
                <w:szCs w:val="14"/>
                <w:color w:val="auto"/>
                <w:w w:val="91"/>
              </w:rPr>
              <w:t>12/23/2020</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CCEEFF"/>
            </w:tcBorders>
          </w:tcPr>
          <w:p>
            <w:pPr>
              <w:jc w:val="right"/>
              <w:ind w:right="8"/>
              <w:spacing w:after="0"/>
              <w:rPr>
                <w:sz w:val="20"/>
                <w:szCs w:val="20"/>
                <w:color w:val="auto"/>
              </w:rPr>
            </w:pPr>
            <w:r>
              <w:rPr>
                <w:rFonts w:ascii="Arial" w:cs="Arial" w:eastAsia="Arial" w:hAnsi="Arial"/>
                <w:sz w:val="14"/>
                <w:szCs w:val="14"/>
                <w:color w:val="auto"/>
              </w:rPr>
              <w:t>3,000,000</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2,750,000</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2,750,000</w:t>
            </w:r>
          </w:p>
        </w:tc>
        <w:tc>
          <w:tcPr>
            <w:tcW w:w="10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0.63 %</w:t>
            </w:r>
          </w:p>
        </w:tc>
        <w:tc>
          <w:tcPr>
            <w:tcW w:w="0" w:type="dxa"/>
            <w:vAlign w:val="bottom"/>
          </w:tcPr>
          <w:p>
            <w:pPr>
              <w:spacing w:after="0"/>
              <w:rPr>
                <w:sz w:val="1"/>
                <w:szCs w:val="1"/>
                <w:color w:val="auto"/>
              </w:rPr>
            </w:pPr>
          </w:p>
        </w:tc>
      </w:tr>
      <w:tr>
        <w:trPr>
          <w:trHeight w:val="183"/>
        </w:trPr>
        <w:tc>
          <w:tcPr>
            <w:tcW w:w="3540" w:type="dxa"/>
            <w:vAlign w:val="bottom"/>
            <w:gridSpan w:val="13"/>
            <w:shd w:val="clear" w:color="auto" w:fill="CCEEFF"/>
          </w:tcPr>
          <w:p>
            <w:pPr>
              <w:ind w:left="120"/>
              <w:spacing w:after="0"/>
              <w:rPr>
                <w:sz w:val="20"/>
                <w:szCs w:val="20"/>
                <w:color w:val="auto"/>
              </w:rPr>
            </w:pPr>
            <w:r>
              <w:rPr>
                <w:rFonts w:ascii="Arial" w:cs="Arial" w:eastAsia="Arial" w:hAnsi="Arial"/>
                <w:sz w:val="14"/>
                <w:szCs w:val="14"/>
                <w:color w:val="auto"/>
              </w:rPr>
              <w:t>Total</w:t>
            </w:r>
          </w:p>
        </w:tc>
        <w:tc>
          <w:tcPr>
            <w:tcW w:w="120" w:type="dxa"/>
            <w:vAlign w:val="bottom"/>
            <w:shd w:val="clear" w:color="auto" w:fill="CCEEFF"/>
          </w:tcPr>
          <w:p>
            <w:pPr>
              <w:spacing w:after="0"/>
              <w:rPr>
                <w:sz w:val="15"/>
                <w:szCs w:val="15"/>
                <w:color w:val="auto"/>
              </w:rPr>
            </w:pPr>
          </w:p>
        </w:tc>
        <w:tc>
          <w:tcPr>
            <w:tcW w:w="1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4,250,000</w:t>
            </w:r>
          </w:p>
        </w:tc>
        <w:tc>
          <w:tcPr>
            <w:tcW w:w="10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4,412,117</w:t>
            </w:r>
          </w:p>
        </w:tc>
        <w:tc>
          <w:tcPr>
            <w:tcW w:w="100" w:type="dxa"/>
            <w:vAlign w:val="bottom"/>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1.01 %</w:t>
            </w:r>
          </w:p>
        </w:tc>
        <w:tc>
          <w:tcPr>
            <w:tcW w:w="0" w:type="dxa"/>
            <w:vAlign w:val="bottom"/>
          </w:tcPr>
          <w:p>
            <w:pPr>
              <w:spacing w:after="0"/>
              <w:rPr>
                <w:sz w:val="1"/>
                <w:szCs w:val="1"/>
                <w:color w:val="auto"/>
              </w:rPr>
            </w:pPr>
          </w:p>
        </w:tc>
      </w:tr>
      <w:tr>
        <w:trPr>
          <w:trHeight w:val="128"/>
        </w:trPr>
        <w:tc>
          <w:tcPr>
            <w:tcW w:w="3540" w:type="dxa"/>
            <w:vAlign w:val="bottom"/>
            <w:gridSpan w:val="13"/>
          </w:tcPr>
          <w:p>
            <w:pPr>
              <w:spacing w:after="0" w:line="129" w:lineRule="exact"/>
              <w:rPr>
                <w:sz w:val="20"/>
                <w:szCs w:val="20"/>
                <w:color w:val="auto"/>
              </w:rPr>
            </w:pPr>
            <w:r>
              <w:rPr>
                <w:rFonts w:ascii="Arial" w:cs="Arial" w:eastAsia="Arial" w:hAnsi="Arial"/>
                <w:sz w:val="14"/>
                <w:szCs w:val="14"/>
                <w:b w:val="1"/>
                <w:bCs w:val="1"/>
                <w:color w:val="auto"/>
              </w:rPr>
              <w:t>Neutron Holdings, Inc. (d/b/a/ Lime)</w:t>
            </w:r>
          </w:p>
        </w:tc>
        <w:tc>
          <w:tcPr>
            <w:tcW w:w="120" w:type="dxa"/>
            <w:vAlign w:val="bottom"/>
          </w:tcPr>
          <w:p>
            <w:pPr>
              <w:spacing w:after="0"/>
              <w:rPr>
                <w:sz w:val="11"/>
                <w:szCs w:val="11"/>
                <w:color w:val="auto"/>
              </w:rPr>
            </w:pPr>
          </w:p>
        </w:tc>
        <w:tc>
          <w:tcPr>
            <w:tcW w:w="2060" w:type="dxa"/>
            <w:vAlign w:val="bottom"/>
            <w:gridSpan w:val="2"/>
          </w:tcPr>
          <w:p>
            <w:pPr>
              <w:jc w:val="center"/>
              <w:ind w:right="140"/>
              <w:spacing w:after="0" w:line="129" w:lineRule="exact"/>
              <w:rPr>
                <w:sz w:val="20"/>
                <w:szCs w:val="20"/>
                <w:color w:val="auto"/>
              </w:rPr>
            </w:pPr>
            <w:r>
              <w:rPr>
                <w:rFonts w:ascii="Arial" w:cs="Arial" w:eastAsia="Arial" w:hAnsi="Arial"/>
                <w:sz w:val="14"/>
                <w:szCs w:val="14"/>
                <w:color w:val="auto"/>
                <w:w w:val="92"/>
              </w:rPr>
              <w:t>San Francisco, CA</w:t>
            </w: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70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540" w:type="dxa"/>
            <w:vAlign w:val="bottom"/>
            <w:gridSpan w:val="13"/>
            <w:shd w:val="clear" w:color="auto" w:fill="CCEEFF"/>
          </w:tcPr>
          <w:p>
            <w:pPr>
              <w:spacing w:after="0"/>
              <w:rPr>
                <w:sz w:val="20"/>
                <w:szCs w:val="20"/>
                <w:color w:val="auto"/>
              </w:rPr>
            </w:pPr>
            <w:r>
              <w:rPr>
                <w:rFonts w:ascii="Arial" w:cs="Arial" w:eastAsia="Arial" w:hAnsi="Arial"/>
                <w:sz w:val="14"/>
                <w:szCs w:val="14"/>
                <w:color w:val="auto"/>
              </w:rPr>
              <w:t>Junior Preferred shares, Series 1-D</w:t>
            </w:r>
          </w:p>
        </w:tc>
        <w:tc>
          <w:tcPr>
            <w:tcW w:w="120" w:type="dxa"/>
            <w:vAlign w:val="bottom"/>
            <w:shd w:val="clear" w:color="auto" w:fill="CCEEFF"/>
          </w:tcPr>
          <w:p>
            <w:pPr>
              <w:spacing w:after="0"/>
              <w:rPr>
                <w:sz w:val="17"/>
                <w:szCs w:val="17"/>
                <w:color w:val="auto"/>
              </w:rPr>
            </w:pPr>
          </w:p>
        </w:tc>
        <w:tc>
          <w:tcPr>
            <w:tcW w:w="2060" w:type="dxa"/>
            <w:vAlign w:val="bottom"/>
            <w:gridSpan w:val="2"/>
            <w:shd w:val="clear" w:color="auto" w:fill="CCEEFF"/>
          </w:tcPr>
          <w:p>
            <w:pPr>
              <w:jc w:val="center"/>
              <w:ind w:right="140"/>
              <w:spacing w:after="0"/>
              <w:rPr>
                <w:sz w:val="20"/>
                <w:szCs w:val="20"/>
                <w:color w:val="auto"/>
              </w:rPr>
            </w:pPr>
            <w:r>
              <w:rPr>
                <w:rFonts w:ascii="Arial" w:cs="Arial" w:eastAsia="Arial" w:hAnsi="Arial"/>
                <w:sz w:val="14"/>
                <w:szCs w:val="14"/>
                <w:color w:val="auto"/>
              </w:rPr>
              <w:t>Micromobility</w:t>
            </w:r>
          </w:p>
        </w:tc>
        <w:tc>
          <w:tcPr>
            <w:tcW w:w="9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1/25/2019</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41,237,113</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10,007,322</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3,485,014</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0.80 %</w:t>
            </w:r>
          </w:p>
        </w:tc>
        <w:tc>
          <w:tcPr>
            <w:tcW w:w="0" w:type="dxa"/>
            <w:vAlign w:val="bottom"/>
          </w:tcPr>
          <w:p>
            <w:pPr>
              <w:spacing w:after="0"/>
              <w:rPr>
                <w:sz w:val="1"/>
                <w:szCs w:val="1"/>
                <w:color w:val="auto"/>
              </w:rPr>
            </w:pPr>
          </w:p>
        </w:tc>
      </w:tr>
      <w:tr>
        <w:trPr>
          <w:trHeight w:val="186"/>
        </w:trPr>
        <w:tc>
          <w:tcPr>
            <w:tcW w:w="3540" w:type="dxa"/>
            <w:vAlign w:val="bottom"/>
            <w:gridSpan w:val="13"/>
          </w:tcPr>
          <w:p>
            <w:pPr>
              <w:spacing w:after="0"/>
              <w:rPr>
                <w:sz w:val="20"/>
                <w:szCs w:val="20"/>
                <w:color w:val="auto"/>
              </w:rPr>
            </w:pPr>
            <w:r>
              <w:rPr>
                <w:rFonts w:ascii="Arial" w:cs="Arial" w:eastAsia="Arial" w:hAnsi="Arial"/>
                <w:sz w:val="14"/>
                <w:szCs w:val="14"/>
                <w:color w:val="auto"/>
              </w:rPr>
              <w:t>Junior Preferred Convertible Note 4% Due 5/11/2027***</w:t>
            </w:r>
          </w:p>
        </w:tc>
        <w:tc>
          <w:tcPr>
            <w:tcW w:w="12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jc w:val="center"/>
              <w:spacing w:after="0"/>
              <w:rPr>
                <w:sz w:val="20"/>
                <w:szCs w:val="20"/>
                <w:color w:val="auto"/>
              </w:rPr>
            </w:pPr>
            <w:r>
              <w:rPr>
                <w:rFonts w:ascii="Arial" w:cs="Arial" w:eastAsia="Arial" w:hAnsi="Arial"/>
                <w:sz w:val="14"/>
                <w:szCs w:val="14"/>
                <w:color w:val="auto"/>
                <w:w w:val="93"/>
              </w:rPr>
              <w:t>5/11/2020</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506,339</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506,339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506,339</w:t>
            </w: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0.12 %</w:t>
            </w:r>
          </w:p>
        </w:tc>
        <w:tc>
          <w:tcPr>
            <w:tcW w:w="0" w:type="dxa"/>
            <w:vAlign w:val="bottom"/>
          </w:tcPr>
          <w:p>
            <w:pPr>
              <w:spacing w:after="0"/>
              <w:rPr>
                <w:sz w:val="1"/>
                <w:szCs w:val="1"/>
                <w:color w:val="auto"/>
              </w:rPr>
            </w:pPr>
          </w:p>
        </w:tc>
      </w:tr>
      <w:tr>
        <w:trPr>
          <w:trHeight w:val="152"/>
        </w:trPr>
        <w:tc>
          <w:tcPr>
            <w:tcW w:w="3540" w:type="dxa"/>
            <w:vAlign w:val="bottom"/>
            <w:gridSpan w:val="13"/>
            <w:shd w:val="clear" w:color="auto" w:fill="CCEEFF"/>
          </w:tcPr>
          <w:p>
            <w:pPr>
              <w:ind w:left="20"/>
              <w:spacing w:after="0" w:line="152" w:lineRule="exact"/>
              <w:rPr>
                <w:sz w:val="20"/>
                <w:szCs w:val="20"/>
                <w:color w:val="auto"/>
              </w:rPr>
            </w:pPr>
            <w:r>
              <w:rPr>
                <w:rFonts w:ascii="Arial" w:cs="Arial" w:eastAsia="Arial" w:hAnsi="Arial"/>
                <w:sz w:val="14"/>
                <w:szCs w:val="14"/>
                <w:color w:val="auto"/>
              </w:rPr>
              <w:t>Common Warrants, Strike Price $0.01, Expiration Date</w:t>
            </w:r>
          </w:p>
        </w:tc>
        <w:tc>
          <w:tcPr>
            <w:tcW w:w="120" w:type="dxa"/>
            <w:vAlign w:val="bottom"/>
            <w:shd w:val="clear" w:color="auto" w:fill="CCEEFF"/>
          </w:tcPr>
          <w:p>
            <w:pPr>
              <w:spacing w:after="0"/>
              <w:rPr>
                <w:sz w:val="13"/>
                <w:szCs w:val="13"/>
                <w:color w:val="auto"/>
              </w:rPr>
            </w:pPr>
          </w:p>
        </w:tc>
        <w:tc>
          <w:tcPr>
            <w:tcW w:w="19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8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3"/>
              </w:rPr>
              <w:t>5/11/2020</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4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2,032,967</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94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101,648</w:t>
            </w:r>
          </w:p>
        </w:tc>
        <w:tc>
          <w:tcPr>
            <w:tcW w:w="100" w:type="dxa"/>
            <w:vAlign w:val="bottom"/>
            <w:shd w:val="clear" w:color="auto" w:fill="CCEEFF"/>
          </w:tcPr>
          <w:p>
            <w:pPr>
              <w:spacing w:after="0"/>
              <w:rPr>
                <w:sz w:val="13"/>
                <w:szCs w:val="13"/>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0.02 %</w:t>
            </w:r>
          </w:p>
        </w:tc>
        <w:tc>
          <w:tcPr>
            <w:tcW w:w="0" w:type="dxa"/>
            <w:vAlign w:val="bottom"/>
          </w:tcPr>
          <w:p>
            <w:pPr>
              <w:spacing w:after="0"/>
              <w:rPr>
                <w:sz w:val="1"/>
                <w:szCs w:val="1"/>
                <w:color w:val="auto"/>
              </w:rPr>
            </w:pPr>
          </w:p>
        </w:tc>
      </w:tr>
      <w:tr>
        <w:trPr>
          <w:trHeight w:val="189"/>
        </w:trPr>
        <w:tc>
          <w:tcPr>
            <w:tcW w:w="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5/11/2027</w:t>
            </w:r>
          </w:p>
        </w:tc>
        <w:tc>
          <w:tcPr>
            <w:tcW w:w="1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8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3540" w:type="dxa"/>
            <w:vAlign w:val="bottom"/>
            <w:tcBorders>
              <w:bottom w:val="single" w:sz="8" w:color="CCEEFF"/>
            </w:tcBorders>
            <w:gridSpan w:val="13"/>
          </w:tcPr>
          <w:p>
            <w:pPr>
              <w:ind w:left="120"/>
              <w:spacing w:after="0"/>
              <w:rPr>
                <w:sz w:val="20"/>
                <w:szCs w:val="20"/>
                <w:color w:val="auto"/>
              </w:rPr>
            </w:pPr>
            <w:r>
              <w:rPr>
                <w:rFonts w:ascii="Arial" w:cs="Arial" w:eastAsia="Arial" w:hAnsi="Arial"/>
                <w:sz w:val="14"/>
                <w:szCs w:val="14"/>
                <w:color w:val="auto"/>
              </w:rPr>
              <w:t>Total</w:t>
            </w:r>
          </w:p>
        </w:tc>
        <w:tc>
          <w:tcPr>
            <w:tcW w:w="120" w:type="dxa"/>
            <w:vAlign w:val="bottom"/>
            <w:tcBorders>
              <w:bottom w:val="single" w:sz="8" w:color="CCEEFF"/>
            </w:tcBorders>
          </w:tcPr>
          <w:p>
            <w:pPr>
              <w:spacing w:after="0"/>
              <w:rPr>
                <w:sz w:val="15"/>
                <w:szCs w:val="15"/>
                <w:color w:val="auto"/>
              </w:rPr>
            </w:pPr>
          </w:p>
        </w:tc>
        <w:tc>
          <w:tcPr>
            <w:tcW w:w="196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98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84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8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10,513,661</w:t>
            </w:r>
          </w:p>
        </w:tc>
        <w:tc>
          <w:tcPr>
            <w:tcW w:w="100" w:type="dxa"/>
            <w:vAlign w:val="bottom"/>
            <w:tcBorders>
              <w:bottom w:val="single" w:sz="8" w:color="CCEEFF"/>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94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4,093,001</w:t>
            </w:r>
          </w:p>
        </w:tc>
        <w:tc>
          <w:tcPr>
            <w:tcW w:w="100" w:type="dxa"/>
            <w:vAlign w:val="bottom"/>
            <w:tcBorders>
              <w:bottom w:val="single" w:sz="8" w:color="CCEEFF"/>
            </w:tcBorders>
          </w:tcPr>
          <w:p>
            <w:pPr>
              <w:spacing w:after="0"/>
              <w:rPr>
                <w:sz w:val="15"/>
                <w:szCs w:val="15"/>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0.94 %</w:t>
            </w:r>
          </w:p>
        </w:tc>
        <w:tc>
          <w:tcPr>
            <w:tcW w:w="0" w:type="dxa"/>
            <w:vAlign w:val="bottom"/>
          </w:tcPr>
          <w:p>
            <w:pPr>
              <w:spacing w:after="0"/>
              <w:rPr>
                <w:sz w:val="1"/>
                <w:szCs w:val="1"/>
                <w:color w:val="auto"/>
              </w:rPr>
            </w:pPr>
          </w:p>
        </w:tc>
      </w:tr>
      <w:tr>
        <w:trPr>
          <w:trHeight w:val="166"/>
        </w:trPr>
        <w:tc>
          <w:tcPr>
            <w:tcW w:w="3540" w:type="dxa"/>
            <w:vAlign w:val="bottom"/>
            <w:gridSpan w:val="13"/>
            <w:shd w:val="clear" w:color="auto" w:fill="CCEEFF"/>
          </w:tcPr>
          <w:p>
            <w:pPr>
              <w:spacing w:after="0" w:line="145" w:lineRule="exact"/>
              <w:rPr>
                <w:sz w:val="20"/>
                <w:szCs w:val="20"/>
                <w:color w:val="auto"/>
              </w:rPr>
            </w:pPr>
            <w:r>
              <w:rPr>
                <w:rFonts w:ascii="Arial" w:cs="Arial" w:eastAsia="Arial" w:hAnsi="Arial"/>
                <w:sz w:val="13"/>
                <w:szCs w:val="13"/>
                <w:b w:val="1"/>
                <w:bCs w:val="1"/>
                <w:color w:val="auto"/>
              </w:rPr>
              <w:t>Aventine Property Group, Inc.</w:t>
            </w:r>
            <w:r>
              <w:rPr>
                <w:rFonts w:ascii="Arial" w:cs="Arial" w:eastAsia="Arial" w:hAnsi="Arial"/>
                <w:sz w:val="16"/>
                <w:szCs w:val="16"/>
                <w:b w:val="1"/>
                <w:bCs w:val="1"/>
                <w:color w:val="auto"/>
                <w:vertAlign w:val="superscript"/>
              </w:rPr>
              <w:t>(11)</w:t>
            </w:r>
          </w:p>
        </w:tc>
        <w:tc>
          <w:tcPr>
            <w:tcW w:w="120" w:type="dxa"/>
            <w:vAlign w:val="bottom"/>
            <w:shd w:val="clear" w:color="auto" w:fill="CCEEFF"/>
          </w:tcPr>
          <w:p>
            <w:pPr>
              <w:spacing w:after="0"/>
              <w:rPr>
                <w:sz w:val="14"/>
                <w:szCs w:val="14"/>
                <w:color w:val="auto"/>
              </w:rPr>
            </w:pPr>
          </w:p>
        </w:tc>
        <w:tc>
          <w:tcPr>
            <w:tcW w:w="2060" w:type="dxa"/>
            <w:vAlign w:val="bottom"/>
            <w:gridSpan w:val="2"/>
            <w:shd w:val="clear" w:color="auto" w:fill="CCEEFF"/>
          </w:tcPr>
          <w:p>
            <w:pPr>
              <w:jc w:val="center"/>
              <w:ind w:right="140"/>
              <w:spacing w:after="0" w:line="145" w:lineRule="exact"/>
              <w:rPr>
                <w:sz w:val="20"/>
                <w:szCs w:val="20"/>
                <w:color w:val="auto"/>
              </w:rPr>
            </w:pPr>
            <w:r>
              <w:rPr>
                <w:rFonts w:ascii="Arial" w:cs="Arial" w:eastAsia="Arial" w:hAnsi="Arial"/>
                <w:sz w:val="14"/>
                <w:szCs w:val="14"/>
                <w:color w:val="auto"/>
                <w:w w:val="95"/>
              </w:rPr>
              <w:t>Chicago, IL</w:t>
            </w: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1880" w:type="dxa"/>
            <w:vAlign w:val="bottom"/>
            <w:tcBorders>
              <w:top w:val="single" w:sz="8" w:color="auto"/>
            </w:tcBorders>
            <w:gridSpan w:val="10"/>
          </w:tcPr>
          <w:p>
            <w:pPr>
              <w:spacing w:after="0" w:line="189" w:lineRule="exact"/>
              <w:rPr>
                <w:sz w:val="20"/>
                <w:szCs w:val="20"/>
                <w:color w:val="auto"/>
              </w:rPr>
            </w:pPr>
            <w:r>
              <w:rPr>
                <w:rFonts w:ascii="Arial" w:cs="Arial" w:eastAsia="Arial" w:hAnsi="Arial"/>
                <w:sz w:val="14"/>
                <w:szCs w:val="14"/>
                <w:color w:val="auto"/>
              </w:rPr>
              <w:t>Common shares***</w:t>
            </w:r>
            <w:r>
              <w:rPr>
                <w:rFonts w:ascii="Arial" w:cs="Arial" w:eastAsia="Arial" w:hAnsi="Arial"/>
                <w:sz w:val="18"/>
                <w:szCs w:val="18"/>
                <w:color w:val="auto"/>
                <w:vertAlign w:val="superscript"/>
              </w:rPr>
              <w:t>(15)</w:t>
            </w:r>
          </w:p>
        </w:tc>
        <w:tc>
          <w:tcPr>
            <w:tcW w:w="1660" w:type="dxa"/>
            <w:vAlign w:val="bottom"/>
            <w:tcBorders>
              <w:top w:val="single" w:sz="8" w:color="CCEEFF"/>
            </w:tcBorders>
            <w:gridSpan w:val="3"/>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2060" w:type="dxa"/>
            <w:vAlign w:val="bottom"/>
            <w:tcBorders>
              <w:top w:val="single" w:sz="8" w:color="CCEEFF"/>
            </w:tcBorders>
            <w:gridSpan w:val="2"/>
          </w:tcPr>
          <w:p>
            <w:pPr>
              <w:jc w:val="center"/>
              <w:ind w:right="120"/>
              <w:spacing w:after="0"/>
              <w:rPr>
                <w:sz w:val="20"/>
                <w:szCs w:val="20"/>
                <w:color w:val="auto"/>
              </w:rPr>
            </w:pPr>
            <w:r>
              <w:rPr>
                <w:rFonts w:ascii="Arial" w:cs="Arial" w:eastAsia="Arial" w:hAnsi="Arial"/>
                <w:sz w:val="14"/>
                <w:szCs w:val="14"/>
                <w:color w:val="auto"/>
                <w:w w:val="94"/>
              </w:rPr>
              <w:t>Cannabis REIT</w:t>
            </w:r>
          </w:p>
        </w:tc>
        <w:tc>
          <w:tcPr>
            <w:tcW w:w="980" w:type="dxa"/>
            <w:vAlign w:val="bottom"/>
            <w:tcBorders>
              <w:top w:val="single" w:sz="8" w:color="CCEEFF"/>
            </w:tcBorders>
          </w:tcPr>
          <w:p>
            <w:pPr>
              <w:jc w:val="center"/>
              <w:spacing w:after="0"/>
              <w:rPr>
                <w:sz w:val="20"/>
                <w:szCs w:val="20"/>
                <w:color w:val="auto"/>
              </w:rPr>
            </w:pPr>
            <w:r>
              <w:rPr>
                <w:rFonts w:ascii="Arial" w:cs="Arial" w:eastAsia="Arial" w:hAnsi="Arial"/>
                <w:sz w:val="14"/>
                <w:szCs w:val="14"/>
                <w:color w:val="auto"/>
                <w:w w:val="95"/>
              </w:rPr>
              <w:t>1/1/2021</w:t>
            </w:r>
          </w:p>
        </w:tc>
        <w:tc>
          <w:tcPr>
            <w:tcW w:w="10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840" w:type="dxa"/>
            <w:vAlign w:val="bottom"/>
            <w:tcBorders>
              <w:top w:val="single" w:sz="8" w:color="CCEEFF"/>
            </w:tcBorders>
          </w:tcPr>
          <w:p>
            <w:pPr>
              <w:jc w:val="right"/>
              <w:ind w:right="8"/>
              <w:spacing w:after="0"/>
              <w:rPr>
                <w:sz w:val="20"/>
                <w:szCs w:val="20"/>
                <w:color w:val="auto"/>
              </w:rPr>
            </w:pPr>
            <w:r>
              <w:rPr>
                <w:rFonts w:ascii="Arial" w:cs="Arial" w:eastAsia="Arial" w:hAnsi="Arial"/>
                <w:sz w:val="14"/>
                <w:szCs w:val="14"/>
                <w:color w:val="auto"/>
              </w:rPr>
              <w:t>312,500</w:t>
            </w:r>
          </w:p>
        </w:tc>
        <w:tc>
          <w:tcPr>
            <w:tcW w:w="100" w:type="dxa"/>
            <w:vAlign w:val="bottom"/>
            <w:tcBorders>
              <w:top w:val="single" w:sz="8" w:color="CCEEFF"/>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880" w:type="dxa"/>
            <w:vAlign w:val="bottom"/>
            <w:tcBorders>
              <w:top w:val="single" w:sz="8" w:color="CCEEFF"/>
            </w:tcBorders>
          </w:tcPr>
          <w:p>
            <w:pPr>
              <w:jc w:val="right"/>
              <w:ind w:right="8"/>
              <w:spacing w:after="0"/>
              <w:rPr>
                <w:sz w:val="20"/>
                <w:szCs w:val="20"/>
                <w:color w:val="auto"/>
              </w:rPr>
            </w:pPr>
            <w:r>
              <w:rPr>
                <w:rFonts w:ascii="Arial" w:cs="Arial" w:eastAsia="Arial" w:hAnsi="Arial"/>
                <w:sz w:val="14"/>
                <w:szCs w:val="14"/>
                <w:color w:val="auto"/>
              </w:rPr>
              <w:t>2,580,750</w:t>
            </w:r>
          </w:p>
        </w:tc>
        <w:tc>
          <w:tcPr>
            <w:tcW w:w="10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940" w:type="dxa"/>
            <w:vAlign w:val="bottom"/>
            <w:tcBorders>
              <w:top w:val="single" w:sz="8" w:color="CCEEFF"/>
            </w:tcBorders>
          </w:tcPr>
          <w:p>
            <w:pPr>
              <w:jc w:val="right"/>
              <w:ind w:right="8"/>
              <w:spacing w:after="0"/>
              <w:rPr>
                <w:sz w:val="20"/>
                <w:szCs w:val="20"/>
                <w:color w:val="auto"/>
              </w:rPr>
            </w:pPr>
            <w:r>
              <w:rPr>
                <w:rFonts w:ascii="Arial" w:cs="Arial" w:eastAsia="Arial" w:hAnsi="Arial"/>
                <w:sz w:val="14"/>
                <w:szCs w:val="14"/>
                <w:color w:val="auto"/>
              </w:rPr>
              <w:t>3,874,427</w:t>
            </w:r>
          </w:p>
        </w:tc>
        <w:tc>
          <w:tcPr>
            <w:tcW w:w="100" w:type="dxa"/>
            <w:vAlign w:val="bottom"/>
            <w:tcBorders>
              <w:top w:val="single" w:sz="8" w:color="CCEEFF"/>
            </w:tcBorders>
          </w:tcPr>
          <w:p>
            <w:pPr>
              <w:spacing w:after="0"/>
              <w:rPr>
                <w:sz w:val="16"/>
                <w:szCs w:val="16"/>
                <w:color w:val="auto"/>
              </w:rPr>
            </w:pPr>
          </w:p>
        </w:tc>
        <w:tc>
          <w:tcPr>
            <w:tcW w:w="900" w:type="dxa"/>
            <w:vAlign w:val="bottom"/>
            <w:tcBorders>
              <w:top w:val="single" w:sz="8" w:color="CCEEFF"/>
            </w:tcBorders>
          </w:tcPr>
          <w:p>
            <w:pPr>
              <w:jc w:val="right"/>
              <w:spacing w:after="0"/>
              <w:rPr>
                <w:sz w:val="20"/>
                <w:szCs w:val="20"/>
                <w:color w:val="auto"/>
              </w:rPr>
            </w:pPr>
            <w:r>
              <w:rPr>
                <w:rFonts w:ascii="Arial" w:cs="Arial" w:eastAsia="Arial" w:hAnsi="Arial"/>
                <w:sz w:val="14"/>
                <w:szCs w:val="14"/>
                <w:color w:val="auto"/>
              </w:rPr>
              <w:t>0.89 %</w:t>
            </w:r>
          </w:p>
        </w:tc>
        <w:tc>
          <w:tcPr>
            <w:tcW w:w="0" w:type="dxa"/>
            <w:vAlign w:val="bottom"/>
          </w:tcPr>
          <w:p>
            <w:pPr>
              <w:spacing w:after="0"/>
              <w:rPr>
                <w:sz w:val="1"/>
                <w:szCs w:val="1"/>
                <w:color w:val="auto"/>
              </w:rPr>
            </w:pPr>
          </w:p>
        </w:tc>
      </w:tr>
      <w:tr>
        <w:trPr>
          <w:trHeight w:val="189"/>
        </w:trPr>
        <w:tc>
          <w:tcPr>
            <w:tcW w:w="3540" w:type="dxa"/>
            <w:vAlign w:val="bottom"/>
            <w:gridSpan w:val="13"/>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Aspiration Partners, Inc.</w:t>
            </w:r>
          </w:p>
        </w:tc>
        <w:tc>
          <w:tcPr>
            <w:tcW w:w="120" w:type="dxa"/>
            <w:vAlign w:val="bottom"/>
            <w:shd w:val="clear" w:color="auto" w:fill="CCEEFF"/>
          </w:tcPr>
          <w:p>
            <w:pPr>
              <w:spacing w:after="0"/>
              <w:rPr>
                <w:sz w:val="16"/>
                <w:szCs w:val="16"/>
                <w:color w:val="auto"/>
              </w:rPr>
            </w:pPr>
          </w:p>
        </w:tc>
        <w:tc>
          <w:tcPr>
            <w:tcW w:w="2060" w:type="dxa"/>
            <w:vAlign w:val="bottom"/>
            <w:gridSpan w:val="2"/>
            <w:shd w:val="clear" w:color="auto" w:fill="CCEEFF"/>
          </w:tcPr>
          <w:p>
            <w:pPr>
              <w:jc w:val="center"/>
              <w:ind w:right="120"/>
              <w:spacing w:after="0" w:line="149" w:lineRule="exact"/>
              <w:rPr>
                <w:sz w:val="20"/>
                <w:szCs w:val="20"/>
                <w:color w:val="auto"/>
              </w:rPr>
            </w:pPr>
            <w:r>
              <w:rPr>
                <w:rFonts w:ascii="Arial" w:cs="Arial" w:eastAsia="Arial" w:hAnsi="Arial"/>
                <w:sz w:val="14"/>
                <w:szCs w:val="14"/>
                <w:color w:val="auto"/>
                <w:w w:val="95"/>
              </w:rPr>
              <w:t>Marina Del Rey, CA</w:t>
            </w: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1540" w:type="dxa"/>
            <w:vAlign w:val="bottom"/>
            <w:tcBorders>
              <w:top w:val="single" w:sz="8" w:color="auto"/>
            </w:tcBorders>
            <w:gridSpan w:val="9"/>
          </w:tcPr>
          <w:p>
            <w:pPr>
              <w:spacing w:after="0"/>
              <w:rPr>
                <w:sz w:val="20"/>
                <w:szCs w:val="20"/>
                <w:color w:val="auto"/>
              </w:rPr>
            </w:pPr>
            <w:r>
              <w:rPr>
                <w:rFonts w:ascii="Arial" w:cs="Arial" w:eastAsia="Arial" w:hAnsi="Arial"/>
                <w:sz w:val="14"/>
                <w:szCs w:val="14"/>
                <w:color w:val="auto"/>
                <w:w w:val="92"/>
              </w:rPr>
              <w:t>Preferred shares, Series A</w:t>
            </w:r>
          </w:p>
        </w:tc>
        <w:tc>
          <w:tcPr>
            <w:tcW w:w="2000" w:type="dxa"/>
            <w:vAlign w:val="bottom"/>
            <w:tcBorders>
              <w:top w:val="single" w:sz="8" w:color="CCEEFF"/>
            </w:tcBorders>
            <w:gridSpan w:val="4"/>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1960" w:type="dxa"/>
            <w:vAlign w:val="bottom"/>
            <w:tcBorders>
              <w:top w:val="single" w:sz="8" w:color="CCEEFF"/>
            </w:tcBorders>
          </w:tcPr>
          <w:p>
            <w:pPr>
              <w:jc w:val="center"/>
              <w:spacing w:after="0"/>
              <w:rPr>
                <w:sz w:val="20"/>
                <w:szCs w:val="20"/>
                <w:color w:val="auto"/>
              </w:rPr>
            </w:pPr>
            <w:r>
              <w:rPr>
                <w:rFonts w:ascii="Arial" w:cs="Arial" w:eastAsia="Arial" w:hAnsi="Arial"/>
                <w:sz w:val="14"/>
                <w:szCs w:val="14"/>
                <w:color w:val="auto"/>
                <w:w w:val="93"/>
              </w:rPr>
              <w:t>Financial Services</w:t>
            </w:r>
          </w:p>
        </w:tc>
        <w:tc>
          <w:tcPr>
            <w:tcW w:w="100" w:type="dxa"/>
            <w:vAlign w:val="bottom"/>
            <w:tcBorders>
              <w:top w:val="single" w:sz="8" w:color="CCEEFF"/>
            </w:tcBorders>
          </w:tcPr>
          <w:p>
            <w:pPr>
              <w:spacing w:after="0"/>
              <w:rPr>
                <w:sz w:val="15"/>
                <w:szCs w:val="15"/>
                <w:color w:val="auto"/>
              </w:rPr>
            </w:pPr>
          </w:p>
        </w:tc>
        <w:tc>
          <w:tcPr>
            <w:tcW w:w="980" w:type="dxa"/>
            <w:vAlign w:val="bottom"/>
            <w:tcBorders>
              <w:top w:val="single" w:sz="8" w:color="CCEEFF"/>
            </w:tcBorders>
          </w:tcPr>
          <w:p>
            <w:pPr>
              <w:jc w:val="center"/>
              <w:spacing w:after="0"/>
              <w:rPr>
                <w:sz w:val="20"/>
                <w:szCs w:val="20"/>
                <w:color w:val="auto"/>
              </w:rPr>
            </w:pPr>
            <w:r>
              <w:rPr>
                <w:rFonts w:ascii="Arial" w:cs="Arial" w:eastAsia="Arial" w:hAnsi="Arial"/>
                <w:sz w:val="14"/>
                <w:szCs w:val="14"/>
                <w:color w:val="auto"/>
                <w:w w:val="93"/>
              </w:rPr>
              <w:t>8/11/2015</w:t>
            </w:r>
          </w:p>
        </w:tc>
        <w:tc>
          <w:tcPr>
            <w:tcW w:w="100" w:type="dxa"/>
            <w:vAlign w:val="bottom"/>
            <w:tcBorders>
              <w:top w:val="single" w:sz="8" w:color="CCEEFF"/>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840" w:type="dxa"/>
            <w:vAlign w:val="bottom"/>
            <w:tcBorders>
              <w:top w:val="single" w:sz="8" w:color="CCEEFF"/>
            </w:tcBorders>
          </w:tcPr>
          <w:p>
            <w:pPr>
              <w:jc w:val="right"/>
              <w:ind w:right="8"/>
              <w:spacing w:after="0"/>
              <w:rPr>
                <w:sz w:val="20"/>
                <w:szCs w:val="20"/>
                <w:color w:val="auto"/>
              </w:rPr>
            </w:pPr>
            <w:r>
              <w:rPr>
                <w:rFonts w:ascii="Arial" w:cs="Arial" w:eastAsia="Arial" w:hAnsi="Arial"/>
                <w:sz w:val="14"/>
                <w:szCs w:val="14"/>
                <w:color w:val="auto"/>
              </w:rPr>
              <w:t>540,270</w:t>
            </w:r>
          </w:p>
        </w:tc>
        <w:tc>
          <w:tcPr>
            <w:tcW w:w="100" w:type="dxa"/>
            <w:vAlign w:val="bottom"/>
            <w:tcBorders>
              <w:top w:val="single" w:sz="8" w:color="CCEEFF"/>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880" w:type="dxa"/>
            <w:vAlign w:val="bottom"/>
            <w:tcBorders>
              <w:top w:val="single" w:sz="8" w:color="CCEEFF"/>
            </w:tcBorders>
          </w:tcPr>
          <w:p>
            <w:pPr>
              <w:jc w:val="right"/>
              <w:ind w:right="8"/>
              <w:spacing w:after="0"/>
              <w:rPr>
                <w:sz w:val="20"/>
                <w:szCs w:val="20"/>
                <w:color w:val="auto"/>
              </w:rPr>
            </w:pPr>
            <w:r>
              <w:rPr>
                <w:rFonts w:ascii="Arial" w:cs="Arial" w:eastAsia="Arial" w:hAnsi="Arial"/>
                <w:sz w:val="14"/>
                <w:szCs w:val="14"/>
                <w:color w:val="auto"/>
              </w:rPr>
              <w:t>1,001,815</w:t>
            </w:r>
          </w:p>
        </w:tc>
        <w:tc>
          <w:tcPr>
            <w:tcW w:w="100" w:type="dxa"/>
            <w:vAlign w:val="bottom"/>
            <w:tcBorders>
              <w:top w:val="single" w:sz="8" w:color="CCEEFF"/>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940" w:type="dxa"/>
            <w:vAlign w:val="bottom"/>
            <w:tcBorders>
              <w:top w:val="single" w:sz="8" w:color="CCEEFF"/>
            </w:tcBorders>
          </w:tcPr>
          <w:p>
            <w:pPr>
              <w:jc w:val="right"/>
              <w:ind w:right="8"/>
              <w:spacing w:after="0"/>
              <w:rPr>
                <w:sz w:val="20"/>
                <w:szCs w:val="20"/>
                <w:color w:val="auto"/>
              </w:rPr>
            </w:pPr>
            <w:r>
              <w:rPr>
                <w:rFonts w:ascii="Arial" w:cs="Arial" w:eastAsia="Arial" w:hAnsi="Arial"/>
                <w:sz w:val="14"/>
                <w:szCs w:val="14"/>
                <w:color w:val="auto"/>
              </w:rPr>
              <w:t>3,288,548</w:t>
            </w:r>
          </w:p>
        </w:tc>
        <w:tc>
          <w:tcPr>
            <w:tcW w:w="100" w:type="dxa"/>
            <w:vAlign w:val="bottom"/>
            <w:tcBorders>
              <w:top w:val="single" w:sz="8" w:color="CCEEFF"/>
            </w:tcBorders>
          </w:tcPr>
          <w:p>
            <w:pPr>
              <w:spacing w:after="0"/>
              <w:rPr>
                <w:sz w:val="15"/>
                <w:szCs w:val="15"/>
                <w:color w:val="auto"/>
              </w:rPr>
            </w:pPr>
          </w:p>
        </w:tc>
        <w:tc>
          <w:tcPr>
            <w:tcW w:w="900" w:type="dxa"/>
            <w:vAlign w:val="bottom"/>
            <w:tcBorders>
              <w:top w:val="single" w:sz="8" w:color="CCEEFF"/>
            </w:tcBorders>
          </w:tcPr>
          <w:p>
            <w:pPr>
              <w:jc w:val="right"/>
              <w:spacing w:after="0"/>
              <w:rPr>
                <w:sz w:val="20"/>
                <w:szCs w:val="20"/>
                <w:color w:val="auto"/>
              </w:rPr>
            </w:pPr>
            <w:r>
              <w:rPr>
                <w:rFonts w:ascii="Arial" w:cs="Arial" w:eastAsia="Arial" w:hAnsi="Arial"/>
                <w:sz w:val="14"/>
                <w:szCs w:val="14"/>
                <w:color w:val="auto"/>
              </w:rPr>
              <w:t>0.75 %</w:t>
            </w:r>
          </w:p>
        </w:tc>
        <w:tc>
          <w:tcPr>
            <w:tcW w:w="0" w:type="dxa"/>
            <w:vAlign w:val="bottom"/>
          </w:tcPr>
          <w:p>
            <w:pPr>
              <w:spacing w:after="0"/>
              <w:rPr>
                <w:sz w:val="1"/>
                <w:szCs w:val="1"/>
                <w:color w:val="auto"/>
              </w:rPr>
            </w:pPr>
          </w:p>
        </w:tc>
      </w:tr>
      <w:tr>
        <w:trPr>
          <w:trHeight w:val="206"/>
        </w:trPr>
        <w:tc>
          <w:tcPr>
            <w:tcW w:w="3540" w:type="dxa"/>
            <w:vAlign w:val="bottom"/>
            <w:gridSpan w:val="13"/>
            <w:shd w:val="clear" w:color="auto" w:fill="CCEEFF"/>
          </w:tcPr>
          <w:p>
            <w:pPr>
              <w:spacing w:after="0"/>
              <w:rPr>
                <w:sz w:val="20"/>
                <w:szCs w:val="20"/>
                <w:color w:val="auto"/>
              </w:rPr>
            </w:pPr>
            <w:r>
              <w:rPr>
                <w:rFonts w:ascii="Arial" w:cs="Arial" w:eastAsia="Arial" w:hAnsi="Arial"/>
                <w:sz w:val="14"/>
                <w:szCs w:val="14"/>
                <w:color w:val="auto"/>
              </w:rPr>
              <w:t>Preferred shares, Series C-3</w:t>
            </w:r>
          </w:p>
        </w:tc>
        <w:tc>
          <w:tcPr>
            <w:tcW w:w="120" w:type="dxa"/>
            <w:vAlign w:val="bottom"/>
            <w:shd w:val="clear" w:color="auto" w:fill="CCEEFF"/>
          </w:tcPr>
          <w:p>
            <w:pPr>
              <w:spacing w:after="0"/>
              <w:rPr>
                <w:sz w:val="17"/>
                <w:szCs w:val="17"/>
                <w:color w:val="auto"/>
              </w:rPr>
            </w:pPr>
          </w:p>
        </w:tc>
        <w:tc>
          <w:tcPr>
            <w:tcW w:w="1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8/12/2019</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24,912</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281,190</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169,599</w:t>
            </w:r>
          </w:p>
        </w:tc>
        <w:tc>
          <w:tcPr>
            <w:tcW w:w="100" w:type="dxa"/>
            <w:vAlign w:val="bottom"/>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0.04 %</w:t>
            </w:r>
          </w:p>
        </w:tc>
        <w:tc>
          <w:tcPr>
            <w:tcW w:w="0" w:type="dxa"/>
            <w:vAlign w:val="bottom"/>
          </w:tcPr>
          <w:p>
            <w:pPr>
              <w:spacing w:after="0"/>
              <w:rPr>
                <w:sz w:val="1"/>
                <w:szCs w:val="1"/>
                <w:color w:val="auto"/>
              </w:rPr>
            </w:pPr>
          </w:p>
        </w:tc>
      </w:tr>
      <w:tr>
        <w:trPr>
          <w:trHeight w:val="179"/>
        </w:trPr>
        <w:tc>
          <w:tcPr>
            <w:tcW w:w="3540" w:type="dxa"/>
            <w:vAlign w:val="bottom"/>
            <w:tcBorders>
              <w:bottom w:val="single" w:sz="8" w:color="CCEEFF"/>
            </w:tcBorders>
            <w:gridSpan w:val="13"/>
          </w:tcPr>
          <w:p>
            <w:pPr>
              <w:ind w:left="120"/>
              <w:spacing w:after="0"/>
              <w:rPr>
                <w:sz w:val="20"/>
                <w:szCs w:val="20"/>
                <w:color w:val="auto"/>
              </w:rPr>
            </w:pPr>
            <w:r>
              <w:rPr>
                <w:rFonts w:ascii="Arial" w:cs="Arial" w:eastAsia="Arial" w:hAnsi="Arial"/>
                <w:sz w:val="14"/>
                <w:szCs w:val="14"/>
                <w:color w:val="auto"/>
              </w:rPr>
              <w:t>Total</w:t>
            </w:r>
          </w:p>
        </w:tc>
        <w:tc>
          <w:tcPr>
            <w:tcW w:w="120" w:type="dxa"/>
            <w:vAlign w:val="bottom"/>
            <w:tcBorders>
              <w:bottom w:val="single" w:sz="8" w:color="CCEEFF"/>
            </w:tcBorders>
          </w:tcPr>
          <w:p>
            <w:pPr>
              <w:spacing w:after="0"/>
              <w:rPr>
                <w:sz w:val="15"/>
                <w:szCs w:val="15"/>
                <w:color w:val="auto"/>
              </w:rPr>
            </w:pPr>
          </w:p>
        </w:tc>
        <w:tc>
          <w:tcPr>
            <w:tcW w:w="196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98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84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1,283,005</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3,458,147</w:t>
            </w:r>
          </w:p>
        </w:tc>
        <w:tc>
          <w:tcPr>
            <w:tcW w:w="10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0.79 %</w:t>
            </w:r>
          </w:p>
        </w:tc>
        <w:tc>
          <w:tcPr>
            <w:tcW w:w="0" w:type="dxa"/>
            <w:vAlign w:val="bottom"/>
          </w:tcPr>
          <w:p>
            <w:pPr>
              <w:spacing w:after="0"/>
              <w:rPr>
                <w:sz w:val="1"/>
                <w:szCs w:val="1"/>
                <w:color w:val="auto"/>
              </w:rPr>
            </w:pPr>
          </w:p>
        </w:tc>
      </w:tr>
      <w:tr>
        <w:trPr>
          <w:trHeight w:val="152"/>
        </w:trPr>
        <w:tc>
          <w:tcPr>
            <w:tcW w:w="3540" w:type="dxa"/>
            <w:vAlign w:val="bottom"/>
            <w:gridSpan w:val="13"/>
            <w:shd w:val="clear" w:color="auto" w:fill="CCEEFF"/>
          </w:tcPr>
          <w:p>
            <w:pPr>
              <w:spacing w:after="0" w:line="132" w:lineRule="exact"/>
              <w:rPr>
                <w:sz w:val="20"/>
                <w:szCs w:val="20"/>
                <w:color w:val="auto"/>
              </w:rPr>
            </w:pPr>
            <w:r>
              <w:rPr>
                <w:rFonts w:ascii="Arial" w:cs="Arial" w:eastAsia="Arial" w:hAnsi="Arial"/>
                <w:sz w:val="14"/>
                <w:szCs w:val="14"/>
                <w:b w:val="1"/>
                <w:bCs w:val="1"/>
                <w:color w:val="auto"/>
              </w:rPr>
              <w:t>Clever, Inc.</w:t>
            </w:r>
          </w:p>
        </w:tc>
        <w:tc>
          <w:tcPr>
            <w:tcW w:w="120" w:type="dxa"/>
            <w:vAlign w:val="bottom"/>
            <w:shd w:val="clear" w:color="auto" w:fill="CCEEFF"/>
          </w:tcPr>
          <w:p>
            <w:pPr>
              <w:spacing w:after="0"/>
              <w:rPr>
                <w:sz w:val="13"/>
                <w:szCs w:val="13"/>
                <w:color w:val="auto"/>
              </w:rPr>
            </w:pPr>
          </w:p>
        </w:tc>
        <w:tc>
          <w:tcPr>
            <w:tcW w:w="2060" w:type="dxa"/>
            <w:vAlign w:val="bottom"/>
            <w:gridSpan w:val="2"/>
            <w:shd w:val="clear" w:color="auto" w:fill="CCEEFF"/>
          </w:tcPr>
          <w:p>
            <w:pPr>
              <w:jc w:val="center"/>
              <w:ind w:right="140"/>
              <w:spacing w:after="0" w:line="132" w:lineRule="exact"/>
              <w:rPr>
                <w:sz w:val="20"/>
                <w:szCs w:val="20"/>
                <w:color w:val="auto"/>
              </w:rPr>
            </w:pPr>
            <w:r>
              <w:rPr>
                <w:rFonts w:ascii="Arial" w:cs="Arial" w:eastAsia="Arial" w:hAnsi="Arial"/>
                <w:sz w:val="14"/>
                <w:szCs w:val="14"/>
                <w:color w:val="auto"/>
                <w:w w:val="92"/>
              </w:rPr>
              <w:t>San Francisco, CA</w:t>
            </w: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00" w:type="dxa"/>
            <w:vAlign w:val="bottom"/>
            <w:tcBorders>
              <w:top w:val="single" w:sz="8" w:color="auto"/>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9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vMerge w:val="restart"/>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vMerge w:val="restart"/>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vMerge w:val="restart"/>
          </w:tcPr>
          <w:p>
            <w:pPr>
              <w:jc w:val="right"/>
              <w:ind w:right="8"/>
              <w:spacing w:after="0"/>
              <w:rPr>
                <w:sz w:val="20"/>
                <w:szCs w:val="20"/>
                <w:color w:val="auto"/>
              </w:rPr>
            </w:pPr>
            <w:r>
              <w:rPr>
                <w:rFonts w:ascii="Arial" w:cs="Arial" w:eastAsia="Arial" w:hAnsi="Arial"/>
                <w:sz w:val="14"/>
                <w:szCs w:val="14"/>
                <w:color w:val="auto"/>
              </w:rPr>
              <w:t>2,000,601</w:t>
            </w:r>
          </w:p>
        </w:tc>
        <w:tc>
          <w:tcPr>
            <w:tcW w:w="100" w:type="dxa"/>
            <w:vAlign w:val="bottom"/>
            <w:tcBorders>
              <w:top w:val="single" w:sz="8" w:color="CCEEFF"/>
            </w:tcBorders>
            <w:vMerge w:val="restart"/>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vMerge w:val="restart"/>
          </w:tcPr>
          <w:p>
            <w:pPr>
              <w:jc w:val="right"/>
              <w:ind w:right="8"/>
              <w:spacing w:after="0"/>
              <w:rPr>
                <w:sz w:val="20"/>
                <w:szCs w:val="20"/>
                <w:color w:val="auto"/>
              </w:rPr>
            </w:pPr>
            <w:r>
              <w:rPr>
                <w:rFonts w:ascii="Arial" w:cs="Arial" w:eastAsia="Arial" w:hAnsi="Arial"/>
                <w:sz w:val="14"/>
                <w:szCs w:val="14"/>
                <w:color w:val="auto"/>
              </w:rPr>
              <w:t>2,000,001</w:t>
            </w:r>
          </w:p>
        </w:tc>
        <w:tc>
          <w:tcPr>
            <w:tcW w:w="100" w:type="dxa"/>
            <w:vAlign w:val="bottom"/>
            <w:tcBorders>
              <w:top w:val="single" w:sz="8" w:color="CCEEFF"/>
            </w:tcBorders>
            <w:vMerge w:val="restart"/>
          </w:tcPr>
          <w:p>
            <w:pPr>
              <w:spacing w:after="0" w:line="20" w:lineRule="exact"/>
              <w:rPr>
                <w:sz w:val="1"/>
                <w:szCs w:val="1"/>
                <w:color w:val="auto"/>
              </w:rPr>
            </w:pPr>
          </w:p>
        </w:tc>
        <w:tc>
          <w:tcPr>
            <w:tcW w:w="900" w:type="dxa"/>
            <w:vAlign w:val="bottom"/>
            <w:tcBorders>
              <w:top w:val="single" w:sz="8" w:color="CCEEFF"/>
            </w:tcBorders>
            <w:vMerge w:val="restart"/>
          </w:tcPr>
          <w:p>
            <w:pPr>
              <w:jc w:val="right"/>
              <w:spacing w:after="0"/>
              <w:rPr>
                <w:sz w:val="20"/>
                <w:szCs w:val="20"/>
                <w:color w:val="auto"/>
              </w:rPr>
            </w:pPr>
            <w:r>
              <w:rPr>
                <w:rFonts w:ascii="Arial" w:cs="Arial" w:eastAsia="Arial" w:hAnsi="Arial"/>
                <w:sz w:val="14"/>
                <w:szCs w:val="14"/>
                <w:color w:val="auto"/>
              </w:rPr>
              <w:t>0.46 %</w:t>
            </w:r>
          </w:p>
        </w:tc>
        <w:tc>
          <w:tcPr>
            <w:tcW w:w="0" w:type="dxa"/>
            <w:vAlign w:val="bottom"/>
          </w:tcPr>
          <w:p>
            <w:pPr>
              <w:spacing w:after="0" w:line="20" w:lineRule="exact"/>
              <w:rPr>
                <w:sz w:val="1"/>
                <w:szCs w:val="1"/>
                <w:color w:val="auto"/>
              </w:rPr>
            </w:pPr>
          </w:p>
        </w:tc>
      </w:tr>
      <w:tr>
        <w:trPr>
          <w:trHeight w:val="176"/>
        </w:trPr>
        <w:tc>
          <w:tcPr>
            <w:tcW w:w="3540" w:type="dxa"/>
            <w:vAlign w:val="bottom"/>
            <w:gridSpan w:val="13"/>
          </w:tcPr>
          <w:p>
            <w:pPr>
              <w:spacing w:after="0"/>
              <w:rPr>
                <w:sz w:val="20"/>
                <w:szCs w:val="20"/>
                <w:color w:val="auto"/>
              </w:rPr>
            </w:pPr>
            <w:r>
              <w:rPr>
                <w:rFonts w:ascii="Arial" w:cs="Arial" w:eastAsia="Arial" w:hAnsi="Arial"/>
                <w:sz w:val="14"/>
                <w:szCs w:val="14"/>
                <w:color w:val="auto"/>
              </w:rPr>
              <w:t>Preferred shares, Series B 8%</w:t>
            </w:r>
          </w:p>
        </w:tc>
        <w:tc>
          <w:tcPr>
            <w:tcW w:w="120" w:type="dxa"/>
            <w:vAlign w:val="bottom"/>
          </w:tcPr>
          <w:p>
            <w:pPr>
              <w:spacing w:after="0"/>
              <w:rPr>
                <w:sz w:val="15"/>
                <w:szCs w:val="15"/>
                <w:color w:val="auto"/>
              </w:rPr>
            </w:pPr>
          </w:p>
        </w:tc>
        <w:tc>
          <w:tcPr>
            <w:tcW w:w="1960" w:type="dxa"/>
            <w:vAlign w:val="bottom"/>
          </w:tcPr>
          <w:p>
            <w:pPr>
              <w:jc w:val="center"/>
              <w:spacing w:after="0"/>
              <w:rPr>
                <w:sz w:val="20"/>
                <w:szCs w:val="20"/>
                <w:color w:val="auto"/>
              </w:rPr>
            </w:pPr>
            <w:r>
              <w:rPr>
                <w:rFonts w:ascii="Arial" w:cs="Arial" w:eastAsia="Arial" w:hAnsi="Arial"/>
                <w:sz w:val="14"/>
                <w:szCs w:val="14"/>
                <w:color w:val="auto"/>
                <w:w w:val="93"/>
              </w:rPr>
              <w:t>Education Software</w:t>
            </w:r>
          </w:p>
        </w:tc>
        <w:tc>
          <w:tcPr>
            <w:tcW w:w="100" w:type="dxa"/>
            <w:vAlign w:val="bottom"/>
            <w:vMerge w:val="continue"/>
          </w:tcPr>
          <w:p>
            <w:pPr>
              <w:spacing w:after="0"/>
              <w:rPr>
                <w:sz w:val="15"/>
                <w:szCs w:val="15"/>
                <w:color w:val="auto"/>
              </w:rPr>
            </w:pPr>
          </w:p>
        </w:tc>
        <w:tc>
          <w:tcPr>
            <w:tcW w:w="980" w:type="dxa"/>
            <w:vAlign w:val="bottom"/>
          </w:tcPr>
          <w:p>
            <w:pPr>
              <w:jc w:val="center"/>
              <w:spacing w:after="0"/>
              <w:rPr>
                <w:sz w:val="20"/>
                <w:szCs w:val="20"/>
                <w:color w:val="auto"/>
              </w:rPr>
            </w:pPr>
            <w:r>
              <w:rPr>
                <w:rFonts w:ascii="Arial" w:cs="Arial" w:eastAsia="Arial" w:hAnsi="Arial"/>
                <w:sz w:val="14"/>
                <w:szCs w:val="14"/>
                <w:color w:val="auto"/>
                <w:w w:val="96"/>
              </w:rPr>
              <w:t>12/5/2014</w:t>
            </w:r>
          </w:p>
        </w:tc>
        <w:tc>
          <w:tcPr>
            <w:tcW w:w="10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1,799,047</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-1461135</wp:posOffset>
            </wp:positionV>
            <wp:extent cx="3566160" cy="1289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566160" cy="12890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-2524125</wp:posOffset>
            </wp:positionV>
            <wp:extent cx="4251960"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251960" cy="137160"/>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-4864100</wp:posOffset>
            </wp:positionV>
            <wp:extent cx="2254250"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254250" cy="128905"/>
                    </a:xfrm>
                    <a:prstGeom prst="rect">
                      <a:avLst/>
                    </a:prstGeom>
                    <a:noFill/>
                  </pic:spPr>
                </pic:pic>
              </a:graphicData>
            </a:graphic>
          </wp:anchor>
        </w:drawing>
      </w:r>
    </w:p>
    <w:p>
      <w:pPr>
        <w:spacing w:after="0" w:line="49" w:lineRule="exact"/>
        <w:rPr>
          <w:sz w:val="20"/>
          <w:szCs w:val="20"/>
          <w:color w:val="auto"/>
        </w:rPr>
      </w:pPr>
    </w:p>
    <w:p>
      <w:pPr>
        <w:jc w:val="center"/>
        <w:ind w:right="-19"/>
        <w:spacing w:after="0"/>
        <w:rPr>
          <w:sz w:val="20"/>
          <w:szCs w:val="20"/>
          <w:color w:val="auto"/>
        </w:rPr>
      </w:pPr>
      <w:r>
        <w:rPr>
          <w:rFonts w:ascii="Arial" w:cs="Arial" w:eastAsia="Arial" w:hAnsi="Arial"/>
          <w:sz w:val="14"/>
          <w:szCs w:val="14"/>
          <w:i w:val="1"/>
          <w:iCs w:val="1"/>
          <w:color w:val="auto"/>
        </w:rPr>
        <w:t>See accompanying notes to condensed consolidated financial statements.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20"/>
          </w:cols>
          <w:pgMar w:left="320" w:top="121" w:right="359" w:bottom="1440" w:gutter="0" w:footer="0" w:header="0"/>
        </w:sectPr>
      </w:pPr>
    </w:p>
    <w:bookmarkStart w:id="7" w:name="page8"/>
    <w:bookmarkEnd w:id="7"/>
    <w:p>
      <w:pPr>
        <w:spacing w:after="0"/>
        <w:rPr>
          <w:rFonts w:ascii="Arial" w:cs="Arial" w:eastAsia="Arial" w:hAnsi="Arial"/>
          <w:sz w:val="14"/>
          <w:szCs w:val="14"/>
          <w:color w:val="0000FF"/>
        </w:rPr>
      </w:pPr>
      <w:hyperlink w:anchor="page1">
        <w:r>
          <w:rPr>
            <w:rFonts w:ascii="Arial" w:cs="Arial" w:eastAsia="Arial" w:hAnsi="Arial"/>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SURO CAPITAL CORP.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SCHEDULE OF INVESTMENTS (UNAUDITED) -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March 31, 2021</w:t>
      </w:r>
    </w:p>
    <w:p>
      <w:pPr>
        <w:spacing w:after="0" w:line="105"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560" w:type="dxa"/>
            <w:vAlign w:val="bottom"/>
            <w:gridSpan w:val="10"/>
            <w:vMerge w:val="restart"/>
          </w:tcPr>
          <w:p>
            <w:pPr>
              <w:spacing w:after="0"/>
              <w:rPr>
                <w:sz w:val="20"/>
                <w:szCs w:val="20"/>
                <w:color w:val="auto"/>
              </w:rPr>
            </w:pPr>
            <w:r>
              <w:rPr>
                <w:rFonts w:ascii="Arial" w:cs="Arial" w:eastAsia="Arial" w:hAnsi="Arial"/>
                <w:sz w:val="14"/>
                <w:szCs w:val="14"/>
                <w:b w:val="1"/>
                <w:bCs w:val="1"/>
                <w:color w:val="auto"/>
              </w:rPr>
              <w:t>Portfolio Investments*</w:t>
            </w:r>
          </w:p>
        </w:tc>
        <w:tc>
          <w:tcPr>
            <w:tcW w:w="100" w:type="dxa"/>
            <w:vAlign w:val="bottom"/>
          </w:tcPr>
          <w:p>
            <w:pPr>
              <w:spacing w:after="0"/>
              <w:rPr>
                <w:sz w:val="14"/>
                <w:szCs w:val="14"/>
                <w:color w:val="auto"/>
              </w:rPr>
            </w:pPr>
          </w:p>
        </w:tc>
        <w:tc>
          <w:tcPr>
            <w:tcW w:w="20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Headquarters/</w:t>
            </w:r>
          </w:p>
        </w:tc>
        <w:tc>
          <w:tcPr>
            <w:tcW w:w="10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Date of Initial</w:t>
            </w:r>
          </w:p>
        </w:tc>
        <w:tc>
          <w:tcPr>
            <w:tcW w:w="140" w:type="dxa"/>
            <w:vAlign w:val="bottom"/>
          </w:tcPr>
          <w:p>
            <w:pPr>
              <w:spacing w:after="0"/>
              <w:rPr>
                <w:sz w:val="14"/>
                <w:szCs w:val="14"/>
                <w:color w:val="auto"/>
              </w:rPr>
            </w:pPr>
          </w:p>
        </w:tc>
        <w:tc>
          <w:tcPr>
            <w:tcW w:w="1180" w:type="dxa"/>
            <w:vAlign w:val="bottom"/>
            <w:gridSpan w:val="3"/>
          </w:tcPr>
          <w:p>
            <w:pPr>
              <w:jc w:val="center"/>
              <w:ind w:right="480"/>
              <w:spacing w:after="0"/>
              <w:rPr>
                <w:sz w:val="20"/>
                <w:szCs w:val="20"/>
                <w:color w:val="auto"/>
              </w:rPr>
            </w:pPr>
            <w:r>
              <w:rPr>
                <w:rFonts w:ascii="Arial" w:cs="Arial" w:eastAsia="Arial" w:hAnsi="Arial"/>
                <w:sz w:val="14"/>
                <w:szCs w:val="14"/>
                <w:b w:val="1"/>
                <w:bCs w:val="1"/>
                <w:color w:val="auto"/>
                <w:w w:val="90"/>
              </w:rPr>
              <w:t>Shares/</w:t>
            </w:r>
          </w:p>
        </w:tc>
        <w:tc>
          <w:tcPr>
            <w:tcW w:w="96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Cost</w:t>
            </w:r>
          </w:p>
        </w:tc>
        <w:tc>
          <w:tcPr>
            <w:tcW w:w="160" w:type="dxa"/>
            <w:vAlign w:val="bottom"/>
          </w:tcPr>
          <w:p>
            <w:pPr>
              <w:spacing w:after="0"/>
              <w:rPr>
                <w:sz w:val="14"/>
                <w:szCs w:val="14"/>
                <w:color w:val="auto"/>
              </w:rPr>
            </w:pPr>
          </w:p>
        </w:tc>
        <w:tc>
          <w:tcPr>
            <w:tcW w:w="10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Fair Value</w:t>
            </w: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 of Net</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3560" w:type="dxa"/>
            <w:vAlign w:val="bottom"/>
            <w:gridSpan w:val="10"/>
            <w:vMerge w:val="continue"/>
          </w:tcPr>
          <w:p>
            <w:pPr>
              <w:spacing w:after="0"/>
              <w:rPr>
                <w:sz w:val="16"/>
                <w:szCs w:val="16"/>
                <w:color w:val="auto"/>
              </w:rPr>
            </w:pPr>
          </w:p>
        </w:tc>
        <w:tc>
          <w:tcPr>
            <w:tcW w:w="100" w:type="dxa"/>
            <w:vAlign w:val="bottom"/>
          </w:tcPr>
          <w:p>
            <w:pPr>
              <w:spacing w:after="0"/>
              <w:rPr>
                <w:sz w:val="16"/>
                <w:szCs w:val="16"/>
                <w:color w:val="auto"/>
              </w:rPr>
            </w:pPr>
          </w:p>
        </w:tc>
        <w:tc>
          <w:tcPr>
            <w:tcW w:w="20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Industry</w:t>
            </w:r>
          </w:p>
        </w:tc>
        <w:tc>
          <w:tcPr>
            <w:tcW w:w="10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Investment</w:t>
            </w:r>
          </w:p>
        </w:tc>
        <w:tc>
          <w:tcPr>
            <w:tcW w:w="140" w:type="dxa"/>
            <w:vAlign w:val="bottom"/>
          </w:tcPr>
          <w:p>
            <w:pPr>
              <w:spacing w:after="0"/>
              <w:rPr>
                <w:sz w:val="16"/>
                <w:szCs w:val="16"/>
                <w:color w:val="auto"/>
              </w:rPr>
            </w:pPr>
          </w:p>
        </w:tc>
        <w:tc>
          <w:tcPr>
            <w:tcW w:w="1180" w:type="dxa"/>
            <w:vAlign w:val="bottom"/>
            <w:gridSpan w:val="3"/>
          </w:tcPr>
          <w:p>
            <w:pPr>
              <w:jc w:val="center"/>
              <w:ind w:right="500"/>
              <w:spacing w:after="0"/>
              <w:rPr>
                <w:sz w:val="20"/>
                <w:szCs w:val="20"/>
                <w:color w:val="auto"/>
              </w:rPr>
            </w:pPr>
            <w:r>
              <w:rPr>
                <w:rFonts w:ascii="Arial" w:cs="Arial" w:eastAsia="Arial" w:hAnsi="Arial"/>
                <w:sz w:val="14"/>
                <w:szCs w:val="14"/>
                <w:b w:val="1"/>
                <w:bCs w:val="1"/>
                <w:color w:val="auto"/>
                <w:w w:val="94"/>
              </w:rPr>
              <w:t>Principal</w:t>
            </w:r>
          </w:p>
        </w:tc>
        <w:tc>
          <w:tcPr>
            <w:tcW w:w="9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b w:val="1"/>
                <w:bCs w:val="1"/>
                <w:color w:val="auto"/>
              </w:rPr>
              <w:t>Assets</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4"/>
        </w:trPr>
        <w:tc>
          <w:tcPr>
            <w:tcW w:w="3560" w:type="dxa"/>
            <w:vAlign w:val="bottom"/>
            <w:tcBorders>
              <w:top w:val="single" w:sz="8" w:color="auto"/>
            </w:tcBorders>
            <w:gridSpan w:val="10"/>
            <w:shd w:val="clear" w:color="auto" w:fill="CCEEFF"/>
          </w:tcPr>
          <w:p>
            <w:pPr>
              <w:spacing w:after="0" w:line="144" w:lineRule="exact"/>
              <w:rPr>
                <w:sz w:val="20"/>
                <w:szCs w:val="20"/>
                <w:color w:val="auto"/>
              </w:rPr>
            </w:pPr>
            <w:r>
              <w:rPr>
                <w:rFonts w:ascii="Arial" w:cs="Arial" w:eastAsia="Arial" w:hAnsi="Arial"/>
                <w:sz w:val="13"/>
                <w:szCs w:val="13"/>
                <w:b w:val="1"/>
                <w:bCs w:val="1"/>
                <w:color w:val="auto"/>
              </w:rPr>
              <w:t>Palantir Lending Trust SPV I **</w:t>
            </w:r>
            <w:r>
              <w:rPr>
                <w:rFonts w:ascii="Arial" w:cs="Arial" w:eastAsia="Arial" w:hAnsi="Arial"/>
                <w:sz w:val="16"/>
                <w:szCs w:val="16"/>
                <w:color w:val="auto"/>
                <w:vertAlign w:val="superscript"/>
              </w:rPr>
              <w:t>(10)</w:t>
            </w:r>
          </w:p>
        </w:tc>
        <w:tc>
          <w:tcPr>
            <w:tcW w:w="100" w:type="dxa"/>
            <w:vAlign w:val="bottom"/>
            <w:tcBorders>
              <w:top w:val="single" w:sz="8" w:color="CCEEFF"/>
            </w:tcBorders>
            <w:shd w:val="clear" w:color="auto" w:fill="CCEEFF"/>
          </w:tcPr>
          <w:p>
            <w:pPr>
              <w:spacing w:after="0"/>
              <w:rPr>
                <w:sz w:val="14"/>
                <w:szCs w:val="14"/>
                <w:color w:val="auto"/>
              </w:rPr>
            </w:pPr>
          </w:p>
        </w:tc>
        <w:tc>
          <w:tcPr>
            <w:tcW w:w="1940" w:type="dxa"/>
            <w:vAlign w:val="bottom"/>
            <w:tcBorders>
              <w:top w:val="single" w:sz="8" w:color="auto"/>
            </w:tcBorders>
            <w:shd w:val="clear" w:color="auto" w:fill="CCEEFF"/>
          </w:tcPr>
          <w:p>
            <w:pPr>
              <w:jc w:val="center"/>
              <w:spacing w:after="0" w:line="143" w:lineRule="exact"/>
              <w:rPr>
                <w:sz w:val="20"/>
                <w:szCs w:val="20"/>
                <w:color w:val="auto"/>
              </w:rPr>
            </w:pPr>
            <w:r>
              <w:rPr>
                <w:rFonts w:ascii="Arial" w:cs="Arial" w:eastAsia="Arial" w:hAnsi="Arial"/>
                <w:sz w:val="14"/>
                <w:szCs w:val="14"/>
                <w:color w:val="auto"/>
                <w:w w:val="98"/>
              </w:rPr>
              <w:t>Palo Alto, CA</w:t>
            </w:r>
          </w:p>
        </w:tc>
        <w:tc>
          <w:tcPr>
            <w:tcW w:w="100" w:type="dxa"/>
            <w:vAlign w:val="bottom"/>
            <w:tcBorders>
              <w:top w:val="single" w:sz="8" w:color="CCEEFF"/>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0" w:type="dxa"/>
            <w:vAlign w:val="bottom"/>
            <w:tcBorders>
              <w:top w:val="single" w:sz="8" w:color="auto"/>
            </w:tcBorders>
            <w:shd w:val="clear" w:color="auto" w:fill="CCEEFF"/>
          </w:tcPr>
          <w:p>
            <w:pPr>
              <w:spacing w:after="0" w:line="20" w:lineRule="exact"/>
              <w:rPr>
                <w:sz w:val="1"/>
                <w:szCs w:val="1"/>
                <w:color w:val="auto"/>
              </w:rPr>
            </w:pPr>
          </w:p>
        </w:tc>
        <w:tc>
          <w:tcPr>
            <w:tcW w:w="880" w:type="dxa"/>
            <w:vAlign w:val="bottom"/>
            <w:tcBorders>
              <w:top w:val="single" w:sz="8" w:color="auto"/>
            </w:tcBorders>
            <w:shd w:val="clear" w:color="auto" w:fill="CCEEFF"/>
          </w:tcPr>
          <w:p>
            <w:pPr>
              <w:spacing w:after="0" w:line="20" w:lineRule="exact"/>
              <w:rPr>
                <w:sz w:val="1"/>
                <w:szCs w:val="1"/>
                <w:color w:val="auto"/>
              </w:rPr>
            </w:pPr>
          </w:p>
        </w:tc>
        <w:tc>
          <w:tcPr>
            <w:tcW w:w="46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40" w:type="dxa"/>
            <w:vAlign w:val="bottom"/>
            <w:tcBorders>
              <w:top w:val="single" w:sz="8" w:color="CCEEFF"/>
            </w:tcBorders>
            <w:gridSpan w:val="2"/>
            <w:vMerge w:val="restart"/>
          </w:tcPr>
          <w:p>
            <w:pPr>
              <w:jc w:val="center"/>
              <w:ind w:right="100"/>
              <w:spacing w:after="0"/>
              <w:rPr>
                <w:sz w:val="20"/>
                <w:szCs w:val="20"/>
                <w:color w:val="auto"/>
              </w:rPr>
            </w:pPr>
            <w:r>
              <w:rPr>
                <w:rFonts w:ascii="Arial" w:cs="Arial" w:eastAsia="Arial" w:hAnsi="Arial"/>
                <w:sz w:val="14"/>
                <w:szCs w:val="14"/>
                <w:color w:val="auto"/>
                <w:w w:val="95"/>
              </w:rPr>
              <w:t>Data Analysis</w:t>
            </w: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vMerge w:val="restart"/>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CCEEFF"/>
            </w:tcBorders>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Borders>
              <w:top w:val="single" w:sz="8" w:color="CCEEFF"/>
            </w:tcBorders>
            <w:vMerge w:val="restart"/>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CCEEFF"/>
            </w:tcBorders>
            <w:vMerge w:val="restart"/>
          </w:tcPr>
          <w:p>
            <w:pPr>
              <w:jc w:val="right"/>
              <w:spacing w:after="0"/>
              <w:rPr>
                <w:sz w:val="20"/>
                <w:szCs w:val="20"/>
                <w:color w:val="auto"/>
              </w:rPr>
            </w:pPr>
            <w:r>
              <w:rPr>
                <w:rFonts w:ascii="Arial" w:cs="Arial" w:eastAsia="Arial" w:hAnsi="Arial"/>
                <w:sz w:val="14"/>
                <w:szCs w:val="14"/>
                <w:color w:val="auto"/>
              </w:rPr>
              <w:t>1,619,463</w:t>
            </w: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vMerge w:val="restart"/>
          </w:tcPr>
          <w:p>
            <w:pPr>
              <w:jc w:val="right"/>
              <w:spacing w:after="0"/>
              <w:rPr>
                <w:sz w:val="20"/>
                <w:szCs w:val="20"/>
                <w:color w:val="auto"/>
              </w:rPr>
            </w:pPr>
            <w:r>
              <w:rPr>
                <w:rFonts w:ascii="Arial" w:cs="Arial" w:eastAsia="Arial" w:hAnsi="Arial"/>
                <w:sz w:val="14"/>
                <w:szCs w:val="14"/>
                <w:color w:val="auto"/>
              </w:rPr>
              <w:t>0.37</w:t>
            </w:r>
          </w:p>
        </w:tc>
        <w:tc>
          <w:tcPr>
            <w:tcW w:w="160" w:type="dxa"/>
            <w:vAlign w:val="bottom"/>
            <w:tcBorders>
              <w:top w:val="single" w:sz="8" w:color="CCEEFF"/>
            </w:tcBorders>
            <w:vMerge w:val="restart"/>
          </w:tcPr>
          <w:p>
            <w:pPr>
              <w:jc w:val="right"/>
              <w:spacing w:after="0"/>
              <w:rPr>
                <w:sz w:val="20"/>
                <w:szCs w:val="20"/>
                <w:color w:val="auto"/>
              </w:rPr>
            </w:pPr>
            <w:r>
              <w:rPr>
                <w:rFonts w:ascii="Arial" w:cs="Arial" w:eastAsia="Arial" w:hAnsi="Arial"/>
                <w:sz w:val="14"/>
                <w:szCs w:val="14"/>
                <w:color w:val="auto"/>
                <w:w w:val="96"/>
              </w:rPr>
              <w:t>%</w:t>
            </w:r>
          </w:p>
        </w:tc>
        <w:tc>
          <w:tcPr>
            <w:tcW w:w="0" w:type="dxa"/>
            <w:vAlign w:val="bottom"/>
          </w:tcPr>
          <w:p>
            <w:pPr>
              <w:spacing w:after="0" w:line="20" w:lineRule="exact"/>
              <w:rPr>
                <w:sz w:val="1"/>
                <w:szCs w:val="1"/>
                <w:color w:val="auto"/>
              </w:rPr>
            </w:pPr>
          </w:p>
        </w:tc>
      </w:tr>
      <w:tr>
        <w:trPr>
          <w:trHeight w:val="183"/>
        </w:trPr>
        <w:tc>
          <w:tcPr>
            <w:tcW w:w="3560" w:type="dxa"/>
            <w:vAlign w:val="bottom"/>
            <w:gridSpan w:val="10"/>
          </w:tcPr>
          <w:p>
            <w:pPr>
              <w:spacing w:after="0" w:line="182" w:lineRule="exact"/>
              <w:rPr>
                <w:sz w:val="20"/>
                <w:szCs w:val="20"/>
                <w:color w:val="auto"/>
              </w:rPr>
            </w:pPr>
            <w:r>
              <w:rPr>
                <w:rFonts w:ascii="Arial" w:cs="Arial" w:eastAsia="Arial" w:hAnsi="Arial"/>
                <w:sz w:val="14"/>
                <w:szCs w:val="14"/>
                <w:color w:val="auto"/>
              </w:rPr>
              <w:t>Equity Participation in Underlying Collateral</w:t>
            </w:r>
            <w:r>
              <w:rPr>
                <w:rFonts w:ascii="Arial" w:cs="Arial" w:eastAsia="Arial" w:hAnsi="Arial"/>
                <w:sz w:val="18"/>
                <w:szCs w:val="18"/>
                <w:color w:val="auto"/>
                <w:vertAlign w:val="superscript"/>
              </w:rPr>
              <w:t>(3)</w:t>
            </w:r>
          </w:p>
        </w:tc>
        <w:tc>
          <w:tcPr>
            <w:tcW w:w="100" w:type="dxa"/>
            <w:vAlign w:val="bottom"/>
          </w:tcPr>
          <w:p>
            <w:pPr>
              <w:spacing w:after="0"/>
              <w:rPr>
                <w:sz w:val="15"/>
                <w:szCs w:val="15"/>
                <w:color w:val="auto"/>
              </w:rPr>
            </w:pPr>
          </w:p>
        </w:tc>
        <w:tc>
          <w:tcPr>
            <w:tcW w:w="2040" w:type="dxa"/>
            <w:vAlign w:val="bottom"/>
            <w:gridSpan w:val="2"/>
            <w:vMerge w:val="continue"/>
          </w:tcPr>
          <w:p>
            <w:pPr>
              <w:spacing w:after="0"/>
              <w:rPr>
                <w:sz w:val="15"/>
                <w:szCs w:val="15"/>
                <w:color w:val="auto"/>
              </w:rPr>
            </w:pPr>
          </w:p>
        </w:tc>
        <w:tc>
          <w:tcPr>
            <w:tcW w:w="980" w:type="dxa"/>
            <w:vAlign w:val="bottom"/>
          </w:tcPr>
          <w:p>
            <w:pPr>
              <w:jc w:val="center"/>
              <w:spacing w:after="0"/>
              <w:rPr>
                <w:sz w:val="20"/>
                <w:szCs w:val="20"/>
                <w:color w:val="auto"/>
              </w:rPr>
            </w:pPr>
            <w:r>
              <w:rPr>
                <w:rFonts w:ascii="Arial" w:cs="Arial" w:eastAsia="Arial" w:hAnsi="Arial"/>
                <w:sz w:val="14"/>
                <w:szCs w:val="14"/>
                <w:color w:val="auto"/>
                <w:w w:val="93"/>
              </w:rPr>
              <w:t>6/19/2020</w:t>
            </w:r>
          </w:p>
        </w:tc>
        <w:tc>
          <w:tcPr>
            <w:tcW w:w="10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340" w:type="dxa"/>
            <w:vAlign w:val="bottom"/>
            <w:gridSpan w:val="2"/>
            <w:vMerge w:val="continue"/>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160" w:type="dxa"/>
            <w:vAlign w:val="bottom"/>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1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3560" w:type="dxa"/>
            <w:vAlign w:val="bottom"/>
            <w:gridSpan w:val="10"/>
            <w:shd w:val="clear" w:color="auto" w:fill="CCEEFF"/>
          </w:tcPr>
          <w:p>
            <w:pPr>
              <w:spacing w:after="0" w:line="135" w:lineRule="exact"/>
              <w:rPr>
                <w:sz w:val="20"/>
                <w:szCs w:val="20"/>
                <w:color w:val="auto"/>
              </w:rPr>
            </w:pPr>
            <w:r>
              <w:rPr>
                <w:rFonts w:ascii="Arial" w:cs="Arial" w:eastAsia="Arial" w:hAnsi="Arial"/>
                <w:sz w:val="14"/>
                <w:szCs w:val="14"/>
                <w:b w:val="1"/>
                <w:bCs w:val="1"/>
                <w:u w:val="single" w:color="auto"/>
                <w:color w:val="auto"/>
                <w:w w:val="95"/>
              </w:rPr>
              <w:t>Commercial Streaming Solutions Inc. (d/b/a BettorView)</w:t>
            </w:r>
          </w:p>
        </w:tc>
        <w:tc>
          <w:tcPr>
            <w:tcW w:w="100" w:type="dxa"/>
            <w:vAlign w:val="bottom"/>
            <w:shd w:val="clear" w:color="auto" w:fill="CCEEFF"/>
          </w:tcPr>
          <w:p>
            <w:pPr>
              <w:spacing w:after="0"/>
              <w:rPr>
                <w:sz w:val="11"/>
                <w:szCs w:val="11"/>
                <w:color w:val="auto"/>
              </w:rPr>
            </w:pPr>
          </w:p>
        </w:tc>
        <w:tc>
          <w:tcPr>
            <w:tcW w:w="204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4"/>
                <w:szCs w:val="14"/>
                <w:color w:val="auto"/>
                <w:w w:val="92"/>
              </w:rPr>
              <w:t>Las Vegas, NV</w:t>
            </w:r>
          </w:p>
        </w:tc>
        <w:tc>
          <w:tcPr>
            <w:tcW w:w="9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54"/>
        </w:trPr>
        <w:tc>
          <w:tcPr>
            <w:tcW w:w="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2"/>
                <w:szCs w:val="2"/>
                <w:b w:val="1"/>
                <w:bCs w:val="1"/>
                <w:color w:val="auto"/>
              </w:rPr>
              <w:t>(7</w:t>
            </w:r>
          </w:p>
        </w:tc>
        <w:tc>
          <w:tcPr>
            <w:tcW w:w="880" w:type="dxa"/>
            <w:vAlign w:val="bottom"/>
            <w:tcBorders>
              <w:bottom w:val="single" w:sz="8" w:color="CCEEFF"/>
            </w:tcBorders>
            <w:vMerge w:val="restart"/>
            <w:shd w:val="clear" w:color="auto" w:fill="CCEEFF"/>
          </w:tcPr>
          <w:p>
            <w:pPr>
              <w:spacing w:after="0"/>
              <w:rPr>
                <w:sz w:val="20"/>
                <w:szCs w:val="20"/>
                <w:color w:val="auto"/>
              </w:rPr>
            </w:pPr>
            <w:r>
              <w:rPr>
                <w:rFonts w:ascii="Arial" w:cs="Arial" w:eastAsia="Arial" w:hAnsi="Arial"/>
                <w:sz w:val="9"/>
                <w:szCs w:val="9"/>
                <w:b w:val="1"/>
                <w:bCs w:val="1"/>
                <w:color w:val="auto"/>
              </w:rPr>
              <w:t>)</w:t>
            </w:r>
          </w:p>
        </w:tc>
        <w:tc>
          <w:tcPr>
            <w:tcW w:w="460" w:type="dxa"/>
            <w:vAlign w:val="bottom"/>
            <w:tcBorders>
              <w:bottom w:val="single" w:sz="8" w:color="CCEEFF"/>
            </w:tcBorders>
            <w:shd w:val="clear" w:color="auto" w:fill="CCEEFF"/>
          </w:tcPr>
          <w:p>
            <w:pPr>
              <w:spacing w:after="0"/>
              <w:rPr>
                <w:sz w:val="4"/>
                <w:szCs w:val="4"/>
                <w:color w:val="auto"/>
              </w:rPr>
            </w:pPr>
          </w:p>
        </w:tc>
        <w:tc>
          <w:tcPr>
            <w:tcW w:w="100" w:type="dxa"/>
            <w:vAlign w:val="bottom"/>
            <w:tcBorders>
              <w:bottom w:val="single" w:sz="8" w:color="CCEEFF"/>
            </w:tcBorders>
            <w:shd w:val="clear" w:color="auto" w:fill="CCEEFF"/>
          </w:tcPr>
          <w:p>
            <w:pPr>
              <w:spacing w:after="0"/>
              <w:rPr>
                <w:sz w:val="4"/>
                <w:szCs w:val="4"/>
                <w:color w:val="auto"/>
              </w:rPr>
            </w:pPr>
          </w:p>
        </w:tc>
        <w:tc>
          <w:tcPr>
            <w:tcW w:w="140" w:type="dxa"/>
            <w:vAlign w:val="bottom"/>
            <w:tcBorders>
              <w:bottom w:val="single" w:sz="8" w:color="CCEEFF"/>
            </w:tcBorders>
            <w:shd w:val="clear" w:color="auto" w:fill="CCEEFF"/>
          </w:tcPr>
          <w:p>
            <w:pPr>
              <w:spacing w:after="0"/>
              <w:rPr>
                <w:sz w:val="4"/>
                <w:szCs w:val="4"/>
                <w:color w:val="auto"/>
              </w:rPr>
            </w:pPr>
          </w:p>
        </w:tc>
        <w:tc>
          <w:tcPr>
            <w:tcW w:w="60" w:type="dxa"/>
            <w:vAlign w:val="bottom"/>
            <w:tcBorders>
              <w:bottom w:val="single" w:sz="8" w:color="CCEEFF"/>
            </w:tcBorders>
            <w:shd w:val="clear" w:color="auto" w:fill="CCEEFF"/>
          </w:tcPr>
          <w:p>
            <w:pPr>
              <w:spacing w:after="0"/>
              <w:rPr>
                <w:sz w:val="4"/>
                <w:szCs w:val="4"/>
                <w:color w:val="auto"/>
              </w:rPr>
            </w:pPr>
          </w:p>
        </w:tc>
        <w:tc>
          <w:tcPr>
            <w:tcW w:w="100" w:type="dxa"/>
            <w:vAlign w:val="bottom"/>
            <w:tcBorders>
              <w:bottom w:val="single" w:sz="8" w:color="CCEEFF"/>
            </w:tcBorders>
            <w:shd w:val="clear" w:color="auto" w:fill="CCEEFF"/>
          </w:tcPr>
          <w:p>
            <w:pPr>
              <w:spacing w:after="0"/>
              <w:rPr>
                <w:sz w:val="4"/>
                <w:szCs w:val="4"/>
                <w:color w:val="auto"/>
              </w:rPr>
            </w:pPr>
          </w:p>
        </w:tc>
        <w:tc>
          <w:tcPr>
            <w:tcW w:w="160" w:type="dxa"/>
            <w:vAlign w:val="bottom"/>
            <w:tcBorders>
              <w:bottom w:val="single" w:sz="8" w:color="CCEEFF"/>
            </w:tcBorders>
            <w:shd w:val="clear" w:color="auto" w:fill="CCEEFF"/>
          </w:tcPr>
          <w:p>
            <w:pPr>
              <w:spacing w:after="0"/>
              <w:rPr>
                <w:sz w:val="4"/>
                <w:szCs w:val="4"/>
                <w:color w:val="auto"/>
              </w:rPr>
            </w:pPr>
          </w:p>
        </w:tc>
        <w:tc>
          <w:tcPr>
            <w:tcW w:w="780" w:type="dxa"/>
            <w:vAlign w:val="bottom"/>
            <w:tcBorders>
              <w:bottom w:val="single" w:sz="8" w:color="CCEEFF"/>
            </w:tcBorders>
            <w:shd w:val="clear" w:color="auto" w:fill="CCEEFF"/>
          </w:tcPr>
          <w:p>
            <w:pPr>
              <w:spacing w:after="0"/>
              <w:rPr>
                <w:sz w:val="4"/>
                <w:szCs w:val="4"/>
                <w:color w:val="auto"/>
              </w:rPr>
            </w:pPr>
          </w:p>
        </w:tc>
        <w:tc>
          <w:tcPr>
            <w:tcW w:w="800" w:type="dxa"/>
            <w:vAlign w:val="bottom"/>
            <w:tcBorders>
              <w:bottom w:val="single" w:sz="8" w:color="CCEEFF"/>
            </w:tcBorders>
            <w:shd w:val="clear" w:color="auto" w:fill="CCEEFF"/>
          </w:tcPr>
          <w:p>
            <w:pPr>
              <w:spacing w:after="0"/>
              <w:rPr>
                <w:sz w:val="4"/>
                <w:szCs w:val="4"/>
                <w:color w:val="auto"/>
              </w:rPr>
            </w:pPr>
          </w:p>
        </w:tc>
        <w:tc>
          <w:tcPr>
            <w:tcW w:w="100" w:type="dxa"/>
            <w:vAlign w:val="bottom"/>
            <w:tcBorders>
              <w:bottom w:val="single" w:sz="8" w:color="CCEEFF"/>
            </w:tcBorders>
            <w:shd w:val="clear" w:color="auto" w:fill="CCEEFF"/>
          </w:tcPr>
          <w:p>
            <w:pPr>
              <w:spacing w:after="0"/>
              <w:rPr>
                <w:sz w:val="4"/>
                <w:szCs w:val="4"/>
                <w:color w:val="auto"/>
              </w:rPr>
            </w:pPr>
          </w:p>
        </w:tc>
        <w:tc>
          <w:tcPr>
            <w:tcW w:w="2040" w:type="dxa"/>
            <w:vAlign w:val="bottom"/>
            <w:tcBorders>
              <w:bottom w:val="single" w:sz="8" w:color="CCEEFF"/>
            </w:tcBorders>
            <w:gridSpan w:val="2"/>
            <w:vMerge w:val="continue"/>
            <w:shd w:val="clear" w:color="auto" w:fill="CCEEFF"/>
          </w:tcPr>
          <w:p>
            <w:pPr>
              <w:spacing w:after="0"/>
              <w:rPr>
                <w:sz w:val="4"/>
                <w:szCs w:val="4"/>
                <w:color w:val="auto"/>
              </w:rPr>
            </w:pPr>
          </w:p>
        </w:tc>
        <w:tc>
          <w:tcPr>
            <w:tcW w:w="980" w:type="dxa"/>
            <w:vAlign w:val="bottom"/>
            <w:tcBorders>
              <w:bottom w:val="single" w:sz="8" w:color="CCEEFF"/>
            </w:tcBorders>
            <w:shd w:val="clear" w:color="auto" w:fill="CCEEFF"/>
          </w:tcPr>
          <w:p>
            <w:pPr>
              <w:spacing w:after="0"/>
              <w:rPr>
                <w:sz w:val="4"/>
                <w:szCs w:val="4"/>
                <w:color w:val="auto"/>
              </w:rPr>
            </w:pPr>
          </w:p>
        </w:tc>
        <w:tc>
          <w:tcPr>
            <w:tcW w:w="100" w:type="dxa"/>
            <w:vAlign w:val="bottom"/>
            <w:tcBorders>
              <w:bottom w:val="single" w:sz="8" w:color="CCEEFF"/>
            </w:tcBorders>
            <w:shd w:val="clear" w:color="auto" w:fill="CCEEFF"/>
          </w:tcPr>
          <w:p>
            <w:pPr>
              <w:spacing w:after="0"/>
              <w:rPr>
                <w:sz w:val="4"/>
                <w:szCs w:val="4"/>
                <w:color w:val="auto"/>
              </w:rPr>
            </w:pPr>
          </w:p>
        </w:tc>
        <w:tc>
          <w:tcPr>
            <w:tcW w:w="140" w:type="dxa"/>
            <w:vAlign w:val="bottom"/>
            <w:tcBorders>
              <w:bottom w:val="single" w:sz="8" w:color="CCEEFF"/>
            </w:tcBorders>
            <w:shd w:val="clear" w:color="auto" w:fill="CCEEFF"/>
          </w:tcPr>
          <w:p>
            <w:pPr>
              <w:spacing w:after="0"/>
              <w:rPr>
                <w:sz w:val="4"/>
                <w:szCs w:val="4"/>
                <w:color w:val="auto"/>
              </w:rPr>
            </w:pPr>
          </w:p>
        </w:tc>
        <w:tc>
          <w:tcPr>
            <w:tcW w:w="840" w:type="dxa"/>
            <w:vAlign w:val="bottom"/>
            <w:tcBorders>
              <w:bottom w:val="single" w:sz="8" w:color="CCEEFF"/>
            </w:tcBorders>
            <w:shd w:val="clear" w:color="auto" w:fill="CCEEFF"/>
          </w:tcPr>
          <w:p>
            <w:pPr>
              <w:spacing w:after="0"/>
              <w:rPr>
                <w:sz w:val="4"/>
                <w:szCs w:val="4"/>
                <w:color w:val="auto"/>
              </w:rPr>
            </w:pPr>
          </w:p>
        </w:tc>
        <w:tc>
          <w:tcPr>
            <w:tcW w:w="100" w:type="dxa"/>
            <w:vAlign w:val="bottom"/>
            <w:tcBorders>
              <w:bottom w:val="single" w:sz="8" w:color="CCEEFF"/>
            </w:tcBorders>
            <w:shd w:val="clear" w:color="auto" w:fill="CCEEFF"/>
          </w:tcPr>
          <w:p>
            <w:pPr>
              <w:spacing w:after="0"/>
              <w:rPr>
                <w:sz w:val="4"/>
                <w:szCs w:val="4"/>
                <w:color w:val="auto"/>
              </w:rPr>
            </w:pPr>
          </w:p>
        </w:tc>
        <w:tc>
          <w:tcPr>
            <w:tcW w:w="240" w:type="dxa"/>
            <w:vAlign w:val="bottom"/>
            <w:tcBorders>
              <w:bottom w:val="single" w:sz="8" w:color="CCEEFF"/>
            </w:tcBorders>
            <w:shd w:val="clear" w:color="auto" w:fill="CCEEFF"/>
          </w:tcPr>
          <w:p>
            <w:pPr>
              <w:spacing w:after="0"/>
              <w:rPr>
                <w:sz w:val="4"/>
                <w:szCs w:val="4"/>
                <w:color w:val="auto"/>
              </w:rPr>
            </w:pPr>
          </w:p>
        </w:tc>
        <w:tc>
          <w:tcPr>
            <w:tcW w:w="860" w:type="dxa"/>
            <w:vAlign w:val="bottom"/>
            <w:tcBorders>
              <w:bottom w:val="single" w:sz="8" w:color="CCEEFF"/>
            </w:tcBorders>
            <w:shd w:val="clear" w:color="auto" w:fill="CCEEFF"/>
          </w:tcPr>
          <w:p>
            <w:pPr>
              <w:spacing w:after="0"/>
              <w:rPr>
                <w:sz w:val="4"/>
                <w:szCs w:val="4"/>
                <w:color w:val="auto"/>
              </w:rPr>
            </w:pPr>
          </w:p>
        </w:tc>
        <w:tc>
          <w:tcPr>
            <w:tcW w:w="100" w:type="dxa"/>
            <w:vAlign w:val="bottom"/>
            <w:tcBorders>
              <w:bottom w:val="single" w:sz="8" w:color="CCEEFF"/>
            </w:tcBorders>
            <w:shd w:val="clear" w:color="auto" w:fill="CCEEFF"/>
          </w:tcPr>
          <w:p>
            <w:pPr>
              <w:spacing w:after="0"/>
              <w:rPr>
                <w:sz w:val="4"/>
                <w:szCs w:val="4"/>
                <w:color w:val="auto"/>
              </w:rPr>
            </w:pPr>
          </w:p>
        </w:tc>
        <w:tc>
          <w:tcPr>
            <w:tcW w:w="160" w:type="dxa"/>
            <w:vAlign w:val="bottom"/>
            <w:tcBorders>
              <w:bottom w:val="single" w:sz="8" w:color="CCEEFF"/>
            </w:tcBorders>
            <w:shd w:val="clear" w:color="auto" w:fill="CCEEFF"/>
          </w:tcPr>
          <w:p>
            <w:pPr>
              <w:spacing w:after="0"/>
              <w:rPr>
                <w:sz w:val="4"/>
                <w:szCs w:val="4"/>
                <w:color w:val="auto"/>
              </w:rPr>
            </w:pPr>
          </w:p>
        </w:tc>
        <w:tc>
          <w:tcPr>
            <w:tcW w:w="940" w:type="dxa"/>
            <w:vAlign w:val="bottom"/>
            <w:tcBorders>
              <w:bottom w:val="single" w:sz="8" w:color="CCEEFF"/>
            </w:tcBorders>
            <w:shd w:val="clear" w:color="auto" w:fill="CCEEFF"/>
          </w:tcPr>
          <w:p>
            <w:pPr>
              <w:spacing w:after="0"/>
              <w:rPr>
                <w:sz w:val="4"/>
                <w:szCs w:val="4"/>
                <w:color w:val="auto"/>
              </w:rPr>
            </w:pPr>
          </w:p>
        </w:tc>
        <w:tc>
          <w:tcPr>
            <w:tcW w:w="100" w:type="dxa"/>
            <w:vAlign w:val="bottom"/>
            <w:tcBorders>
              <w:bottom w:val="single" w:sz="8" w:color="CCEEFF"/>
            </w:tcBorders>
            <w:shd w:val="clear" w:color="auto" w:fill="CCEEFF"/>
          </w:tcPr>
          <w:p>
            <w:pPr>
              <w:spacing w:after="0"/>
              <w:rPr>
                <w:sz w:val="4"/>
                <w:szCs w:val="4"/>
                <w:color w:val="auto"/>
              </w:rPr>
            </w:pPr>
          </w:p>
        </w:tc>
        <w:tc>
          <w:tcPr>
            <w:tcW w:w="760" w:type="dxa"/>
            <w:vAlign w:val="bottom"/>
            <w:tcBorders>
              <w:bottom w:val="single" w:sz="8" w:color="CCEEFF"/>
            </w:tcBorders>
            <w:shd w:val="clear" w:color="auto" w:fill="CCEEFF"/>
          </w:tcPr>
          <w:p>
            <w:pPr>
              <w:spacing w:after="0"/>
              <w:rPr>
                <w:sz w:val="4"/>
                <w:szCs w:val="4"/>
                <w:color w:val="auto"/>
              </w:rPr>
            </w:pPr>
          </w:p>
        </w:tc>
        <w:tc>
          <w:tcPr>
            <w:tcW w:w="160" w:type="dxa"/>
            <w:vAlign w:val="bottom"/>
            <w:tcBorders>
              <w:bottom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49"/>
        </w:trPr>
        <w:tc>
          <w:tcPr>
            <w:tcW w:w="80" w:type="dxa"/>
            <w:vAlign w:val="bottom"/>
            <w:tcBorders>
              <w:bottom w:val="single" w:sz="8" w:color="CCEEFF"/>
            </w:tcBorders>
            <w:shd w:val="clear" w:color="auto" w:fill="CCEEFF"/>
          </w:tcPr>
          <w:p>
            <w:pPr>
              <w:spacing w:after="0"/>
              <w:rPr>
                <w:sz w:val="4"/>
                <w:szCs w:val="4"/>
                <w:color w:val="auto"/>
              </w:rPr>
            </w:pPr>
          </w:p>
        </w:tc>
        <w:tc>
          <w:tcPr>
            <w:tcW w:w="880" w:type="dxa"/>
            <w:vAlign w:val="bottom"/>
            <w:tcBorders>
              <w:bottom w:val="single" w:sz="8" w:color="CCEEFF"/>
            </w:tcBorders>
            <w:vMerge w:val="continue"/>
            <w:shd w:val="clear" w:color="auto" w:fill="CCEEFF"/>
          </w:tcPr>
          <w:p>
            <w:pPr>
              <w:spacing w:after="0"/>
              <w:rPr>
                <w:sz w:val="4"/>
                <w:szCs w:val="4"/>
                <w:color w:val="auto"/>
              </w:rPr>
            </w:pPr>
          </w:p>
        </w:tc>
        <w:tc>
          <w:tcPr>
            <w:tcW w:w="460" w:type="dxa"/>
            <w:vAlign w:val="bottom"/>
            <w:tcBorders>
              <w:bottom w:val="single" w:sz="8" w:color="CCEEFF"/>
            </w:tcBorders>
            <w:shd w:val="clear" w:color="auto" w:fill="CCEEFF"/>
          </w:tcPr>
          <w:p>
            <w:pPr>
              <w:spacing w:after="0"/>
              <w:rPr>
                <w:sz w:val="4"/>
                <w:szCs w:val="4"/>
                <w:color w:val="auto"/>
              </w:rPr>
            </w:pPr>
          </w:p>
        </w:tc>
        <w:tc>
          <w:tcPr>
            <w:tcW w:w="100" w:type="dxa"/>
            <w:vAlign w:val="bottom"/>
            <w:tcBorders>
              <w:bottom w:val="single" w:sz="8" w:color="CCEEFF"/>
            </w:tcBorders>
            <w:shd w:val="clear" w:color="auto" w:fill="CCEEFF"/>
          </w:tcPr>
          <w:p>
            <w:pPr>
              <w:spacing w:after="0"/>
              <w:rPr>
                <w:sz w:val="4"/>
                <w:szCs w:val="4"/>
                <w:color w:val="auto"/>
              </w:rPr>
            </w:pPr>
          </w:p>
        </w:tc>
        <w:tc>
          <w:tcPr>
            <w:tcW w:w="140" w:type="dxa"/>
            <w:vAlign w:val="bottom"/>
            <w:tcBorders>
              <w:bottom w:val="single" w:sz="8" w:color="CCEEFF"/>
            </w:tcBorders>
            <w:shd w:val="clear" w:color="auto" w:fill="CCEEFF"/>
          </w:tcPr>
          <w:p>
            <w:pPr>
              <w:spacing w:after="0"/>
              <w:rPr>
                <w:sz w:val="4"/>
                <w:szCs w:val="4"/>
                <w:color w:val="auto"/>
              </w:rPr>
            </w:pPr>
          </w:p>
        </w:tc>
        <w:tc>
          <w:tcPr>
            <w:tcW w:w="60" w:type="dxa"/>
            <w:vAlign w:val="bottom"/>
            <w:tcBorders>
              <w:bottom w:val="single" w:sz="8" w:color="CCEEFF"/>
            </w:tcBorders>
            <w:shd w:val="clear" w:color="auto" w:fill="CCEEFF"/>
          </w:tcPr>
          <w:p>
            <w:pPr>
              <w:spacing w:after="0"/>
              <w:rPr>
                <w:sz w:val="4"/>
                <w:szCs w:val="4"/>
                <w:color w:val="auto"/>
              </w:rPr>
            </w:pPr>
          </w:p>
        </w:tc>
        <w:tc>
          <w:tcPr>
            <w:tcW w:w="100" w:type="dxa"/>
            <w:vAlign w:val="bottom"/>
            <w:tcBorders>
              <w:bottom w:val="single" w:sz="8" w:color="CCEEFF"/>
            </w:tcBorders>
            <w:shd w:val="clear" w:color="auto" w:fill="CCEEFF"/>
          </w:tcPr>
          <w:p>
            <w:pPr>
              <w:spacing w:after="0"/>
              <w:rPr>
                <w:sz w:val="4"/>
                <w:szCs w:val="4"/>
                <w:color w:val="auto"/>
              </w:rPr>
            </w:pPr>
          </w:p>
        </w:tc>
        <w:tc>
          <w:tcPr>
            <w:tcW w:w="160" w:type="dxa"/>
            <w:vAlign w:val="bottom"/>
            <w:tcBorders>
              <w:bottom w:val="single" w:sz="8" w:color="CCEEFF"/>
            </w:tcBorders>
            <w:shd w:val="clear" w:color="auto" w:fill="CCEEFF"/>
          </w:tcPr>
          <w:p>
            <w:pPr>
              <w:spacing w:after="0"/>
              <w:rPr>
                <w:sz w:val="4"/>
                <w:szCs w:val="4"/>
                <w:color w:val="auto"/>
              </w:rPr>
            </w:pPr>
          </w:p>
        </w:tc>
        <w:tc>
          <w:tcPr>
            <w:tcW w:w="780" w:type="dxa"/>
            <w:vAlign w:val="bottom"/>
            <w:tcBorders>
              <w:bottom w:val="single" w:sz="8" w:color="CCEEFF"/>
            </w:tcBorders>
            <w:shd w:val="clear" w:color="auto" w:fill="CCEEFF"/>
          </w:tcPr>
          <w:p>
            <w:pPr>
              <w:spacing w:after="0"/>
              <w:rPr>
                <w:sz w:val="4"/>
                <w:szCs w:val="4"/>
                <w:color w:val="auto"/>
              </w:rPr>
            </w:pPr>
          </w:p>
        </w:tc>
        <w:tc>
          <w:tcPr>
            <w:tcW w:w="800" w:type="dxa"/>
            <w:vAlign w:val="bottom"/>
            <w:tcBorders>
              <w:bottom w:val="single" w:sz="8" w:color="CCEEFF"/>
            </w:tcBorders>
            <w:shd w:val="clear" w:color="auto" w:fill="CCEEFF"/>
          </w:tcPr>
          <w:p>
            <w:pPr>
              <w:spacing w:after="0"/>
              <w:rPr>
                <w:sz w:val="4"/>
                <w:szCs w:val="4"/>
                <w:color w:val="auto"/>
              </w:rPr>
            </w:pPr>
          </w:p>
        </w:tc>
        <w:tc>
          <w:tcPr>
            <w:tcW w:w="100" w:type="dxa"/>
            <w:vAlign w:val="bottom"/>
            <w:tcBorders>
              <w:bottom w:val="single" w:sz="8" w:color="CCEEFF"/>
            </w:tcBorders>
            <w:shd w:val="clear" w:color="auto" w:fill="CCEEFF"/>
          </w:tcPr>
          <w:p>
            <w:pPr>
              <w:spacing w:after="0"/>
              <w:rPr>
                <w:sz w:val="4"/>
                <w:szCs w:val="4"/>
                <w:color w:val="auto"/>
              </w:rPr>
            </w:pPr>
          </w:p>
        </w:tc>
        <w:tc>
          <w:tcPr>
            <w:tcW w:w="2040" w:type="dxa"/>
            <w:vAlign w:val="bottom"/>
            <w:tcBorders>
              <w:bottom w:val="single" w:sz="8" w:color="CCEEFF"/>
            </w:tcBorders>
            <w:gridSpan w:val="2"/>
            <w:vMerge w:val="continue"/>
            <w:shd w:val="clear" w:color="auto" w:fill="CCEEFF"/>
          </w:tcPr>
          <w:p>
            <w:pPr>
              <w:spacing w:after="0"/>
              <w:rPr>
                <w:sz w:val="4"/>
                <w:szCs w:val="4"/>
                <w:color w:val="auto"/>
              </w:rPr>
            </w:pPr>
          </w:p>
        </w:tc>
        <w:tc>
          <w:tcPr>
            <w:tcW w:w="980" w:type="dxa"/>
            <w:vAlign w:val="bottom"/>
            <w:tcBorders>
              <w:bottom w:val="single" w:sz="8" w:color="CCEEFF"/>
            </w:tcBorders>
            <w:shd w:val="clear" w:color="auto" w:fill="CCEEFF"/>
          </w:tcPr>
          <w:p>
            <w:pPr>
              <w:spacing w:after="0"/>
              <w:rPr>
                <w:sz w:val="4"/>
                <w:szCs w:val="4"/>
                <w:color w:val="auto"/>
              </w:rPr>
            </w:pPr>
          </w:p>
        </w:tc>
        <w:tc>
          <w:tcPr>
            <w:tcW w:w="100" w:type="dxa"/>
            <w:vAlign w:val="bottom"/>
            <w:tcBorders>
              <w:bottom w:val="single" w:sz="8" w:color="CCEEFF"/>
            </w:tcBorders>
            <w:shd w:val="clear" w:color="auto" w:fill="CCEEFF"/>
          </w:tcPr>
          <w:p>
            <w:pPr>
              <w:spacing w:after="0"/>
              <w:rPr>
                <w:sz w:val="4"/>
                <w:szCs w:val="4"/>
                <w:color w:val="auto"/>
              </w:rPr>
            </w:pPr>
          </w:p>
        </w:tc>
        <w:tc>
          <w:tcPr>
            <w:tcW w:w="140" w:type="dxa"/>
            <w:vAlign w:val="bottom"/>
            <w:tcBorders>
              <w:bottom w:val="single" w:sz="8" w:color="CCEEFF"/>
            </w:tcBorders>
            <w:shd w:val="clear" w:color="auto" w:fill="CCEEFF"/>
          </w:tcPr>
          <w:p>
            <w:pPr>
              <w:spacing w:after="0"/>
              <w:rPr>
                <w:sz w:val="4"/>
                <w:szCs w:val="4"/>
                <w:color w:val="auto"/>
              </w:rPr>
            </w:pPr>
          </w:p>
        </w:tc>
        <w:tc>
          <w:tcPr>
            <w:tcW w:w="840" w:type="dxa"/>
            <w:vAlign w:val="bottom"/>
            <w:tcBorders>
              <w:bottom w:val="single" w:sz="8" w:color="CCEEFF"/>
            </w:tcBorders>
            <w:shd w:val="clear" w:color="auto" w:fill="CCEEFF"/>
          </w:tcPr>
          <w:p>
            <w:pPr>
              <w:spacing w:after="0"/>
              <w:rPr>
                <w:sz w:val="4"/>
                <w:szCs w:val="4"/>
                <w:color w:val="auto"/>
              </w:rPr>
            </w:pPr>
          </w:p>
        </w:tc>
        <w:tc>
          <w:tcPr>
            <w:tcW w:w="100" w:type="dxa"/>
            <w:vAlign w:val="bottom"/>
            <w:tcBorders>
              <w:bottom w:val="single" w:sz="8" w:color="CCEEFF"/>
            </w:tcBorders>
            <w:shd w:val="clear" w:color="auto" w:fill="CCEEFF"/>
          </w:tcPr>
          <w:p>
            <w:pPr>
              <w:spacing w:after="0"/>
              <w:rPr>
                <w:sz w:val="4"/>
                <w:szCs w:val="4"/>
                <w:color w:val="auto"/>
              </w:rPr>
            </w:pPr>
          </w:p>
        </w:tc>
        <w:tc>
          <w:tcPr>
            <w:tcW w:w="240" w:type="dxa"/>
            <w:vAlign w:val="bottom"/>
            <w:tcBorders>
              <w:bottom w:val="single" w:sz="8" w:color="CCEEFF"/>
            </w:tcBorders>
            <w:shd w:val="clear" w:color="auto" w:fill="CCEEFF"/>
          </w:tcPr>
          <w:p>
            <w:pPr>
              <w:spacing w:after="0"/>
              <w:rPr>
                <w:sz w:val="4"/>
                <w:szCs w:val="4"/>
                <w:color w:val="auto"/>
              </w:rPr>
            </w:pPr>
          </w:p>
        </w:tc>
        <w:tc>
          <w:tcPr>
            <w:tcW w:w="860" w:type="dxa"/>
            <w:vAlign w:val="bottom"/>
            <w:tcBorders>
              <w:bottom w:val="single" w:sz="8" w:color="CCEEFF"/>
            </w:tcBorders>
            <w:shd w:val="clear" w:color="auto" w:fill="CCEEFF"/>
          </w:tcPr>
          <w:p>
            <w:pPr>
              <w:spacing w:after="0"/>
              <w:rPr>
                <w:sz w:val="4"/>
                <w:szCs w:val="4"/>
                <w:color w:val="auto"/>
              </w:rPr>
            </w:pPr>
          </w:p>
        </w:tc>
        <w:tc>
          <w:tcPr>
            <w:tcW w:w="100" w:type="dxa"/>
            <w:vAlign w:val="bottom"/>
            <w:tcBorders>
              <w:bottom w:val="single" w:sz="8" w:color="CCEEFF"/>
            </w:tcBorders>
            <w:shd w:val="clear" w:color="auto" w:fill="CCEEFF"/>
          </w:tcPr>
          <w:p>
            <w:pPr>
              <w:spacing w:after="0"/>
              <w:rPr>
                <w:sz w:val="4"/>
                <w:szCs w:val="4"/>
                <w:color w:val="auto"/>
              </w:rPr>
            </w:pPr>
          </w:p>
        </w:tc>
        <w:tc>
          <w:tcPr>
            <w:tcW w:w="160" w:type="dxa"/>
            <w:vAlign w:val="bottom"/>
            <w:tcBorders>
              <w:bottom w:val="single" w:sz="8" w:color="CCEEFF"/>
            </w:tcBorders>
            <w:shd w:val="clear" w:color="auto" w:fill="CCEEFF"/>
          </w:tcPr>
          <w:p>
            <w:pPr>
              <w:spacing w:after="0"/>
              <w:rPr>
                <w:sz w:val="4"/>
                <w:szCs w:val="4"/>
                <w:color w:val="auto"/>
              </w:rPr>
            </w:pPr>
          </w:p>
        </w:tc>
        <w:tc>
          <w:tcPr>
            <w:tcW w:w="940" w:type="dxa"/>
            <w:vAlign w:val="bottom"/>
            <w:tcBorders>
              <w:bottom w:val="single" w:sz="8" w:color="CCEEFF"/>
            </w:tcBorders>
            <w:shd w:val="clear" w:color="auto" w:fill="CCEEFF"/>
          </w:tcPr>
          <w:p>
            <w:pPr>
              <w:spacing w:after="0"/>
              <w:rPr>
                <w:sz w:val="4"/>
                <w:szCs w:val="4"/>
                <w:color w:val="auto"/>
              </w:rPr>
            </w:pPr>
          </w:p>
        </w:tc>
        <w:tc>
          <w:tcPr>
            <w:tcW w:w="100" w:type="dxa"/>
            <w:vAlign w:val="bottom"/>
            <w:tcBorders>
              <w:bottom w:val="single" w:sz="8" w:color="CCEEFF"/>
            </w:tcBorders>
            <w:shd w:val="clear" w:color="auto" w:fill="CCEEFF"/>
          </w:tcPr>
          <w:p>
            <w:pPr>
              <w:spacing w:after="0"/>
              <w:rPr>
                <w:sz w:val="4"/>
                <w:szCs w:val="4"/>
                <w:color w:val="auto"/>
              </w:rPr>
            </w:pPr>
          </w:p>
        </w:tc>
        <w:tc>
          <w:tcPr>
            <w:tcW w:w="760" w:type="dxa"/>
            <w:vAlign w:val="bottom"/>
            <w:tcBorders>
              <w:bottom w:val="single" w:sz="8" w:color="CCEEFF"/>
            </w:tcBorders>
            <w:shd w:val="clear" w:color="auto" w:fill="CCEEFF"/>
          </w:tcPr>
          <w:p>
            <w:pPr>
              <w:spacing w:after="0"/>
              <w:rPr>
                <w:sz w:val="4"/>
                <w:szCs w:val="4"/>
                <w:color w:val="auto"/>
              </w:rPr>
            </w:pPr>
          </w:p>
        </w:tc>
        <w:tc>
          <w:tcPr>
            <w:tcW w:w="160" w:type="dxa"/>
            <w:vAlign w:val="bottom"/>
            <w:tcBorders>
              <w:bottom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178"/>
        </w:trPr>
        <w:tc>
          <w:tcPr>
            <w:tcW w:w="3560" w:type="dxa"/>
            <w:vAlign w:val="bottom"/>
            <w:gridSpan w:val="10"/>
          </w:tcPr>
          <w:p>
            <w:pPr>
              <w:spacing w:after="0"/>
              <w:rPr>
                <w:sz w:val="20"/>
                <w:szCs w:val="20"/>
                <w:color w:val="auto"/>
              </w:rPr>
            </w:pPr>
            <w:r>
              <w:rPr>
                <w:rFonts w:ascii="Arial" w:cs="Arial" w:eastAsia="Arial" w:hAnsi="Arial"/>
                <w:sz w:val="14"/>
                <w:szCs w:val="14"/>
                <w:color w:val="auto"/>
              </w:rPr>
              <w:t>Simple Agreement for Future Equity</w:t>
            </w:r>
          </w:p>
        </w:tc>
        <w:tc>
          <w:tcPr>
            <w:tcW w:w="100" w:type="dxa"/>
            <w:vAlign w:val="bottom"/>
          </w:tcPr>
          <w:p>
            <w:pPr>
              <w:spacing w:after="0"/>
              <w:rPr>
                <w:sz w:val="15"/>
                <w:szCs w:val="15"/>
                <w:color w:val="auto"/>
              </w:rPr>
            </w:pPr>
          </w:p>
        </w:tc>
        <w:tc>
          <w:tcPr>
            <w:tcW w:w="2040" w:type="dxa"/>
            <w:vAlign w:val="bottom"/>
            <w:gridSpan w:val="2"/>
          </w:tcPr>
          <w:p>
            <w:pPr>
              <w:jc w:val="center"/>
              <w:ind w:right="100"/>
              <w:spacing w:after="0"/>
              <w:rPr>
                <w:sz w:val="20"/>
                <w:szCs w:val="20"/>
                <w:color w:val="auto"/>
              </w:rPr>
            </w:pPr>
            <w:r>
              <w:rPr>
                <w:rFonts w:ascii="Arial" w:cs="Arial" w:eastAsia="Arial" w:hAnsi="Arial"/>
                <w:sz w:val="14"/>
                <w:szCs w:val="14"/>
                <w:color w:val="auto"/>
                <w:w w:val="95"/>
              </w:rPr>
              <w:t>Interactive Media &amp; Services</w:t>
            </w:r>
          </w:p>
        </w:tc>
        <w:tc>
          <w:tcPr>
            <w:tcW w:w="980" w:type="dxa"/>
            <w:vAlign w:val="bottom"/>
          </w:tcPr>
          <w:p>
            <w:pPr>
              <w:jc w:val="center"/>
              <w:spacing w:after="0"/>
              <w:rPr>
                <w:sz w:val="20"/>
                <w:szCs w:val="20"/>
                <w:color w:val="auto"/>
              </w:rPr>
            </w:pPr>
            <w:r>
              <w:rPr>
                <w:rFonts w:ascii="Arial" w:cs="Arial" w:eastAsia="Arial" w:hAnsi="Arial"/>
                <w:sz w:val="14"/>
                <w:szCs w:val="14"/>
                <w:color w:val="auto"/>
                <w:w w:val="93"/>
              </w:rPr>
              <w:t>3/26/2021</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1,000,000</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1,000,000</w:t>
            </w:r>
          </w:p>
        </w:tc>
        <w:tc>
          <w:tcPr>
            <w:tcW w:w="1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0.23</w:t>
            </w:r>
          </w:p>
        </w:tc>
        <w:tc>
          <w:tcPr>
            <w:tcW w:w="160" w:type="dxa"/>
            <w:vAlign w:val="bottom"/>
          </w:tcPr>
          <w:p>
            <w:pPr>
              <w:jc w:val="right"/>
              <w:spacing w:after="0"/>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172"/>
        </w:trPr>
        <w:tc>
          <w:tcPr>
            <w:tcW w:w="1980" w:type="dxa"/>
            <w:vAlign w:val="bottom"/>
            <w:tcBorders>
              <w:bottom w:val="single" w:sz="8" w:color="auto"/>
            </w:tcBorders>
            <w:gridSpan w:val="8"/>
            <w:shd w:val="clear" w:color="auto" w:fill="CCEEFF"/>
          </w:tcPr>
          <w:p>
            <w:pPr>
              <w:spacing w:after="0" w:line="152" w:lineRule="exact"/>
              <w:rPr>
                <w:sz w:val="20"/>
                <w:szCs w:val="20"/>
                <w:color w:val="auto"/>
              </w:rPr>
            </w:pPr>
            <w:r>
              <w:rPr>
                <w:rFonts w:ascii="Arial" w:cs="Arial" w:eastAsia="Arial" w:hAnsi="Arial"/>
                <w:sz w:val="14"/>
                <w:szCs w:val="14"/>
                <w:b w:val="1"/>
                <w:bCs w:val="1"/>
                <w:color w:val="auto"/>
                <w:w w:val="95"/>
              </w:rPr>
              <w:t>Tynker (f/k/a Neuron Fuel, Inc.)</w:t>
            </w:r>
          </w:p>
        </w:tc>
        <w:tc>
          <w:tcPr>
            <w:tcW w:w="1580" w:type="dxa"/>
            <w:vAlign w:val="bottom"/>
            <w:tcBorders>
              <w:bottom w:val="single" w:sz="8" w:color="CCEEFF"/>
            </w:tcBorders>
            <w:gridSpan w:val="2"/>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040" w:type="dxa"/>
            <w:vAlign w:val="bottom"/>
            <w:tcBorders>
              <w:bottom w:val="single" w:sz="8" w:color="CCEEFF"/>
            </w:tcBorders>
            <w:gridSpan w:val="2"/>
            <w:shd w:val="clear" w:color="auto" w:fill="CCEEFF"/>
          </w:tcPr>
          <w:p>
            <w:pPr>
              <w:jc w:val="center"/>
              <w:ind w:right="120"/>
              <w:spacing w:after="0" w:line="152" w:lineRule="exact"/>
              <w:rPr>
                <w:sz w:val="20"/>
                <w:szCs w:val="20"/>
                <w:color w:val="auto"/>
              </w:rPr>
            </w:pPr>
            <w:r>
              <w:rPr>
                <w:rFonts w:ascii="Arial" w:cs="Arial" w:eastAsia="Arial" w:hAnsi="Arial"/>
                <w:sz w:val="14"/>
                <w:szCs w:val="14"/>
                <w:color w:val="auto"/>
                <w:w w:val="97"/>
              </w:rPr>
              <w:t>Mountain View, CA</w:t>
            </w:r>
          </w:p>
        </w:tc>
        <w:tc>
          <w:tcPr>
            <w:tcW w:w="9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8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9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3560" w:type="dxa"/>
            <w:vAlign w:val="bottom"/>
            <w:gridSpan w:val="10"/>
          </w:tcPr>
          <w:p>
            <w:pPr>
              <w:spacing w:after="0"/>
              <w:rPr>
                <w:sz w:val="20"/>
                <w:szCs w:val="20"/>
                <w:color w:val="auto"/>
              </w:rPr>
            </w:pPr>
            <w:r>
              <w:rPr>
                <w:rFonts w:ascii="Arial" w:cs="Arial" w:eastAsia="Arial" w:hAnsi="Arial"/>
                <w:sz w:val="14"/>
                <w:szCs w:val="14"/>
                <w:color w:val="auto"/>
              </w:rPr>
              <w:t>Preferred shares, Series A 8%</w:t>
            </w:r>
          </w:p>
        </w:tc>
        <w:tc>
          <w:tcPr>
            <w:tcW w:w="100" w:type="dxa"/>
            <w:vAlign w:val="bottom"/>
          </w:tcPr>
          <w:p>
            <w:pPr>
              <w:spacing w:after="0"/>
              <w:rPr>
                <w:sz w:val="16"/>
                <w:szCs w:val="16"/>
                <w:color w:val="auto"/>
              </w:rPr>
            </w:pPr>
          </w:p>
        </w:tc>
        <w:tc>
          <w:tcPr>
            <w:tcW w:w="2040" w:type="dxa"/>
            <w:vAlign w:val="bottom"/>
            <w:gridSpan w:val="2"/>
          </w:tcPr>
          <w:p>
            <w:pPr>
              <w:jc w:val="center"/>
              <w:ind w:right="100"/>
              <w:spacing w:after="0"/>
              <w:rPr>
                <w:sz w:val="20"/>
                <w:szCs w:val="20"/>
                <w:color w:val="auto"/>
              </w:rPr>
            </w:pPr>
            <w:r>
              <w:rPr>
                <w:rFonts w:ascii="Arial" w:cs="Arial" w:eastAsia="Arial" w:hAnsi="Arial"/>
                <w:sz w:val="14"/>
                <w:szCs w:val="14"/>
                <w:color w:val="auto"/>
                <w:w w:val="94"/>
              </w:rPr>
              <w:t>Computer Software</w:t>
            </w:r>
          </w:p>
        </w:tc>
        <w:tc>
          <w:tcPr>
            <w:tcW w:w="980" w:type="dxa"/>
            <w:vAlign w:val="bottom"/>
          </w:tcPr>
          <w:p>
            <w:pPr>
              <w:jc w:val="center"/>
              <w:spacing w:after="0"/>
              <w:rPr>
                <w:sz w:val="20"/>
                <w:szCs w:val="20"/>
                <w:color w:val="auto"/>
              </w:rPr>
            </w:pPr>
            <w:r>
              <w:rPr>
                <w:rFonts w:ascii="Arial" w:cs="Arial" w:eastAsia="Arial" w:hAnsi="Arial"/>
                <w:sz w:val="14"/>
                <w:szCs w:val="14"/>
                <w:color w:val="auto"/>
                <w:w w:val="95"/>
              </w:rPr>
              <w:t>8/8/2012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534,162</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309,310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791,361</w:t>
            </w: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0.18</w:t>
            </w:r>
          </w:p>
        </w:tc>
        <w:tc>
          <w:tcPr>
            <w:tcW w:w="160" w:type="dxa"/>
            <w:vAlign w:val="bottom"/>
          </w:tcPr>
          <w:p>
            <w:pPr>
              <w:jc w:val="right"/>
              <w:spacing w:after="0"/>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152"/>
        </w:trPr>
        <w:tc>
          <w:tcPr>
            <w:tcW w:w="3560" w:type="dxa"/>
            <w:vAlign w:val="bottom"/>
            <w:gridSpan w:val="10"/>
            <w:shd w:val="clear" w:color="auto" w:fill="CCEEFF"/>
          </w:tcPr>
          <w:p>
            <w:pPr>
              <w:spacing w:after="0" w:line="152" w:lineRule="exact"/>
              <w:rPr>
                <w:sz w:val="20"/>
                <w:szCs w:val="20"/>
                <w:color w:val="auto"/>
              </w:rPr>
            </w:pPr>
            <w:r>
              <w:rPr>
                <w:rFonts w:ascii="Arial" w:cs="Arial" w:eastAsia="Arial" w:hAnsi="Arial"/>
                <w:sz w:val="14"/>
                <w:szCs w:val="14"/>
                <w:b w:val="1"/>
                <w:bCs w:val="1"/>
                <w:color w:val="auto"/>
              </w:rPr>
              <w:t>SP Holdings Group, Inc.</w:t>
            </w:r>
            <w:r>
              <w:rPr>
                <w:rFonts w:ascii="Arial" w:cs="Arial" w:eastAsia="Arial" w:hAnsi="Arial"/>
                <w:sz w:val="17"/>
                <w:szCs w:val="17"/>
                <w:b w:val="1"/>
                <w:bCs w:val="1"/>
                <w:color w:val="auto"/>
                <w:vertAlign w:val="superscript"/>
              </w:rPr>
              <w:t>(12)</w:t>
            </w:r>
          </w:p>
        </w:tc>
        <w:tc>
          <w:tcPr>
            <w:tcW w:w="100" w:type="dxa"/>
            <w:vAlign w:val="bottom"/>
            <w:shd w:val="clear" w:color="auto" w:fill="CCEEFF"/>
          </w:tcPr>
          <w:p>
            <w:pPr>
              <w:spacing w:after="0"/>
              <w:rPr>
                <w:sz w:val="13"/>
                <w:szCs w:val="13"/>
                <w:color w:val="auto"/>
              </w:rPr>
            </w:pPr>
          </w:p>
        </w:tc>
        <w:tc>
          <w:tcPr>
            <w:tcW w:w="2040" w:type="dxa"/>
            <w:vAlign w:val="bottom"/>
            <w:gridSpan w:val="2"/>
            <w:shd w:val="clear" w:color="auto" w:fill="CCEEFF"/>
          </w:tcPr>
          <w:p>
            <w:pPr>
              <w:jc w:val="center"/>
              <w:ind w:right="120"/>
              <w:spacing w:after="0" w:line="152" w:lineRule="exact"/>
              <w:rPr>
                <w:sz w:val="20"/>
                <w:szCs w:val="20"/>
                <w:color w:val="auto"/>
              </w:rPr>
            </w:pPr>
            <w:r>
              <w:rPr>
                <w:rFonts w:ascii="Arial" w:cs="Arial" w:eastAsia="Arial" w:hAnsi="Arial"/>
                <w:sz w:val="14"/>
                <w:szCs w:val="14"/>
                <w:color w:val="auto"/>
                <w:w w:val="92"/>
              </w:rPr>
              <w:t>San Francisco, CA</w:t>
            </w: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80" w:type="dxa"/>
            <w:vAlign w:val="bottom"/>
            <w:tcBorders>
              <w:top w:val="single" w:sz="8" w:color="auto"/>
            </w:tcBorders>
            <w:shd w:val="clear" w:color="auto" w:fill="CCEEFF"/>
          </w:tcPr>
          <w:p>
            <w:pPr>
              <w:spacing w:after="0" w:line="20" w:lineRule="exact"/>
              <w:rPr>
                <w:sz w:val="1"/>
                <w:szCs w:val="1"/>
                <w:color w:val="auto"/>
              </w:rPr>
            </w:pPr>
          </w:p>
        </w:tc>
        <w:tc>
          <w:tcPr>
            <w:tcW w:w="880" w:type="dxa"/>
            <w:vAlign w:val="bottom"/>
            <w:tcBorders>
              <w:top w:val="single" w:sz="8" w:color="auto"/>
            </w:tcBorders>
            <w:shd w:val="clear" w:color="auto" w:fill="CCEEFF"/>
          </w:tcPr>
          <w:p>
            <w:pPr>
              <w:spacing w:after="0" w:line="20" w:lineRule="exact"/>
              <w:rPr>
                <w:sz w:val="1"/>
                <w:szCs w:val="1"/>
                <w:color w:val="auto"/>
              </w:rPr>
            </w:pPr>
          </w:p>
        </w:tc>
        <w:tc>
          <w:tcPr>
            <w:tcW w:w="46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9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3560" w:type="dxa"/>
            <w:vAlign w:val="bottom"/>
            <w:gridSpan w:val="10"/>
          </w:tcPr>
          <w:p>
            <w:pPr>
              <w:spacing w:after="0"/>
              <w:rPr>
                <w:sz w:val="20"/>
                <w:szCs w:val="20"/>
                <w:color w:val="auto"/>
              </w:rPr>
            </w:pPr>
            <w:r>
              <w:rPr>
                <w:rFonts w:ascii="Arial" w:cs="Arial" w:eastAsia="Arial" w:hAnsi="Arial"/>
                <w:sz w:val="14"/>
                <w:szCs w:val="14"/>
                <w:color w:val="auto"/>
              </w:rPr>
              <w:t>Preferred shares, Series B 6%</w:t>
            </w:r>
          </w:p>
        </w:tc>
        <w:tc>
          <w:tcPr>
            <w:tcW w:w="100" w:type="dxa"/>
            <w:vAlign w:val="bottom"/>
          </w:tcPr>
          <w:p>
            <w:pPr>
              <w:spacing w:after="0"/>
              <w:rPr>
                <w:sz w:val="16"/>
                <w:szCs w:val="16"/>
                <w:color w:val="auto"/>
              </w:rPr>
            </w:pPr>
          </w:p>
        </w:tc>
        <w:tc>
          <w:tcPr>
            <w:tcW w:w="2040" w:type="dxa"/>
            <w:vAlign w:val="bottom"/>
            <w:gridSpan w:val="2"/>
          </w:tcPr>
          <w:p>
            <w:pPr>
              <w:jc w:val="center"/>
              <w:ind w:right="120"/>
              <w:spacing w:after="0"/>
              <w:rPr>
                <w:sz w:val="20"/>
                <w:szCs w:val="20"/>
                <w:color w:val="auto"/>
              </w:rPr>
            </w:pPr>
            <w:r>
              <w:rPr>
                <w:rFonts w:ascii="Arial" w:cs="Arial" w:eastAsia="Arial" w:hAnsi="Arial"/>
                <w:sz w:val="14"/>
                <w:szCs w:val="14"/>
                <w:color w:val="auto"/>
                <w:w w:val="94"/>
              </w:rPr>
              <w:t>Online Marketplace Finance</w:t>
            </w:r>
          </w:p>
        </w:tc>
        <w:tc>
          <w:tcPr>
            <w:tcW w:w="980" w:type="dxa"/>
            <w:vAlign w:val="bottom"/>
          </w:tcPr>
          <w:p>
            <w:pPr>
              <w:jc w:val="center"/>
              <w:spacing w:after="0"/>
              <w:rPr>
                <w:sz w:val="20"/>
                <w:szCs w:val="20"/>
                <w:color w:val="auto"/>
              </w:rPr>
            </w:pPr>
            <w:r>
              <w:rPr>
                <w:rFonts w:ascii="Arial" w:cs="Arial" w:eastAsia="Arial" w:hAnsi="Arial"/>
                <w:sz w:val="14"/>
                <w:szCs w:val="14"/>
                <w:color w:val="auto"/>
                <w:w w:val="93"/>
              </w:rPr>
              <w:t>7/19/2011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1,771,653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385,714</w:t>
            </w: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0.09</w:t>
            </w:r>
          </w:p>
        </w:tc>
        <w:tc>
          <w:tcPr>
            <w:tcW w:w="160" w:type="dxa"/>
            <w:vAlign w:val="bottom"/>
          </w:tcPr>
          <w:p>
            <w:pPr>
              <w:jc w:val="right"/>
              <w:spacing w:after="0"/>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192"/>
        </w:trPr>
        <w:tc>
          <w:tcPr>
            <w:tcW w:w="3560" w:type="dxa"/>
            <w:vAlign w:val="bottom"/>
            <w:gridSpan w:val="10"/>
            <w:shd w:val="clear" w:color="auto" w:fill="CCEEFF"/>
          </w:tcPr>
          <w:p>
            <w:pPr>
              <w:spacing w:after="0"/>
              <w:rPr>
                <w:sz w:val="20"/>
                <w:szCs w:val="20"/>
                <w:color w:val="auto"/>
              </w:rPr>
            </w:pPr>
            <w:r>
              <w:rPr>
                <w:rFonts w:ascii="Arial" w:cs="Arial" w:eastAsia="Arial" w:hAnsi="Arial"/>
                <w:sz w:val="14"/>
                <w:szCs w:val="14"/>
                <w:color w:val="auto"/>
              </w:rPr>
              <w:t>Common shares</w:t>
            </w:r>
          </w:p>
        </w:tc>
        <w:tc>
          <w:tcPr>
            <w:tcW w:w="100" w:type="dxa"/>
            <w:vAlign w:val="bottom"/>
            <w:shd w:val="clear" w:color="auto" w:fill="CCEEFF"/>
          </w:tcPr>
          <w:p>
            <w:pPr>
              <w:spacing w:after="0"/>
              <w:rPr>
                <w:sz w:val="16"/>
                <w:szCs w:val="16"/>
                <w:color w:val="auto"/>
              </w:rPr>
            </w:pPr>
          </w:p>
        </w:tc>
        <w:tc>
          <w:tcPr>
            <w:tcW w:w="1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7/20/2011</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770,934</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55,507</w:t>
            </w: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0.01</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179"/>
        </w:trPr>
        <w:tc>
          <w:tcPr>
            <w:tcW w:w="80" w:type="dxa"/>
            <w:vAlign w:val="bottom"/>
            <w:tcBorders>
              <w:bottom w:val="single" w:sz="8" w:color="CCEEFF"/>
            </w:tcBorders>
          </w:tcPr>
          <w:p>
            <w:pPr>
              <w:spacing w:after="0"/>
              <w:rPr>
                <w:sz w:val="15"/>
                <w:szCs w:val="15"/>
                <w:color w:val="auto"/>
              </w:rPr>
            </w:pPr>
          </w:p>
        </w:tc>
        <w:tc>
          <w:tcPr>
            <w:tcW w:w="3480" w:type="dxa"/>
            <w:vAlign w:val="bottom"/>
            <w:tcBorders>
              <w:bottom w:val="single" w:sz="8" w:color="CCEEFF"/>
            </w:tcBorders>
            <w:gridSpan w:val="9"/>
          </w:tcPr>
          <w:p>
            <w:pPr>
              <w:ind w:left="40"/>
              <w:spacing w:after="0"/>
              <w:rPr>
                <w:sz w:val="20"/>
                <w:szCs w:val="20"/>
                <w:color w:val="auto"/>
              </w:rPr>
            </w:pPr>
            <w:r>
              <w:rPr>
                <w:rFonts w:ascii="Arial" w:cs="Arial" w:eastAsia="Arial" w:hAnsi="Arial"/>
                <w:sz w:val="14"/>
                <w:szCs w:val="14"/>
                <w:color w:val="auto"/>
              </w:rPr>
              <w:t>Total</w:t>
            </w:r>
          </w:p>
        </w:tc>
        <w:tc>
          <w:tcPr>
            <w:tcW w:w="100" w:type="dxa"/>
            <w:vAlign w:val="bottom"/>
            <w:tcBorders>
              <w:bottom w:val="single" w:sz="8" w:color="CCEEFF"/>
            </w:tcBorders>
          </w:tcPr>
          <w:p>
            <w:pPr>
              <w:spacing w:after="0"/>
              <w:rPr>
                <w:sz w:val="15"/>
                <w:szCs w:val="15"/>
                <w:color w:val="auto"/>
              </w:rPr>
            </w:pPr>
          </w:p>
        </w:tc>
        <w:tc>
          <w:tcPr>
            <w:tcW w:w="194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98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84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8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441,221</w:t>
            </w:r>
          </w:p>
        </w:tc>
        <w:tc>
          <w:tcPr>
            <w:tcW w:w="100" w:type="dxa"/>
            <w:vAlign w:val="bottom"/>
            <w:tcBorders>
              <w:bottom w:val="single" w:sz="8" w:color="CCEEFF"/>
            </w:tcBorders>
          </w:tcPr>
          <w:p>
            <w:pPr>
              <w:spacing w:after="0"/>
              <w:rPr>
                <w:sz w:val="15"/>
                <w:szCs w:val="15"/>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0.10</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152"/>
        </w:trPr>
        <w:tc>
          <w:tcPr>
            <w:tcW w:w="1720" w:type="dxa"/>
            <w:vAlign w:val="bottom"/>
            <w:tcBorders>
              <w:bottom w:val="single" w:sz="8" w:color="auto"/>
            </w:tcBorders>
            <w:gridSpan w:val="6"/>
            <w:shd w:val="clear" w:color="auto" w:fill="CCEEFF"/>
          </w:tcPr>
          <w:p>
            <w:pPr>
              <w:spacing w:after="0" w:line="132" w:lineRule="exact"/>
              <w:rPr>
                <w:sz w:val="20"/>
                <w:szCs w:val="20"/>
                <w:color w:val="auto"/>
              </w:rPr>
            </w:pPr>
            <w:r>
              <w:rPr>
                <w:rFonts w:ascii="Arial" w:cs="Arial" w:eastAsia="Arial" w:hAnsi="Arial"/>
                <w:sz w:val="14"/>
                <w:szCs w:val="14"/>
                <w:b w:val="1"/>
                <w:bCs w:val="1"/>
                <w:color w:val="auto"/>
                <w:w w:val="97"/>
              </w:rPr>
              <w:t>Churchill Sponsor VII LLC</w:t>
            </w:r>
          </w:p>
        </w:tc>
        <w:tc>
          <w:tcPr>
            <w:tcW w:w="1840" w:type="dxa"/>
            <w:vAlign w:val="bottom"/>
            <w:tcBorders>
              <w:bottom w:val="single" w:sz="8" w:color="CCEEFF"/>
            </w:tcBorders>
            <w:gridSpan w:val="4"/>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2040" w:type="dxa"/>
            <w:vAlign w:val="bottom"/>
            <w:tcBorders>
              <w:bottom w:val="single" w:sz="8" w:color="CCEEFF"/>
            </w:tcBorders>
            <w:gridSpan w:val="2"/>
            <w:shd w:val="clear" w:color="auto" w:fill="CCEEFF"/>
          </w:tcPr>
          <w:p>
            <w:pPr>
              <w:jc w:val="center"/>
              <w:ind w:right="100"/>
              <w:spacing w:after="0" w:line="132" w:lineRule="exact"/>
              <w:rPr>
                <w:sz w:val="20"/>
                <w:szCs w:val="20"/>
                <w:color w:val="auto"/>
              </w:rPr>
            </w:pPr>
            <w:r>
              <w:rPr>
                <w:rFonts w:ascii="Arial" w:cs="Arial" w:eastAsia="Arial" w:hAnsi="Arial"/>
                <w:sz w:val="14"/>
                <w:szCs w:val="14"/>
                <w:color w:val="auto"/>
                <w:w w:val="97"/>
              </w:rPr>
              <w:t>New York, NY</w:t>
            </w:r>
          </w:p>
        </w:tc>
        <w:tc>
          <w:tcPr>
            <w:tcW w:w="98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84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CCEEFF"/>
            </w:tcBorders>
            <w:shd w:val="clear" w:color="auto" w:fill="CCEEFF"/>
          </w:tcPr>
          <w:p>
            <w:pPr>
              <w:spacing w:after="0"/>
              <w:rPr>
                <w:sz w:val="13"/>
                <w:szCs w:val="13"/>
                <w:color w:val="auto"/>
              </w:rPr>
            </w:pPr>
          </w:p>
        </w:tc>
        <w:tc>
          <w:tcPr>
            <w:tcW w:w="86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94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76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3560" w:type="dxa"/>
            <w:vAlign w:val="bottom"/>
            <w:gridSpan w:val="10"/>
            <w:vMerge w:val="restart"/>
          </w:tcPr>
          <w:p>
            <w:pPr>
              <w:spacing w:after="0"/>
              <w:rPr>
                <w:sz w:val="20"/>
                <w:szCs w:val="20"/>
                <w:color w:val="auto"/>
              </w:rPr>
            </w:pPr>
            <w:r>
              <w:rPr>
                <w:rFonts w:ascii="Arial" w:cs="Arial" w:eastAsia="Arial" w:hAnsi="Arial"/>
                <w:sz w:val="14"/>
                <w:szCs w:val="14"/>
                <w:color w:val="auto"/>
              </w:rPr>
              <w:t>Common share units</w:t>
            </w:r>
          </w:p>
        </w:tc>
        <w:tc>
          <w:tcPr>
            <w:tcW w:w="100" w:type="dxa"/>
            <w:vAlign w:val="bottom"/>
          </w:tcPr>
          <w:p>
            <w:pPr>
              <w:spacing w:after="0"/>
              <w:rPr>
                <w:sz w:val="11"/>
                <w:szCs w:val="11"/>
                <w:color w:val="auto"/>
              </w:rPr>
            </w:pPr>
          </w:p>
        </w:tc>
        <w:tc>
          <w:tcPr>
            <w:tcW w:w="2040" w:type="dxa"/>
            <w:vAlign w:val="bottom"/>
            <w:gridSpan w:val="2"/>
          </w:tcPr>
          <w:p>
            <w:pPr>
              <w:jc w:val="center"/>
              <w:ind w:right="100"/>
              <w:spacing w:after="0" w:line="135" w:lineRule="exact"/>
              <w:rPr>
                <w:sz w:val="20"/>
                <w:szCs w:val="20"/>
                <w:color w:val="auto"/>
              </w:rPr>
            </w:pPr>
            <w:r>
              <w:rPr>
                <w:rFonts w:ascii="Arial" w:cs="Arial" w:eastAsia="Arial" w:hAnsi="Arial"/>
                <w:sz w:val="14"/>
                <w:szCs w:val="14"/>
                <w:color w:val="auto"/>
                <w:w w:val="93"/>
              </w:rPr>
              <w:t>Special Purpose Acquisition</w:t>
            </w:r>
          </w:p>
        </w:tc>
        <w:tc>
          <w:tcPr>
            <w:tcW w:w="980" w:type="dxa"/>
            <w:vAlign w:val="bottom"/>
            <w:vMerge w:val="restart"/>
          </w:tcPr>
          <w:p>
            <w:pPr>
              <w:jc w:val="center"/>
              <w:spacing w:after="0"/>
              <w:rPr>
                <w:sz w:val="20"/>
                <w:szCs w:val="20"/>
                <w:color w:val="auto"/>
              </w:rPr>
            </w:pPr>
            <w:r>
              <w:rPr>
                <w:rFonts w:ascii="Arial" w:cs="Arial" w:eastAsia="Arial" w:hAnsi="Arial"/>
                <w:sz w:val="14"/>
                <w:szCs w:val="14"/>
                <w:color w:val="auto"/>
                <w:w w:val="93"/>
              </w:rPr>
              <w:t>2/25/2021</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vMerge w:val="restart"/>
          </w:tcPr>
          <w:p>
            <w:pPr>
              <w:jc w:val="right"/>
              <w:ind w:right="8"/>
              <w:spacing w:after="0"/>
              <w:rPr>
                <w:sz w:val="20"/>
                <w:szCs w:val="20"/>
                <w:color w:val="auto"/>
              </w:rPr>
            </w:pPr>
            <w:r>
              <w:rPr>
                <w:rFonts w:ascii="Arial" w:cs="Arial" w:eastAsia="Arial" w:hAnsi="Arial"/>
                <w:sz w:val="14"/>
                <w:szCs w:val="14"/>
                <w:color w:val="auto"/>
              </w:rPr>
              <w:t>292,100</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vMerge w:val="restart"/>
          </w:tcPr>
          <w:p>
            <w:pPr>
              <w:jc w:val="right"/>
              <w:ind w:right="8"/>
              <w:spacing w:after="0"/>
              <w:rPr>
                <w:sz w:val="20"/>
                <w:szCs w:val="20"/>
                <w:color w:val="auto"/>
              </w:rPr>
            </w:pPr>
            <w:r>
              <w:rPr>
                <w:rFonts w:ascii="Arial" w:cs="Arial" w:eastAsia="Arial" w:hAnsi="Arial"/>
                <w:sz w:val="14"/>
                <w:szCs w:val="14"/>
                <w:color w:val="auto"/>
              </w:rPr>
              <w:t>205,820</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205,820</w:t>
            </w:r>
          </w:p>
        </w:tc>
        <w:tc>
          <w:tcPr>
            <w:tcW w:w="10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0.05</w:t>
            </w: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186"/>
        </w:trPr>
        <w:tc>
          <w:tcPr>
            <w:tcW w:w="3560" w:type="dxa"/>
            <w:vAlign w:val="bottom"/>
            <w:gridSpan w:val="10"/>
            <w:vMerge w:val="continue"/>
          </w:tcPr>
          <w:p>
            <w:pPr>
              <w:spacing w:after="0"/>
              <w:rPr>
                <w:sz w:val="16"/>
                <w:szCs w:val="16"/>
                <w:color w:val="auto"/>
              </w:rPr>
            </w:pPr>
          </w:p>
        </w:tc>
        <w:tc>
          <w:tcPr>
            <w:tcW w:w="100" w:type="dxa"/>
            <w:vAlign w:val="bottom"/>
          </w:tcPr>
          <w:p>
            <w:pPr>
              <w:spacing w:after="0"/>
              <w:rPr>
                <w:sz w:val="16"/>
                <w:szCs w:val="16"/>
                <w:color w:val="auto"/>
              </w:rPr>
            </w:pPr>
          </w:p>
        </w:tc>
        <w:tc>
          <w:tcPr>
            <w:tcW w:w="2040" w:type="dxa"/>
            <w:vAlign w:val="bottom"/>
            <w:gridSpan w:val="2"/>
          </w:tcPr>
          <w:p>
            <w:pPr>
              <w:jc w:val="center"/>
              <w:ind w:right="120"/>
              <w:spacing w:after="0"/>
              <w:rPr>
                <w:sz w:val="20"/>
                <w:szCs w:val="20"/>
                <w:color w:val="auto"/>
              </w:rPr>
            </w:pPr>
            <w:r>
              <w:rPr>
                <w:rFonts w:ascii="Arial" w:cs="Arial" w:eastAsia="Arial" w:hAnsi="Arial"/>
                <w:sz w:val="14"/>
                <w:szCs w:val="14"/>
                <w:color w:val="auto"/>
                <w:w w:val="93"/>
              </w:rPr>
              <w:t>Company</w:t>
            </w:r>
          </w:p>
        </w:tc>
        <w:tc>
          <w:tcPr>
            <w:tcW w:w="9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560" w:type="dxa"/>
            <w:vAlign w:val="bottom"/>
            <w:gridSpan w:val="10"/>
            <w:shd w:val="clear" w:color="auto" w:fill="CCEEFF"/>
          </w:tcPr>
          <w:p>
            <w:pPr>
              <w:spacing w:after="0"/>
              <w:rPr>
                <w:sz w:val="20"/>
                <w:szCs w:val="20"/>
                <w:color w:val="auto"/>
              </w:rPr>
            </w:pPr>
            <w:r>
              <w:rPr>
                <w:rFonts w:ascii="Arial" w:cs="Arial" w:eastAsia="Arial" w:hAnsi="Arial"/>
                <w:sz w:val="14"/>
                <w:szCs w:val="14"/>
                <w:color w:val="auto"/>
              </w:rPr>
              <w:t>Warrant units</w:t>
            </w:r>
          </w:p>
        </w:tc>
        <w:tc>
          <w:tcPr>
            <w:tcW w:w="100" w:type="dxa"/>
            <w:vAlign w:val="bottom"/>
            <w:shd w:val="clear" w:color="auto" w:fill="CCEEFF"/>
          </w:tcPr>
          <w:p>
            <w:pPr>
              <w:spacing w:after="0"/>
              <w:rPr>
                <w:sz w:val="16"/>
                <w:szCs w:val="16"/>
                <w:color w:val="auto"/>
              </w:rPr>
            </w:pPr>
          </w:p>
        </w:tc>
        <w:tc>
          <w:tcPr>
            <w:tcW w:w="1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2/25/2021</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277,000</w:t>
            </w: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94,180</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94,180</w:t>
            </w:r>
          </w:p>
        </w:tc>
        <w:tc>
          <w:tcPr>
            <w:tcW w:w="100" w:type="dxa"/>
            <w:vAlign w:val="bottom"/>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0.02</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179"/>
        </w:trPr>
        <w:tc>
          <w:tcPr>
            <w:tcW w:w="80" w:type="dxa"/>
            <w:vAlign w:val="bottom"/>
            <w:tcBorders>
              <w:bottom w:val="single" w:sz="8" w:color="CCEEFF"/>
            </w:tcBorders>
          </w:tcPr>
          <w:p>
            <w:pPr>
              <w:spacing w:after="0"/>
              <w:rPr>
                <w:sz w:val="15"/>
                <w:szCs w:val="15"/>
                <w:color w:val="auto"/>
              </w:rPr>
            </w:pPr>
          </w:p>
        </w:tc>
        <w:tc>
          <w:tcPr>
            <w:tcW w:w="3480" w:type="dxa"/>
            <w:vAlign w:val="bottom"/>
            <w:tcBorders>
              <w:bottom w:val="single" w:sz="8" w:color="CCEEFF"/>
            </w:tcBorders>
            <w:gridSpan w:val="9"/>
          </w:tcPr>
          <w:p>
            <w:pPr>
              <w:ind w:left="40"/>
              <w:spacing w:after="0"/>
              <w:rPr>
                <w:sz w:val="20"/>
                <w:szCs w:val="20"/>
                <w:color w:val="auto"/>
              </w:rPr>
            </w:pPr>
            <w:r>
              <w:rPr>
                <w:rFonts w:ascii="Arial" w:cs="Arial" w:eastAsia="Arial" w:hAnsi="Arial"/>
                <w:sz w:val="14"/>
                <w:szCs w:val="14"/>
                <w:color w:val="auto"/>
              </w:rPr>
              <w:t>Total</w:t>
            </w:r>
          </w:p>
        </w:tc>
        <w:tc>
          <w:tcPr>
            <w:tcW w:w="100" w:type="dxa"/>
            <w:vAlign w:val="bottom"/>
            <w:tcBorders>
              <w:bottom w:val="single" w:sz="8" w:color="CCEEFF"/>
            </w:tcBorders>
          </w:tcPr>
          <w:p>
            <w:pPr>
              <w:spacing w:after="0"/>
              <w:rPr>
                <w:sz w:val="15"/>
                <w:szCs w:val="15"/>
                <w:color w:val="auto"/>
              </w:rPr>
            </w:pPr>
          </w:p>
        </w:tc>
        <w:tc>
          <w:tcPr>
            <w:tcW w:w="194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98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84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300,000</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300,000</w:t>
            </w:r>
          </w:p>
        </w:tc>
        <w:tc>
          <w:tcPr>
            <w:tcW w:w="100" w:type="dxa"/>
            <w:vAlign w:val="bottom"/>
            <w:tcBorders>
              <w:bottom w:val="single" w:sz="8" w:color="CCEEFF"/>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0.07</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152"/>
        </w:trPr>
        <w:tc>
          <w:tcPr>
            <w:tcW w:w="3560" w:type="dxa"/>
            <w:vAlign w:val="bottom"/>
            <w:gridSpan w:val="10"/>
            <w:shd w:val="clear" w:color="auto" w:fill="CCEEFF"/>
          </w:tcPr>
          <w:p>
            <w:pPr>
              <w:spacing w:after="0" w:line="132" w:lineRule="exact"/>
              <w:rPr>
                <w:sz w:val="20"/>
                <w:szCs w:val="20"/>
                <w:color w:val="auto"/>
              </w:rPr>
            </w:pPr>
            <w:r>
              <w:rPr>
                <w:rFonts w:ascii="Arial" w:cs="Arial" w:eastAsia="Arial" w:hAnsi="Arial"/>
                <w:sz w:val="14"/>
                <w:szCs w:val="14"/>
                <w:b w:val="1"/>
                <w:bCs w:val="1"/>
                <w:color w:val="auto"/>
              </w:rPr>
              <w:t>Churchill Sponsor VI LLC</w:t>
            </w:r>
          </w:p>
        </w:tc>
        <w:tc>
          <w:tcPr>
            <w:tcW w:w="100" w:type="dxa"/>
            <w:vAlign w:val="bottom"/>
            <w:shd w:val="clear" w:color="auto" w:fill="CCEEFF"/>
          </w:tcPr>
          <w:p>
            <w:pPr>
              <w:spacing w:after="0"/>
              <w:rPr>
                <w:sz w:val="13"/>
                <w:szCs w:val="13"/>
                <w:color w:val="auto"/>
              </w:rPr>
            </w:pPr>
          </w:p>
        </w:tc>
        <w:tc>
          <w:tcPr>
            <w:tcW w:w="2040" w:type="dxa"/>
            <w:vAlign w:val="bottom"/>
            <w:gridSpan w:val="2"/>
            <w:shd w:val="clear" w:color="auto" w:fill="CCEEFF"/>
          </w:tcPr>
          <w:p>
            <w:pPr>
              <w:jc w:val="center"/>
              <w:ind w:right="100"/>
              <w:spacing w:after="0" w:line="132" w:lineRule="exact"/>
              <w:rPr>
                <w:sz w:val="20"/>
                <w:szCs w:val="20"/>
                <w:color w:val="auto"/>
              </w:rPr>
            </w:pPr>
            <w:r>
              <w:rPr>
                <w:rFonts w:ascii="Arial" w:cs="Arial" w:eastAsia="Arial" w:hAnsi="Arial"/>
                <w:sz w:val="14"/>
                <w:szCs w:val="14"/>
                <w:color w:val="auto"/>
                <w:w w:val="97"/>
              </w:rPr>
              <w:t>New York, NY</w:t>
            </w: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660" w:type="dxa"/>
            <w:vAlign w:val="bottom"/>
            <w:tcBorders>
              <w:top w:val="single" w:sz="8" w:color="auto"/>
            </w:tcBorders>
            <w:gridSpan w:val="5"/>
            <w:vMerge w:val="restart"/>
          </w:tcPr>
          <w:p>
            <w:pPr>
              <w:spacing w:after="0"/>
              <w:rPr>
                <w:sz w:val="20"/>
                <w:szCs w:val="20"/>
                <w:color w:val="auto"/>
              </w:rPr>
            </w:pPr>
            <w:r>
              <w:rPr>
                <w:rFonts w:ascii="Arial" w:cs="Arial" w:eastAsia="Arial" w:hAnsi="Arial"/>
                <w:sz w:val="14"/>
                <w:szCs w:val="14"/>
                <w:color w:val="auto"/>
              </w:rPr>
              <w:t>Common share units</w:t>
            </w:r>
          </w:p>
        </w:tc>
        <w:tc>
          <w:tcPr>
            <w:tcW w:w="1900" w:type="dxa"/>
            <w:vAlign w:val="bottom"/>
            <w:tcBorders>
              <w:top w:val="single" w:sz="8" w:color="CCEEFF"/>
            </w:tcBorders>
            <w:gridSpan w:val="5"/>
            <w:vMerge w:val="restart"/>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2040" w:type="dxa"/>
            <w:vAlign w:val="bottom"/>
            <w:tcBorders>
              <w:top w:val="single" w:sz="8" w:color="CCEEFF"/>
            </w:tcBorders>
            <w:gridSpan w:val="2"/>
          </w:tcPr>
          <w:p>
            <w:pPr>
              <w:jc w:val="center"/>
              <w:ind w:right="100"/>
              <w:spacing w:after="0" w:line="135" w:lineRule="exact"/>
              <w:rPr>
                <w:sz w:val="20"/>
                <w:szCs w:val="20"/>
                <w:color w:val="auto"/>
              </w:rPr>
            </w:pPr>
            <w:r>
              <w:rPr>
                <w:rFonts w:ascii="Arial" w:cs="Arial" w:eastAsia="Arial" w:hAnsi="Arial"/>
                <w:sz w:val="14"/>
                <w:szCs w:val="14"/>
                <w:color w:val="auto"/>
                <w:w w:val="93"/>
              </w:rPr>
              <w:t>Special Purpose Acquisition</w:t>
            </w:r>
          </w:p>
        </w:tc>
        <w:tc>
          <w:tcPr>
            <w:tcW w:w="980" w:type="dxa"/>
            <w:vAlign w:val="bottom"/>
            <w:tcBorders>
              <w:top w:val="single" w:sz="8" w:color="CCEEFF"/>
            </w:tcBorders>
            <w:vMerge w:val="restart"/>
          </w:tcPr>
          <w:p>
            <w:pPr>
              <w:jc w:val="center"/>
              <w:spacing w:after="0"/>
              <w:rPr>
                <w:sz w:val="20"/>
                <w:szCs w:val="20"/>
                <w:color w:val="auto"/>
              </w:rPr>
            </w:pPr>
            <w:r>
              <w:rPr>
                <w:rFonts w:ascii="Arial" w:cs="Arial" w:eastAsia="Arial" w:hAnsi="Arial"/>
                <w:sz w:val="14"/>
                <w:szCs w:val="14"/>
                <w:color w:val="auto"/>
                <w:w w:val="93"/>
              </w:rPr>
              <w:t>2/25/2021</w:t>
            </w:r>
          </w:p>
        </w:tc>
        <w:tc>
          <w:tcPr>
            <w:tcW w:w="100" w:type="dxa"/>
            <w:vAlign w:val="bottom"/>
            <w:tcBorders>
              <w:top w:val="single" w:sz="8" w:color="CCEEFF"/>
            </w:tcBorders>
          </w:tcPr>
          <w:p>
            <w:pPr>
              <w:spacing w:after="0"/>
              <w:rPr>
                <w:sz w:val="11"/>
                <w:szCs w:val="11"/>
                <w:color w:val="auto"/>
              </w:rPr>
            </w:pPr>
          </w:p>
        </w:tc>
        <w:tc>
          <w:tcPr>
            <w:tcW w:w="140" w:type="dxa"/>
            <w:vAlign w:val="bottom"/>
            <w:tcBorders>
              <w:top w:val="single" w:sz="8" w:color="CCEEFF"/>
            </w:tcBorders>
          </w:tcPr>
          <w:p>
            <w:pPr>
              <w:spacing w:after="0"/>
              <w:rPr>
                <w:sz w:val="11"/>
                <w:szCs w:val="11"/>
                <w:color w:val="auto"/>
              </w:rPr>
            </w:pPr>
          </w:p>
        </w:tc>
        <w:tc>
          <w:tcPr>
            <w:tcW w:w="840" w:type="dxa"/>
            <w:vAlign w:val="bottom"/>
            <w:tcBorders>
              <w:top w:val="single" w:sz="8" w:color="CCEEFF"/>
            </w:tcBorders>
            <w:vMerge w:val="restart"/>
          </w:tcPr>
          <w:p>
            <w:pPr>
              <w:jc w:val="right"/>
              <w:ind w:right="8"/>
              <w:spacing w:after="0"/>
              <w:rPr>
                <w:sz w:val="20"/>
                <w:szCs w:val="20"/>
                <w:color w:val="auto"/>
              </w:rPr>
            </w:pPr>
            <w:r>
              <w:rPr>
                <w:rFonts w:ascii="Arial" w:cs="Arial" w:eastAsia="Arial" w:hAnsi="Arial"/>
                <w:sz w:val="14"/>
                <w:szCs w:val="14"/>
                <w:color w:val="auto"/>
              </w:rPr>
              <w:t>195,000</w:t>
            </w:r>
          </w:p>
        </w:tc>
        <w:tc>
          <w:tcPr>
            <w:tcW w:w="100" w:type="dxa"/>
            <w:vAlign w:val="bottom"/>
            <w:tcBorders>
              <w:top w:val="single" w:sz="8" w:color="CCEEFF"/>
            </w:tcBorders>
          </w:tcPr>
          <w:p>
            <w:pPr>
              <w:spacing w:after="0"/>
              <w:rPr>
                <w:sz w:val="11"/>
                <w:szCs w:val="11"/>
                <w:color w:val="auto"/>
              </w:rPr>
            </w:pPr>
          </w:p>
        </w:tc>
        <w:tc>
          <w:tcPr>
            <w:tcW w:w="240" w:type="dxa"/>
            <w:vAlign w:val="bottom"/>
            <w:tcBorders>
              <w:top w:val="single" w:sz="8" w:color="CCEEFF"/>
            </w:tcBorders>
          </w:tcPr>
          <w:p>
            <w:pPr>
              <w:spacing w:after="0"/>
              <w:rPr>
                <w:sz w:val="11"/>
                <w:szCs w:val="11"/>
                <w:color w:val="auto"/>
              </w:rPr>
            </w:pPr>
          </w:p>
        </w:tc>
        <w:tc>
          <w:tcPr>
            <w:tcW w:w="860" w:type="dxa"/>
            <w:vAlign w:val="bottom"/>
            <w:tcBorders>
              <w:top w:val="single" w:sz="8" w:color="CCEEFF"/>
            </w:tcBorders>
            <w:vMerge w:val="restart"/>
          </w:tcPr>
          <w:p>
            <w:pPr>
              <w:jc w:val="right"/>
              <w:ind w:right="8"/>
              <w:spacing w:after="0"/>
              <w:rPr>
                <w:sz w:val="20"/>
                <w:szCs w:val="20"/>
                <w:color w:val="auto"/>
              </w:rPr>
            </w:pPr>
            <w:r>
              <w:rPr>
                <w:rFonts w:ascii="Arial" w:cs="Arial" w:eastAsia="Arial" w:hAnsi="Arial"/>
                <w:sz w:val="14"/>
                <w:szCs w:val="14"/>
                <w:color w:val="auto"/>
              </w:rPr>
              <w:t>134,297</w:t>
            </w:r>
          </w:p>
        </w:tc>
        <w:tc>
          <w:tcPr>
            <w:tcW w:w="100" w:type="dxa"/>
            <w:vAlign w:val="bottom"/>
            <w:tcBorders>
              <w:top w:val="single" w:sz="8" w:color="CCEEFF"/>
            </w:tcBorders>
          </w:tcPr>
          <w:p>
            <w:pPr>
              <w:spacing w:after="0"/>
              <w:rPr>
                <w:sz w:val="11"/>
                <w:szCs w:val="11"/>
                <w:color w:val="auto"/>
              </w:rPr>
            </w:pPr>
          </w:p>
        </w:tc>
        <w:tc>
          <w:tcPr>
            <w:tcW w:w="160" w:type="dxa"/>
            <w:vAlign w:val="bottom"/>
            <w:tcBorders>
              <w:top w:val="single" w:sz="8" w:color="CCEEFF"/>
            </w:tcBorders>
          </w:tcPr>
          <w:p>
            <w:pPr>
              <w:spacing w:after="0"/>
              <w:rPr>
                <w:sz w:val="11"/>
                <w:szCs w:val="11"/>
                <w:color w:val="auto"/>
              </w:rPr>
            </w:pPr>
          </w:p>
        </w:tc>
        <w:tc>
          <w:tcPr>
            <w:tcW w:w="940" w:type="dxa"/>
            <w:vAlign w:val="bottom"/>
            <w:tcBorders>
              <w:top w:val="single" w:sz="8" w:color="CCEEFF"/>
            </w:tcBorders>
            <w:vMerge w:val="restart"/>
          </w:tcPr>
          <w:p>
            <w:pPr>
              <w:jc w:val="right"/>
              <w:spacing w:after="0"/>
              <w:rPr>
                <w:sz w:val="20"/>
                <w:szCs w:val="20"/>
                <w:color w:val="auto"/>
              </w:rPr>
            </w:pPr>
            <w:r>
              <w:rPr>
                <w:rFonts w:ascii="Arial" w:cs="Arial" w:eastAsia="Arial" w:hAnsi="Arial"/>
                <w:sz w:val="14"/>
                <w:szCs w:val="14"/>
                <w:color w:val="auto"/>
              </w:rPr>
              <w:t>134,297</w:t>
            </w:r>
          </w:p>
        </w:tc>
        <w:tc>
          <w:tcPr>
            <w:tcW w:w="100" w:type="dxa"/>
            <w:vAlign w:val="bottom"/>
            <w:tcBorders>
              <w:top w:val="single" w:sz="8" w:color="CCEEFF"/>
            </w:tcBorders>
          </w:tcPr>
          <w:p>
            <w:pPr>
              <w:spacing w:after="0"/>
              <w:rPr>
                <w:sz w:val="11"/>
                <w:szCs w:val="11"/>
                <w:color w:val="auto"/>
              </w:rPr>
            </w:pPr>
          </w:p>
        </w:tc>
        <w:tc>
          <w:tcPr>
            <w:tcW w:w="760" w:type="dxa"/>
            <w:vAlign w:val="bottom"/>
            <w:tcBorders>
              <w:top w:val="single" w:sz="8" w:color="CCEEFF"/>
            </w:tcBorders>
            <w:vMerge w:val="restart"/>
          </w:tcPr>
          <w:p>
            <w:pPr>
              <w:jc w:val="right"/>
              <w:spacing w:after="0"/>
              <w:rPr>
                <w:sz w:val="20"/>
                <w:szCs w:val="20"/>
                <w:color w:val="auto"/>
              </w:rPr>
            </w:pPr>
            <w:r>
              <w:rPr>
                <w:rFonts w:ascii="Arial" w:cs="Arial" w:eastAsia="Arial" w:hAnsi="Arial"/>
                <w:sz w:val="14"/>
                <w:szCs w:val="14"/>
                <w:color w:val="auto"/>
              </w:rPr>
              <w:t>0.03</w:t>
            </w:r>
          </w:p>
        </w:tc>
        <w:tc>
          <w:tcPr>
            <w:tcW w:w="160" w:type="dxa"/>
            <w:vAlign w:val="bottom"/>
            <w:tcBorders>
              <w:top w:val="single" w:sz="8" w:color="CCEEFF"/>
            </w:tcBorders>
            <w:vMerge w:val="restart"/>
          </w:tcPr>
          <w:p>
            <w:pPr>
              <w:jc w:val="right"/>
              <w:spacing w:after="0"/>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186"/>
        </w:trPr>
        <w:tc>
          <w:tcPr>
            <w:tcW w:w="1660" w:type="dxa"/>
            <w:vAlign w:val="bottom"/>
            <w:gridSpan w:val="5"/>
            <w:vMerge w:val="continue"/>
          </w:tcPr>
          <w:p>
            <w:pPr>
              <w:spacing w:after="0"/>
              <w:rPr>
                <w:sz w:val="16"/>
                <w:szCs w:val="16"/>
                <w:color w:val="auto"/>
              </w:rPr>
            </w:pPr>
          </w:p>
        </w:tc>
        <w:tc>
          <w:tcPr>
            <w:tcW w:w="1900" w:type="dxa"/>
            <w:vAlign w:val="bottom"/>
            <w:gridSpan w:val="5"/>
            <w:vMerge w:val="continue"/>
          </w:tcPr>
          <w:p>
            <w:pPr>
              <w:spacing w:after="0"/>
              <w:rPr>
                <w:sz w:val="16"/>
                <w:szCs w:val="16"/>
                <w:color w:val="auto"/>
              </w:rPr>
            </w:pPr>
          </w:p>
        </w:tc>
        <w:tc>
          <w:tcPr>
            <w:tcW w:w="100" w:type="dxa"/>
            <w:vAlign w:val="bottom"/>
          </w:tcPr>
          <w:p>
            <w:pPr>
              <w:spacing w:after="0"/>
              <w:rPr>
                <w:sz w:val="16"/>
                <w:szCs w:val="16"/>
                <w:color w:val="auto"/>
              </w:rPr>
            </w:pPr>
          </w:p>
        </w:tc>
        <w:tc>
          <w:tcPr>
            <w:tcW w:w="2040" w:type="dxa"/>
            <w:vAlign w:val="bottom"/>
            <w:gridSpan w:val="2"/>
          </w:tcPr>
          <w:p>
            <w:pPr>
              <w:jc w:val="center"/>
              <w:ind w:right="120"/>
              <w:spacing w:after="0"/>
              <w:rPr>
                <w:sz w:val="20"/>
                <w:szCs w:val="20"/>
                <w:color w:val="auto"/>
              </w:rPr>
            </w:pPr>
            <w:r>
              <w:rPr>
                <w:rFonts w:ascii="Arial" w:cs="Arial" w:eastAsia="Arial" w:hAnsi="Arial"/>
                <w:sz w:val="14"/>
                <w:szCs w:val="14"/>
                <w:color w:val="auto"/>
                <w:w w:val="93"/>
              </w:rPr>
              <w:t>Company</w:t>
            </w:r>
          </w:p>
        </w:tc>
        <w:tc>
          <w:tcPr>
            <w:tcW w:w="9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560" w:type="dxa"/>
            <w:vAlign w:val="bottom"/>
            <w:gridSpan w:val="10"/>
            <w:shd w:val="clear" w:color="auto" w:fill="CCEEFF"/>
          </w:tcPr>
          <w:p>
            <w:pPr>
              <w:spacing w:after="0"/>
              <w:rPr>
                <w:sz w:val="20"/>
                <w:szCs w:val="20"/>
                <w:color w:val="auto"/>
              </w:rPr>
            </w:pPr>
            <w:r>
              <w:rPr>
                <w:rFonts w:ascii="Arial" w:cs="Arial" w:eastAsia="Arial" w:hAnsi="Arial"/>
                <w:sz w:val="14"/>
                <w:szCs w:val="14"/>
                <w:color w:val="auto"/>
              </w:rPr>
              <w:t>Warrant units</w:t>
            </w:r>
          </w:p>
        </w:tc>
        <w:tc>
          <w:tcPr>
            <w:tcW w:w="100" w:type="dxa"/>
            <w:vAlign w:val="bottom"/>
            <w:shd w:val="clear" w:color="auto" w:fill="CCEEFF"/>
          </w:tcPr>
          <w:p>
            <w:pPr>
              <w:spacing w:after="0"/>
              <w:rPr>
                <w:sz w:val="16"/>
                <w:szCs w:val="16"/>
                <w:color w:val="auto"/>
              </w:rPr>
            </w:pPr>
          </w:p>
        </w:tc>
        <w:tc>
          <w:tcPr>
            <w:tcW w:w="1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2/25/2021</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199,100</w:t>
            </w: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65,703</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65,703</w:t>
            </w:r>
          </w:p>
        </w:tc>
        <w:tc>
          <w:tcPr>
            <w:tcW w:w="100" w:type="dxa"/>
            <w:vAlign w:val="bottom"/>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0.02</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179"/>
        </w:trPr>
        <w:tc>
          <w:tcPr>
            <w:tcW w:w="80" w:type="dxa"/>
            <w:vAlign w:val="bottom"/>
            <w:tcBorders>
              <w:bottom w:val="single" w:sz="8" w:color="CCEEFF"/>
            </w:tcBorders>
          </w:tcPr>
          <w:p>
            <w:pPr>
              <w:spacing w:after="0"/>
              <w:rPr>
                <w:sz w:val="15"/>
                <w:szCs w:val="15"/>
                <w:color w:val="auto"/>
              </w:rPr>
            </w:pPr>
          </w:p>
        </w:tc>
        <w:tc>
          <w:tcPr>
            <w:tcW w:w="3480" w:type="dxa"/>
            <w:vAlign w:val="bottom"/>
            <w:tcBorders>
              <w:bottom w:val="single" w:sz="8" w:color="CCEEFF"/>
            </w:tcBorders>
            <w:gridSpan w:val="9"/>
          </w:tcPr>
          <w:p>
            <w:pPr>
              <w:ind w:left="40"/>
              <w:spacing w:after="0"/>
              <w:rPr>
                <w:sz w:val="20"/>
                <w:szCs w:val="20"/>
                <w:color w:val="auto"/>
              </w:rPr>
            </w:pPr>
            <w:r>
              <w:rPr>
                <w:rFonts w:ascii="Arial" w:cs="Arial" w:eastAsia="Arial" w:hAnsi="Arial"/>
                <w:sz w:val="14"/>
                <w:szCs w:val="14"/>
                <w:color w:val="auto"/>
              </w:rPr>
              <w:t>Total</w:t>
            </w:r>
          </w:p>
        </w:tc>
        <w:tc>
          <w:tcPr>
            <w:tcW w:w="100" w:type="dxa"/>
            <w:vAlign w:val="bottom"/>
            <w:tcBorders>
              <w:bottom w:val="single" w:sz="8" w:color="CCEEFF"/>
            </w:tcBorders>
          </w:tcPr>
          <w:p>
            <w:pPr>
              <w:spacing w:after="0"/>
              <w:rPr>
                <w:sz w:val="15"/>
                <w:szCs w:val="15"/>
                <w:color w:val="auto"/>
              </w:rPr>
            </w:pPr>
          </w:p>
        </w:tc>
        <w:tc>
          <w:tcPr>
            <w:tcW w:w="194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98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84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200,000</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200,000</w:t>
            </w:r>
          </w:p>
        </w:tc>
        <w:tc>
          <w:tcPr>
            <w:tcW w:w="100" w:type="dxa"/>
            <w:vAlign w:val="bottom"/>
            <w:tcBorders>
              <w:bottom w:val="single" w:sz="8" w:color="CCEEFF"/>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0.05</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152"/>
        </w:trPr>
        <w:tc>
          <w:tcPr>
            <w:tcW w:w="3560" w:type="dxa"/>
            <w:vAlign w:val="bottom"/>
            <w:gridSpan w:val="10"/>
            <w:shd w:val="clear" w:color="auto" w:fill="CCEEFF"/>
          </w:tcPr>
          <w:p>
            <w:pPr>
              <w:spacing w:after="0" w:line="132" w:lineRule="exact"/>
              <w:rPr>
                <w:sz w:val="20"/>
                <w:szCs w:val="20"/>
                <w:color w:val="auto"/>
              </w:rPr>
            </w:pPr>
            <w:r>
              <w:rPr>
                <w:rFonts w:ascii="Arial" w:cs="Arial" w:eastAsia="Arial" w:hAnsi="Arial"/>
                <w:sz w:val="14"/>
                <w:szCs w:val="14"/>
                <w:b w:val="1"/>
                <w:bCs w:val="1"/>
                <w:color w:val="auto"/>
              </w:rPr>
              <w:t>Fullbridge, Inc.</w:t>
            </w:r>
          </w:p>
        </w:tc>
        <w:tc>
          <w:tcPr>
            <w:tcW w:w="100" w:type="dxa"/>
            <w:vAlign w:val="bottom"/>
            <w:shd w:val="clear" w:color="auto" w:fill="CCEEFF"/>
          </w:tcPr>
          <w:p>
            <w:pPr>
              <w:spacing w:after="0"/>
              <w:rPr>
                <w:sz w:val="13"/>
                <w:szCs w:val="13"/>
                <w:color w:val="auto"/>
              </w:rPr>
            </w:pPr>
          </w:p>
        </w:tc>
        <w:tc>
          <w:tcPr>
            <w:tcW w:w="2040" w:type="dxa"/>
            <w:vAlign w:val="bottom"/>
            <w:gridSpan w:val="2"/>
            <w:shd w:val="clear" w:color="auto" w:fill="CCEEFF"/>
          </w:tcPr>
          <w:p>
            <w:pPr>
              <w:jc w:val="center"/>
              <w:ind w:right="100"/>
              <w:spacing w:after="0" w:line="132" w:lineRule="exact"/>
              <w:rPr>
                <w:sz w:val="20"/>
                <w:szCs w:val="20"/>
                <w:color w:val="auto"/>
              </w:rPr>
            </w:pPr>
            <w:r>
              <w:rPr>
                <w:rFonts w:ascii="Arial" w:cs="Arial" w:eastAsia="Arial" w:hAnsi="Arial"/>
                <w:sz w:val="14"/>
                <w:szCs w:val="14"/>
                <w:color w:val="auto"/>
                <w:w w:val="96"/>
              </w:rPr>
              <w:t>Cambridge, MA</w:t>
            </w: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960" w:type="dxa"/>
            <w:vAlign w:val="bottom"/>
            <w:tcBorders>
              <w:top w:val="single" w:sz="8" w:color="auto"/>
            </w:tcBorders>
            <w:gridSpan w:val="2"/>
          </w:tcPr>
          <w:p>
            <w:pPr>
              <w:spacing w:after="0"/>
              <w:rPr>
                <w:sz w:val="20"/>
                <w:szCs w:val="20"/>
                <w:color w:val="auto"/>
              </w:rPr>
            </w:pPr>
            <w:r>
              <w:rPr>
                <w:rFonts w:ascii="Arial" w:cs="Arial" w:eastAsia="Arial" w:hAnsi="Arial"/>
                <w:sz w:val="14"/>
                <w:szCs w:val="14"/>
                <w:color w:val="auto"/>
                <w:w w:val="91"/>
              </w:rPr>
              <w:t>Common shares</w:t>
            </w:r>
          </w:p>
        </w:tc>
        <w:tc>
          <w:tcPr>
            <w:tcW w:w="2600" w:type="dxa"/>
            <w:vAlign w:val="bottom"/>
            <w:tcBorders>
              <w:top w:val="single" w:sz="8" w:color="CCEEFF"/>
            </w:tcBorders>
            <w:gridSpan w:val="8"/>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2040" w:type="dxa"/>
            <w:vAlign w:val="bottom"/>
            <w:tcBorders>
              <w:top w:val="single" w:sz="8" w:color="CCEEFF"/>
            </w:tcBorders>
            <w:gridSpan w:val="2"/>
          </w:tcPr>
          <w:p>
            <w:pPr>
              <w:jc w:val="center"/>
              <w:ind w:right="100"/>
              <w:spacing w:after="0"/>
              <w:rPr>
                <w:sz w:val="20"/>
                <w:szCs w:val="20"/>
                <w:color w:val="auto"/>
              </w:rPr>
            </w:pPr>
            <w:r>
              <w:rPr>
                <w:rFonts w:ascii="Arial" w:cs="Arial" w:eastAsia="Arial" w:hAnsi="Arial"/>
                <w:sz w:val="14"/>
                <w:szCs w:val="14"/>
                <w:color w:val="auto"/>
                <w:w w:val="92"/>
              </w:rPr>
              <w:t>Business Education</w:t>
            </w:r>
          </w:p>
        </w:tc>
        <w:tc>
          <w:tcPr>
            <w:tcW w:w="980" w:type="dxa"/>
            <w:vAlign w:val="bottom"/>
            <w:tcBorders>
              <w:top w:val="single" w:sz="8" w:color="CCEEFF"/>
            </w:tcBorders>
          </w:tcPr>
          <w:p>
            <w:pPr>
              <w:jc w:val="center"/>
              <w:spacing w:after="0"/>
              <w:rPr>
                <w:sz w:val="20"/>
                <w:szCs w:val="20"/>
                <w:color w:val="auto"/>
              </w:rPr>
            </w:pPr>
            <w:r>
              <w:rPr>
                <w:rFonts w:ascii="Arial" w:cs="Arial" w:eastAsia="Arial" w:hAnsi="Arial"/>
                <w:sz w:val="14"/>
                <w:szCs w:val="14"/>
                <w:color w:val="auto"/>
                <w:w w:val="93"/>
              </w:rPr>
              <w:t>5/13/2012</w:t>
            </w:r>
          </w:p>
        </w:tc>
        <w:tc>
          <w:tcPr>
            <w:tcW w:w="10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840" w:type="dxa"/>
            <w:vAlign w:val="bottom"/>
            <w:tcBorders>
              <w:top w:val="single" w:sz="8" w:color="CCEEFF"/>
            </w:tcBorders>
          </w:tcPr>
          <w:p>
            <w:pPr>
              <w:jc w:val="right"/>
              <w:ind w:right="8"/>
              <w:spacing w:after="0"/>
              <w:rPr>
                <w:sz w:val="20"/>
                <w:szCs w:val="20"/>
                <w:color w:val="auto"/>
              </w:rPr>
            </w:pPr>
            <w:r>
              <w:rPr>
                <w:rFonts w:ascii="Arial" w:cs="Arial" w:eastAsia="Arial" w:hAnsi="Arial"/>
                <w:sz w:val="14"/>
                <w:szCs w:val="14"/>
                <w:color w:val="auto"/>
              </w:rPr>
              <w:t>517,917</w:t>
            </w:r>
          </w:p>
        </w:tc>
        <w:tc>
          <w:tcPr>
            <w:tcW w:w="100" w:type="dxa"/>
            <w:vAlign w:val="bottom"/>
            <w:tcBorders>
              <w:top w:val="single" w:sz="8" w:color="CCEEFF"/>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860" w:type="dxa"/>
            <w:vAlign w:val="bottom"/>
            <w:tcBorders>
              <w:top w:val="single" w:sz="8" w:color="CCEEFF"/>
            </w:tcBorders>
          </w:tcPr>
          <w:p>
            <w:pPr>
              <w:jc w:val="right"/>
              <w:ind w:right="8"/>
              <w:spacing w:after="0"/>
              <w:rPr>
                <w:sz w:val="20"/>
                <w:szCs w:val="20"/>
                <w:color w:val="auto"/>
              </w:rPr>
            </w:pPr>
            <w:r>
              <w:rPr>
                <w:rFonts w:ascii="Arial" w:cs="Arial" w:eastAsia="Arial" w:hAnsi="Arial"/>
                <w:sz w:val="14"/>
                <w:szCs w:val="14"/>
                <w:color w:val="auto"/>
              </w:rPr>
              <w:t>6,150,506</w:t>
            </w:r>
          </w:p>
        </w:tc>
        <w:tc>
          <w:tcPr>
            <w:tcW w:w="10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1040" w:type="dxa"/>
            <w:vAlign w:val="bottom"/>
            <w:tcBorders>
              <w:top w:val="single" w:sz="8" w:color="CCEEFF"/>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CCEEFF"/>
            </w:tcBorders>
            <w:gridSpan w:val="2"/>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192"/>
        </w:trPr>
        <w:tc>
          <w:tcPr>
            <w:tcW w:w="3560" w:type="dxa"/>
            <w:vAlign w:val="bottom"/>
            <w:gridSpan w:val="10"/>
            <w:shd w:val="clear" w:color="auto" w:fill="CCEEFF"/>
          </w:tcPr>
          <w:p>
            <w:pPr>
              <w:spacing w:after="0" w:line="193" w:lineRule="exact"/>
              <w:rPr>
                <w:sz w:val="20"/>
                <w:szCs w:val="20"/>
                <w:color w:val="auto"/>
              </w:rPr>
            </w:pPr>
            <w:r>
              <w:rPr>
                <w:rFonts w:ascii="Arial" w:cs="Arial" w:eastAsia="Arial" w:hAnsi="Arial"/>
                <w:sz w:val="14"/>
                <w:szCs w:val="14"/>
                <w:color w:val="auto"/>
              </w:rPr>
              <w:t>Promissory Note 1.47%, Due 11/9/2021</w:t>
            </w:r>
            <w:r>
              <w:rPr>
                <w:rFonts w:ascii="Arial" w:cs="Arial" w:eastAsia="Arial" w:hAnsi="Arial"/>
                <w:sz w:val="18"/>
                <w:szCs w:val="18"/>
                <w:color w:val="auto"/>
                <w:vertAlign w:val="superscript"/>
              </w:rPr>
              <w:t>(4)</w:t>
            </w:r>
          </w:p>
        </w:tc>
        <w:tc>
          <w:tcPr>
            <w:tcW w:w="100" w:type="dxa"/>
            <w:vAlign w:val="bottom"/>
            <w:shd w:val="clear" w:color="auto" w:fill="CCEEFF"/>
          </w:tcPr>
          <w:p>
            <w:pPr>
              <w:spacing w:after="0"/>
              <w:rPr>
                <w:sz w:val="16"/>
                <w:szCs w:val="16"/>
                <w:color w:val="auto"/>
              </w:rPr>
            </w:pPr>
          </w:p>
        </w:tc>
        <w:tc>
          <w:tcPr>
            <w:tcW w:w="1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3/3/2016</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2,270,458</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2,270,858</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179"/>
        </w:trPr>
        <w:tc>
          <w:tcPr>
            <w:tcW w:w="80" w:type="dxa"/>
            <w:vAlign w:val="bottom"/>
            <w:tcBorders>
              <w:bottom w:val="single" w:sz="8" w:color="CCEEFF"/>
            </w:tcBorders>
          </w:tcPr>
          <w:p>
            <w:pPr>
              <w:spacing w:after="0"/>
              <w:rPr>
                <w:sz w:val="15"/>
                <w:szCs w:val="15"/>
                <w:color w:val="auto"/>
              </w:rPr>
            </w:pPr>
          </w:p>
        </w:tc>
        <w:tc>
          <w:tcPr>
            <w:tcW w:w="3480" w:type="dxa"/>
            <w:vAlign w:val="bottom"/>
            <w:tcBorders>
              <w:bottom w:val="single" w:sz="8" w:color="CCEEFF"/>
            </w:tcBorders>
            <w:gridSpan w:val="9"/>
          </w:tcPr>
          <w:p>
            <w:pPr>
              <w:ind w:left="40"/>
              <w:spacing w:after="0"/>
              <w:rPr>
                <w:sz w:val="20"/>
                <w:szCs w:val="20"/>
                <w:color w:val="auto"/>
              </w:rPr>
            </w:pPr>
            <w:r>
              <w:rPr>
                <w:rFonts w:ascii="Arial" w:cs="Arial" w:eastAsia="Arial" w:hAnsi="Arial"/>
                <w:sz w:val="14"/>
                <w:szCs w:val="14"/>
                <w:color w:val="auto"/>
              </w:rPr>
              <w:t>Total</w:t>
            </w:r>
          </w:p>
        </w:tc>
        <w:tc>
          <w:tcPr>
            <w:tcW w:w="100" w:type="dxa"/>
            <w:vAlign w:val="bottom"/>
            <w:tcBorders>
              <w:bottom w:val="single" w:sz="8" w:color="CCEEFF"/>
            </w:tcBorders>
          </w:tcPr>
          <w:p>
            <w:pPr>
              <w:spacing w:after="0"/>
              <w:rPr>
                <w:sz w:val="15"/>
                <w:szCs w:val="15"/>
                <w:color w:val="auto"/>
              </w:rPr>
            </w:pPr>
          </w:p>
        </w:tc>
        <w:tc>
          <w:tcPr>
            <w:tcW w:w="194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98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84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8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8,421,364</w:t>
            </w:r>
          </w:p>
        </w:tc>
        <w:tc>
          <w:tcPr>
            <w:tcW w:w="100" w:type="dxa"/>
            <w:vAlign w:val="bottom"/>
            <w:tcBorders>
              <w:bottom w:val="single" w:sz="8" w:color="CCEEFF"/>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5"/>
                <w:szCs w:val="15"/>
                <w:color w:val="auto"/>
              </w:rPr>
            </w:pPr>
          </w:p>
        </w:tc>
        <w:tc>
          <w:tcPr>
            <w:tcW w:w="9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166"/>
        </w:trPr>
        <w:tc>
          <w:tcPr>
            <w:tcW w:w="3560" w:type="dxa"/>
            <w:vAlign w:val="bottom"/>
            <w:gridSpan w:val="10"/>
            <w:shd w:val="clear" w:color="auto" w:fill="CCEEFF"/>
          </w:tcPr>
          <w:p>
            <w:pPr>
              <w:spacing w:after="0" w:line="145" w:lineRule="exact"/>
              <w:rPr>
                <w:sz w:val="20"/>
                <w:szCs w:val="20"/>
                <w:color w:val="auto"/>
              </w:rPr>
            </w:pPr>
            <w:r>
              <w:rPr>
                <w:rFonts w:ascii="Arial" w:cs="Arial" w:eastAsia="Arial" w:hAnsi="Arial"/>
                <w:sz w:val="13"/>
                <w:szCs w:val="13"/>
                <w:b w:val="1"/>
                <w:bCs w:val="1"/>
                <w:color w:val="auto"/>
              </w:rPr>
              <w:t>Treehouse Real Estate Investment Trust, Inc.</w:t>
            </w:r>
            <w:r>
              <w:rPr>
                <w:rFonts w:ascii="Arial" w:cs="Arial" w:eastAsia="Arial" w:hAnsi="Arial"/>
                <w:sz w:val="16"/>
                <w:szCs w:val="16"/>
                <w:b w:val="1"/>
                <w:bCs w:val="1"/>
                <w:color w:val="auto"/>
                <w:vertAlign w:val="superscript"/>
              </w:rPr>
              <w:t>(11)</w:t>
            </w:r>
          </w:p>
        </w:tc>
        <w:tc>
          <w:tcPr>
            <w:tcW w:w="100" w:type="dxa"/>
            <w:vAlign w:val="bottom"/>
            <w:shd w:val="clear" w:color="auto" w:fill="CCEEFF"/>
          </w:tcPr>
          <w:p>
            <w:pPr>
              <w:spacing w:after="0"/>
              <w:rPr>
                <w:sz w:val="14"/>
                <w:szCs w:val="14"/>
                <w:color w:val="auto"/>
              </w:rPr>
            </w:pPr>
          </w:p>
        </w:tc>
        <w:tc>
          <w:tcPr>
            <w:tcW w:w="2040" w:type="dxa"/>
            <w:vAlign w:val="bottom"/>
            <w:gridSpan w:val="2"/>
            <w:shd w:val="clear" w:color="auto" w:fill="CCEEFF"/>
          </w:tcPr>
          <w:p>
            <w:pPr>
              <w:jc w:val="center"/>
              <w:ind w:right="120"/>
              <w:spacing w:after="0" w:line="145" w:lineRule="exact"/>
              <w:rPr>
                <w:sz w:val="20"/>
                <w:szCs w:val="20"/>
                <w:color w:val="auto"/>
              </w:rPr>
            </w:pPr>
            <w:r>
              <w:rPr>
                <w:rFonts w:ascii="Arial" w:cs="Arial" w:eastAsia="Arial" w:hAnsi="Arial"/>
                <w:sz w:val="14"/>
                <w:szCs w:val="14"/>
                <w:color w:val="auto"/>
                <w:w w:val="95"/>
              </w:rPr>
              <w:t>Chicago, IL</w:t>
            </w: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760" w:type="dxa"/>
            <w:vAlign w:val="bottom"/>
            <w:tcBorders>
              <w:top w:val="single" w:sz="8" w:color="auto"/>
            </w:tcBorders>
            <w:gridSpan w:val="9"/>
          </w:tcPr>
          <w:p>
            <w:pPr>
              <w:spacing w:after="0"/>
              <w:rPr>
                <w:sz w:val="20"/>
                <w:szCs w:val="20"/>
                <w:color w:val="auto"/>
              </w:rPr>
            </w:pPr>
            <w:r>
              <w:rPr>
                <w:rFonts w:ascii="Arial" w:cs="Arial" w:eastAsia="Arial" w:hAnsi="Arial"/>
                <w:sz w:val="14"/>
                <w:szCs w:val="14"/>
                <w:color w:val="auto"/>
              </w:rPr>
              <w:t>Common shares</w:t>
            </w:r>
          </w:p>
        </w:tc>
        <w:tc>
          <w:tcPr>
            <w:tcW w:w="80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2040" w:type="dxa"/>
            <w:vAlign w:val="bottom"/>
            <w:tcBorders>
              <w:top w:val="single" w:sz="8" w:color="CCEEFF"/>
            </w:tcBorders>
            <w:gridSpan w:val="2"/>
          </w:tcPr>
          <w:p>
            <w:pPr>
              <w:jc w:val="center"/>
              <w:ind w:right="100"/>
              <w:spacing w:after="0"/>
              <w:rPr>
                <w:sz w:val="20"/>
                <w:szCs w:val="20"/>
                <w:color w:val="auto"/>
              </w:rPr>
            </w:pPr>
            <w:r>
              <w:rPr>
                <w:rFonts w:ascii="Arial" w:cs="Arial" w:eastAsia="Arial" w:hAnsi="Arial"/>
                <w:sz w:val="14"/>
                <w:szCs w:val="14"/>
                <w:color w:val="auto"/>
                <w:w w:val="94"/>
              </w:rPr>
              <w:t>Cannabis REIT</w:t>
            </w:r>
          </w:p>
        </w:tc>
        <w:tc>
          <w:tcPr>
            <w:tcW w:w="980" w:type="dxa"/>
            <w:vAlign w:val="bottom"/>
            <w:tcBorders>
              <w:top w:val="single" w:sz="8" w:color="CCEEFF"/>
            </w:tcBorders>
          </w:tcPr>
          <w:p>
            <w:pPr>
              <w:jc w:val="center"/>
              <w:spacing w:after="0"/>
              <w:rPr>
                <w:sz w:val="20"/>
                <w:szCs w:val="20"/>
                <w:color w:val="auto"/>
              </w:rPr>
            </w:pPr>
            <w:r>
              <w:rPr>
                <w:rFonts w:ascii="Arial" w:cs="Arial" w:eastAsia="Arial" w:hAnsi="Arial"/>
                <w:sz w:val="14"/>
                <w:szCs w:val="14"/>
                <w:color w:val="auto"/>
                <w:w w:val="93"/>
              </w:rPr>
              <w:t>9/11/2019</w:t>
            </w:r>
          </w:p>
        </w:tc>
        <w:tc>
          <w:tcPr>
            <w:tcW w:w="10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840" w:type="dxa"/>
            <w:vAlign w:val="bottom"/>
            <w:tcBorders>
              <w:top w:val="single" w:sz="8" w:color="CCEEFF"/>
            </w:tcBorders>
          </w:tcPr>
          <w:p>
            <w:pPr>
              <w:jc w:val="right"/>
              <w:ind w:right="8"/>
              <w:spacing w:after="0"/>
              <w:rPr>
                <w:sz w:val="20"/>
                <w:szCs w:val="20"/>
                <w:color w:val="auto"/>
              </w:rPr>
            </w:pPr>
            <w:r>
              <w:rPr>
                <w:rFonts w:ascii="Arial" w:cs="Arial" w:eastAsia="Arial" w:hAnsi="Arial"/>
                <w:sz w:val="14"/>
                <w:szCs w:val="14"/>
                <w:color w:val="auto"/>
              </w:rPr>
              <w:t>312,500</w:t>
            </w:r>
          </w:p>
        </w:tc>
        <w:tc>
          <w:tcPr>
            <w:tcW w:w="100" w:type="dxa"/>
            <w:vAlign w:val="bottom"/>
            <w:tcBorders>
              <w:top w:val="single" w:sz="8" w:color="CCEEFF"/>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860" w:type="dxa"/>
            <w:vAlign w:val="bottom"/>
            <w:tcBorders>
              <w:top w:val="single" w:sz="8" w:color="CCEEFF"/>
            </w:tcBorders>
          </w:tcPr>
          <w:p>
            <w:pPr>
              <w:jc w:val="right"/>
              <w:ind w:right="8"/>
              <w:spacing w:after="0"/>
              <w:rPr>
                <w:sz w:val="20"/>
                <w:szCs w:val="20"/>
                <w:color w:val="auto"/>
              </w:rPr>
            </w:pPr>
            <w:r>
              <w:rPr>
                <w:rFonts w:ascii="Arial" w:cs="Arial" w:eastAsia="Arial" w:hAnsi="Arial"/>
                <w:sz w:val="14"/>
                <w:szCs w:val="14"/>
                <w:color w:val="auto"/>
              </w:rPr>
              <w:t>4,919,250</w:t>
            </w:r>
          </w:p>
        </w:tc>
        <w:tc>
          <w:tcPr>
            <w:tcW w:w="10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1040" w:type="dxa"/>
            <w:vAlign w:val="bottom"/>
            <w:tcBorders>
              <w:top w:val="single" w:sz="8" w:color="CCEEFF"/>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CCEEFF"/>
            </w:tcBorders>
            <w:gridSpan w:val="2"/>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152"/>
        </w:trPr>
        <w:tc>
          <w:tcPr>
            <w:tcW w:w="3560" w:type="dxa"/>
            <w:vAlign w:val="bottom"/>
            <w:gridSpan w:val="10"/>
            <w:shd w:val="clear" w:color="auto" w:fill="CCEEFF"/>
          </w:tcPr>
          <w:p>
            <w:pPr>
              <w:spacing w:after="0" w:line="152" w:lineRule="exact"/>
              <w:rPr>
                <w:sz w:val="20"/>
                <w:szCs w:val="20"/>
                <w:color w:val="auto"/>
              </w:rPr>
            </w:pPr>
            <w:r>
              <w:rPr>
                <w:rFonts w:ascii="Arial" w:cs="Arial" w:eastAsia="Arial" w:hAnsi="Arial"/>
                <w:sz w:val="14"/>
                <w:szCs w:val="14"/>
                <w:b w:val="1"/>
                <w:bCs w:val="1"/>
                <w:color w:val="auto"/>
              </w:rPr>
              <w:t>Kinetiq Holdings, LLC</w:t>
            </w:r>
          </w:p>
        </w:tc>
        <w:tc>
          <w:tcPr>
            <w:tcW w:w="100" w:type="dxa"/>
            <w:vAlign w:val="bottom"/>
            <w:shd w:val="clear" w:color="auto" w:fill="CCEEFF"/>
          </w:tcPr>
          <w:p>
            <w:pPr>
              <w:spacing w:after="0"/>
              <w:rPr>
                <w:sz w:val="13"/>
                <w:szCs w:val="13"/>
                <w:color w:val="auto"/>
              </w:rPr>
            </w:pPr>
          </w:p>
        </w:tc>
        <w:tc>
          <w:tcPr>
            <w:tcW w:w="2040" w:type="dxa"/>
            <w:vAlign w:val="bottom"/>
            <w:gridSpan w:val="2"/>
            <w:shd w:val="clear" w:color="auto" w:fill="CCEEFF"/>
          </w:tcPr>
          <w:p>
            <w:pPr>
              <w:jc w:val="center"/>
              <w:ind w:right="120"/>
              <w:spacing w:after="0" w:line="152" w:lineRule="exact"/>
              <w:rPr>
                <w:sz w:val="20"/>
                <w:szCs w:val="20"/>
                <w:color w:val="auto"/>
              </w:rPr>
            </w:pPr>
            <w:r>
              <w:rPr>
                <w:rFonts w:ascii="Arial" w:cs="Arial" w:eastAsia="Arial" w:hAnsi="Arial"/>
                <w:sz w:val="14"/>
                <w:szCs w:val="14"/>
                <w:color w:val="auto"/>
                <w:w w:val="93"/>
              </w:rPr>
              <w:t>Philadelphia, PA</w:t>
            </w: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0" w:type="dxa"/>
            <w:vAlign w:val="bottom"/>
            <w:tcBorders>
              <w:top w:val="single" w:sz="8" w:color="auto"/>
            </w:tcBorders>
            <w:shd w:val="clear" w:color="auto" w:fill="CCEEFF"/>
          </w:tcPr>
          <w:p>
            <w:pPr>
              <w:spacing w:after="0" w:line="20" w:lineRule="exact"/>
              <w:rPr>
                <w:sz w:val="1"/>
                <w:szCs w:val="1"/>
                <w:color w:val="auto"/>
              </w:rPr>
            </w:pPr>
          </w:p>
        </w:tc>
        <w:tc>
          <w:tcPr>
            <w:tcW w:w="880" w:type="dxa"/>
            <w:vAlign w:val="bottom"/>
            <w:tcBorders>
              <w:top w:val="single" w:sz="8" w:color="auto"/>
            </w:tcBorders>
            <w:shd w:val="clear" w:color="auto" w:fill="CCEEFF"/>
          </w:tcPr>
          <w:p>
            <w:pPr>
              <w:spacing w:after="0" w:line="20" w:lineRule="exact"/>
              <w:rPr>
                <w:sz w:val="1"/>
                <w:szCs w:val="1"/>
                <w:color w:val="auto"/>
              </w:rPr>
            </w:pPr>
          </w:p>
        </w:tc>
        <w:tc>
          <w:tcPr>
            <w:tcW w:w="46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9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3560" w:type="dxa"/>
            <w:vAlign w:val="bottom"/>
            <w:gridSpan w:val="10"/>
          </w:tcPr>
          <w:p>
            <w:pPr>
              <w:spacing w:after="0"/>
              <w:rPr>
                <w:sz w:val="20"/>
                <w:szCs w:val="20"/>
                <w:color w:val="auto"/>
              </w:rPr>
            </w:pPr>
            <w:r>
              <w:rPr>
                <w:rFonts w:ascii="Arial" w:cs="Arial" w:eastAsia="Arial" w:hAnsi="Arial"/>
                <w:sz w:val="14"/>
                <w:szCs w:val="14"/>
                <w:color w:val="auto"/>
              </w:rPr>
              <w:t>Common shares, Class A</w:t>
            </w:r>
          </w:p>
        </w:tc>
        <w:tc>
          <w:tcPr>
            <w:tcW w:w="100" w:type="dxa"/>
            <w:vAlign w:val="bottom"/>
          </w:tcPr>
          <w:p>
            <w:pPr>
              <w:spacing w:after="0"/>
              <w:rPr>
                <w:sz w:val="16"/>
                <w:szCs w:val="16"/>
                <w:color w:val="auto"/>
              </w:rPr>
            </w:pPr>
          </w:p>
        </w:tc>
        <w:tc>
          <w:tcPr>
            <w:tcW w:w="2040" w:type="dxa"/>
            <w:vAlign w:val="bottom"/>
            <w:gridSpan w:val="2"/>
          </w:tcPr>
          <w:p>
            <w:pPr>
              <w:jc w:val="center"/>
              <w:ind w:right="120"/>
              <w:spacing w:after="0"/>
              <w:rPr>
                <w:sz w:val="20"/>
                <w:szCs w:val="20"/>
                <w:color w:val="auto"/>
              </w:rPr>
            </w:pPr>
            <w:r>
              <w:rPr>
                <w:rFonts w:ascii="Arial" w:cs="Arial" w:eastAsia="Arial" w:hAnsi="Arial"/>
                <w:sz w:val="14"/>
                <w:szCs w:val="14"/>
                <w:color w:val="auto"/>
                <w:w w:val="94"/>
              </w:rPr>
              <w:t>Social Data Platform</w:t>
            </w:r>
          </w:p>
        </w:tc>
        <w:tc>
          <w:tcPr>
            <w:tcW w:w="980" w:type="dxa"/>
            <w:vAlign w:val="bottom"/>
          </w:tcPr>
          <w:p>
            <w:pPr>
              <w:jc w:val="center"/>
              <w:spacing w:after="0"/>
              <w:rPr>
                <w:sz w:val="20"/>
                <w:szCs w:val="20"/>
                <w:color w:val="auto"/>
              </w:rPr>
            </w:pPr>
            <w:r>
              <w:rPr>
                <w:rFonts w:ascii="Arial" w:cs="Arial" w:eastAsia="Arial" w:hAnsi="Arial"/>
                <w:sz w:val="14"/>
                <w:szCs w:val="14"/>
                <w:color w:val="auto"/>
                <w:w w:val="93"/>
              </w:rPr>
              <w:t>3/30/2012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112,374</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219"/>
        </w:trPr>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188"/>
        </w:trPr>
        <w:tc>
          <w:tcPr>
            <w:tcW w:w="3560" w:type="dxa"/>
            <w:vAlign w:val="bottom"/>
            <w:gridSpan w:val="5"/>
          </w:tcPr>
          <w:p>
            <w:pPr>
              <w:ind w:left="120"/>
              <w:spacing w:after="0"/>
              <w:rPr>
                <w:sz w:val="20"/>
                <w:szCs w:val="20"/>
                <w:color w:val="auto"/>
              </w:rPr>
            </w:pPr>
            <w:r>
              <w:rPr>
                <w:rFonts w:ascii="Arial" w:cs="Arial" w:eastAsia="Arial" w:hAnsi="Arial"/>
                <w:sz w:val="14"/>
                <w:szCs w:val="14"/>
                <w:b w:val="1"/>
                <w:bCs w:val="1"/>
                <w:color w:val="auto"/>
              </w:rPr>
              <w:t>Total Non-controlled/Non-affiliate</w:t>
            </w:r>
          </w:p>
        </w:tc>
        <w:tc>
          <w:tcPr>
            <w:tcW w:w="2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b w:val="1"/>
                <w:bCs w:val="1"/>
                <w:color w:val="auto"/>
              </w:rPr>
              <w:t>100,717,361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241,917,691</w:t>
            </w:r>
          </w:p>
        </w:tc>
        <w:tc>
          <w:tcPr>
            <w:tcW w:w="100" w:type="dxa"/>
            <w:vAlign w:val="bottom"/>
          </w:tcPr>
          <w:p>
            <w:pPr>
              <w:spacing w:after="0"/>
              <w:rPr>
                <w:sz w:val="16"/>
                <w:szCs w:val="16"/>
                <w:color w:val="auto"/>
              </w:rPr>
            </w:pPr>
          </w:p>
        </w:tc>
        <w:tc>
          <w:tcPr>
            <w:tcW w:w="920" w:type="dxa"/>
            <w:vAlign w:val="bottom"/>
            <w:gridSpan w:val="2"/>
          </w:tcPr>
          <w:p>
            <w:pPr>
              <w:jc w:val="right"/>
              <w:spacing w:after="0"/>
              <w:rPr>
                <w:sz w:val="20"/>
                <w:szCs w:val="20"/>
                <w:color w:val="auto"/>
              </w:rPr>
            </w:pPr>
            <w:r>
              <w:rPr>
                <w:rFonts w:ascii="Arial" w:cs="Arial" w:eastAsia="Arial" w:hAnsi="Arial"/>
                <w:sz w:val="14"/>
                <w:szCs w:val="14"/>
                <w:b w:val="1"/>
                <w:bCs w:val="1"/>
                <w:color w:val="auto"/>
              </w:rPr>
              <w:t>55.50 %</w:t>
            </w:r>
          </w:p>
        </w:tc>
        <w:tc>
          <w:tcPr>
            <w:tcW w:w="0" w:type="dxa"/>
            <w:vAlign w:val="bottom"/>
          </w:tcPr>
          <w:p>
            <w:pPr>
              <w:spacing w:after="0"/>
              <w:rPr>
                <w:sz w:val="1"/>
                <w:szCs w:val="1"/>
                <w:color w:val="auto"/>
              </w:rPr>
            </w:pPr>
          </w:p>
        </w:tc>
      </w:tr>
      <w:tr>
        <w:trPr>
          <w:trHeight w:val="217"/>
        </w:trPr>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3560" w:type="dxa"/>
            <w:vAlign w:val="bottom"/>
            <w:gridSpan w:val="5"/>
          </w:tcPr>
          <w:p>
            <w:pPr>
              <w:spacing w:after="0" w:line="189" w:lineRule="exact"/>
              <w:rPr>
                <w:sz w:val="20"/>
                <w:szCs w:val="20"/>
                <w:color w:val="auto"/>
              </w:rPr>
            </w:pPr>
            <w:r>
              <w:rPr>
                <w:rFonts w:ascii="Arial" w:cs="Arial" w:eastAsia="Arial" w:hAnsi="Arial"/>
                <w:sz w:val="14"/>
                <w:szCs w:val="14"/>
                <w:b w:val="1"/>
                <w:bCs w:val="1"/>
                <w:color w:val="auto"/>
              </w:rPr>
              <w:t>NON-CONTROLLED/AFFILIATE</w:t>
            </w:r>
            <w:r>
              <w:rPr>
                <w:rFonts w:ascii="Arial" w:cs="Arial" w:eastAsia="Arial" w:hAnsi="Arial"/>
                <w:sz w:val="18"/>
                <w:szCs w:val="18"/>
                <w:color w:val="auto"/>
                <w:vertAlign w:val="superscript"/>
              </w:rPr>
              <w:t>(1)</w:t>
            </w:r>
          </w:p>
        </w:tc>
        <w:tc>
          <w:tcPr>
            <w:tcW w:w="2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3560" w:type="dxa"/>
            <w:vAlign w:val="bottom"/>
            <w:gridSpan w:val="5"/>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Ozy Media, Inc.</w:t>
            </w:r>
          </w:p>
        </w:tc>
        <w:tc>
          <w:tcPr>
            <w:tcW w:w="2140" w:type="dxa"/>
            <w:vAlign w:val="bottom"/>
            <w:gridSpan w:val="2"/>
            <w:shd w:val="clear" w:color="auto" w:fill="CCEEFF"/>
          </w:tcPr>
          <w:p>
            <w:pPr>
              <w:jc w:val="center"/>
              <w:ind w:right="20"/>
              <w:spacing w:after="0" w:line="149" w:lineRule="exact"/>
              <w:rPr>
                <w:sz w:val="20"/>
                <w:szCs w:val="20"/>
                <w:color w:val="auto"/>
              </w:rPr>
            </w:pPr>
            <w:r>
              <w:rPr>
                <w:rFonts w:ascii="Arial" w:cs="Arial" w:eastAsia="Arial" w:hAnsi="Arial"/>
                <w:sz w:val="14"/>
                <w:szCs w:val="14"/>
                <w:color w:val="auto"/>
                <w:w w:val="97"/>
              </w:rPr>
              <w:t>Mountain View, CA</w:t>
            </w:r>
          </w:p>
        </w:tc>
        <w:tc>
          <w:tcPr>
            <w:tcW w:w="11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8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0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3560" w:type="dxa"/>
            <w:vAlign w:val="bottom"/>
            <w:gridSpan w:val="5"/>
          </w:tcPr>
          <w:p>
            <w:pPr>
              <w:spacing w:after="0"/>
              <w:rPr>
                <w:sz w:val="20"/>
                <w:szCs w:val="20"/>
                <w:color w:val="auto"/>
              </w:rPr>
            </w:pPr>
            <w:r>
              <w:rPr>
                <w:rFonts w:ascii="Arial" w:cs="Arial" w:eastAsia="Arial" w:hAnsi="Arial"/>
                <w:sz w:val="14"/>
                <w:szCs w:val="14"/>
                <w:color w:val="auto"/>
              </w:rPr>
              <w:t>Preferred shares, Series C-2 6%</w:t>
            </w:r>
          </w:p>
        </w:tc>
        <w:tc>
          <w:tcPr>
            <w:tcW w:w="2140" w:type="dxa"/>
            <w:vAlign w:val="bottom"/>
            <w:gridSpan w:val="2"/>
          </w:tcPr>
          <w:p>
            <w:pPr>
              <w:jc w:val="center"/>
              <w:spacing w:after="0"/>
              <w:rPr>
                <w:sz w:val="20"/>
                <w:szCs w:val="20"/>
                <w:color w:val="auto"/>
              </w:rPr>
            </w:pPr>
            <w:r>
              <w:rPr>
                <w:rFonts w:ascii="Arial" w:cs="Arial" w:eastAsia="Arial" w:hAnsi="Arial"/>
                <w:sz w:val="14"/>
                <w:szCs w:val="14"/>
                <w:color w:val="auto"/>
                <w:w w:val="97"/>
              </w:rPr>
              <w:t>Digital Media Platform</w:t>
            </w:r>
          </w:p>
        </w:tc>
        <w:tc>
          <w:tcPr>
            <w:tcW w:w="1120" w:type="dxa"/>
            <w:vAlign w:val="bottom"/>
          </w:tcPr>
          <w:p>
            <w:pPr>
              <w:jc w:val="center"/>
              <w:ind w:right="68"/>
              <w:spacing w:after="0"/>
              <w:rPr>
                <w:sz w:val="20"/>
                <w:szCs w:val="20"/>
                <w:color w:val="auto"/>
              </w:rPr>
            </w:pPr>
            <w:r>
              <w:rPr>
                <w:rFonts w:ascii="Arial" w:cs="Arial" w:eastAsia="Arial" w:hAnsi="Arial"/>
                <w:sz w:val="14"/>
                <w:szCs w:val="14"/>
                <w:color w:val="auto"/>
                <w:w w:val="93"/>
              </w:rPr>
              <w:t>9/11/2019</w:t>
            </w: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683,482</w:t>
            </w:r>
          </w:p>
        </w:tc>
        <w:tc>
          <w:tcPr>
            <w:tcW w:w="100" w:type="dxa"/>
            <w:vAlign w:val="bottom"/>
          </w:tcPr>
          <w:p>
            <w:pPr>
              <w:spacing w:after="0"/>
              <w:rPr>
                <w:sz w:val="16"/>
                <w:szCs w:val="16"/>
                <w:color w:val="auto"/>
              </w:rPr>
            </w:pP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2,414,178</w:t>
            </w:r>
          </w:p>
        </w:tc>
        <w:tc>
          <w:tcPr>
            <w:tcW w:w="100" w:type="dxa"/>
            <w:vAlign w:val="bottom"/>
          </w:tcPr>
          <w:p>
            <w:pPr>
              <w:spacing w:after="0"/>
              <w:rPr>
                <w:sz w:val="16"/>
                <w:szCs w:val="16"/>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2,165,294</w:t>
            </w: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0.50</w:t>
            </w:r>
          </w:p>
        </w:tc>
        <w:tc>
          <w:tcPr>
            <w:tcW w:w="160" w:type="dxa"/>
            <w:vAlign w:val="bottom"/>
          </w:tcPr>
          <w:p>
            <w:pPr>
              <w:jc w:val="right"/>
              <w:spacing w:after="0"/>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138"/>
        </w:trPr>
        <w:tc>
          <w:tcPr>
            <w:tcW w:w="3560" w:type="dxa"/>
            <w:vAlign w:val="bottom"/>
            <w:gridSpan w:val="5"/>
            <w:shd w:val="clear" w:color="auto" w:fill="CCEEFF"/>
          </w:tcPr>
          <w:p>
            <w:pPr>
              <w:spacing w:after="0" w:line="139" w:lineRule="exact"/>
              <w:rPr>
                <w:sz w:val="20"/>
                <w:szCs w:val="20"/>
                <w:color w:val="auto"/>
              </w:rPr>
            </w:pPr>
            <w:r>
              <w:rPr>
                <w:rFonts w:ascii="Arial" w:cs="Arial" w:eastAsia="Arial" w:hAnsi="Arial"/>
                <w:sz w:val="14"/>
                <w:szCs w:val="14"/>
                <w:color w:val="auto"/>
              </w:rPr>
              <w:t>Common Warrants, Strike Price $0.01, Expiration Date</w:t>
            </w:r>
          </w:p>
        </w:tc>
        <w:tc>
          <w:tcPr>
            <w:tcW w:w="2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20" w:type="dxa"/>
            <w:vAlign w:val="bottom"/>
            <w:vMerge w:val="restart"/>
            <w:shd w:val="clear" w:color="auto" w:fill="CCEEFF"/>
          </w:tcPr>
          <w:p>
            <w:pPr>
              <w:jc w:val="center"/>
              <w:ind w:right="88"/>
              <w:spacing w:after="0"/>
              <w:rPr>
                <w:sz w:val="20"/>
                <w:szCs w:val="20"/>
                <w:color w:val="auto"/>
              </w:rPr>
            </w:pPr>
            <w:r>
              <w:rPr>
                <w:rFonts w:ascii="Arial" w:cs="Arial" w:eastAsia="Arial" w:hAnsi="Arial"/>
                <w:sz w:val="14"/>
                <w:szCs w:val="14"/>
                <w:color w:val="auto"/>
                <w:w w:val="95"/>
              </w:rPr>
              <w:t>4/9/2018</w:t>
            </w:r>
          </w:p>
        </w:tc>
        <w:tc>
          <w:tcPr>
            <w:tcW w:w="94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295,565</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30,647</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933,985</w:t>
            </w:r>
          </w:p>
        </w:tc>
        <w:tc>
          <w:tcPr>
            <w:tcW w:w="10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0.21</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189"/>
        </w:trPr>
        <w:tc>
          <w:tcPr>
            <w:tcW w:w="980" w:type="dxa"/>
            <w:vAlign w:val="bottom"/>
            <w:shd w:val="clear" w:color="auto" w:fill="CCEEFF"/>
          </w:tcPr>
          <w:p>
            <w:pPr>
              <w:spacing w:after="0"/>
              <w:rPr>
                <w:sz w:val="20"/>
                <w:szCs w:val="20"/>
                <w:color w:val="auto"/>
              </w:rPr>
            </w:pPr>
            <w:r>
              <w:rPr>
                <w:rFonts w:ascii="Arial" w:cs="Arial" w:eastAsia="Arial" w:hAnsi="Arial"/>
                <w:sz w:val="14"/>
                <w:szCs w:val="14"/>
                <w:color w:val="auto"/>
              </w:rPr>
              <w:t>4/9/2028</w:t>
            </w: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vMerge w:val="continue"/>
            <w:shd w:val="clear" w:color="auto" w:fill="CCEEFF"/>
          </w:tcPr>
          <w:p>
            <w:pPr>
              <w:spacing w:after="0"/>
              <w:rPr>
                <w:sz w:val="16"/>
                <w:szCs w:val="16"/>
                <w:color w:val="auto"/>
              </w:rPr>
            </w:pPr>
          </w:p>
        </w:tc>
        <w:tc>
          <w:tcPr>
            <w:tcW w:w="9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1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560" w:type="dxa"/>
            <w:vAlign w:val="bottom"/>
            <w:gridSpan w:val="5"/>
          </w:tcPr>
          <w:p>
            <w:pPr>
              <w:spacing w:after="0"/>
              <w:rPr>
                <w:sz w:val="20"/>
                <w:szCs w:val="20"/>
                <w:color w:val="auto"/>
              </w:rPr>
            </w:pPr>
            <w:r>
              <w:rPr>
                <w:rFonts w:ascii="Arial" w:cs="Arial" w:eastAsia="Arial" w:hAnsi="Arial"/>
                <w:sz w:val="14"/>
                <w:szCs w:val="14"/>
                <w:color w:val="auto"/>
              </w:rPr>
              <w:t>Preferred shares, Series B 6%</w:t>
            </w:r>
          </w:p>
        </w:tc>
        <w:tc>
          <w:tcPr>
            <w:tcW w:w="2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jc w:val="center"/>
              <w:ind w:right="68"/>
              <w:spacing w:after="0"/>
              <w:rPr>
                <w:sz w:val="20"/>
                <w:szCs w:val="20"/>
                <w:color w:val="auto"/>
              </w:rPr>
            </w:pPr>
            <w:r>
              <w:rPr>
                <w:rFonts w:ascii="Arial" w:cs="Arial" w:eastAsia="Arial" w:hAnsi="Arial"/>
                <w:sz w:val="14"/>
                <w:szCs w:val="14"/>
                <w:color w:val="auto"/>
                <w:w w:val="93"/>
              </w:rPr>
              <w:t>10/3/2014</w:t>
            </w: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922,509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4,999,999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3,350,952</w:t>
            </w: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0.77</w:t>
            </w:r>
          </w:p>
        </w:tc>
        <w:tc>
          <w:tcPr>
            <w:tcW w:w="160" w:type="dxa"/>
            <w:vAlign w:val="bottom"/>
          </w:tcPr>
          <w:p>
            <w:pPr>
              <w:jc w:val="right"/>
              <w:spacing w:after="0"/>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192"/>
        </w:trPr>
        <w:tc>
          <w:tcPr>
            <w:tcW w:w="3560" w:type="dxa"/>
            <w:vAlign w:val="bottom"/>
            <w:gridSpan w:val="5"/>
            <w:shd w:val="clear" w:color="auto" w:fill="CCEEFF"/>
          </w:tcPr>
          <w:p>
            <w:pPr>
              <w:spacing w:after="0"/>
              <w:rPr>
                <w:sz w:val="20"/>
                <w:szCs w:val="20"/>
                <w:color w:val="auto"/>
              </w:rPr>
            </w:pPr>
            <w:r>
              <w:rPr>
                <w:rFonts w:ascii="Arial" w:cs="Arial" w:eastAsia="Arial" w:hAnsi="Arial"/>
                <w:sz w:val="14"/>
                <w:szCs w:val="14"/>
                <w:color w:val="auto"/>
              </w:rPr>
              <w:t>Preferred shares, Series A 6%</w:t>
            </w:r>
          </w:p>
        </w:tc>
        <w:tc>
          <w:tcPr>
            <w:tcW w:w="2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shd w:val="clear" w:color="auto" w:fill="CCEEFF"/>
          </w:tcPr>
          <w:p>
            <w:pPr>
              <w:jc w:val="center"/>
              <w:ind w:right="88"/>
              <w:spacing w:after="0"/>
              <w:rPr>
                <w:sz w:val="20"/>
                <w:szCs w:val="20"/>
                <w:color w:val="auto"/>
              </w:rPr>
            </w:pPr>
            <w:r>
              <w:rPr>
                <w:rFonts w:ascii="Arial" w:cs="Arial" w:eastAsia="Arial" w:hAnsi="Arial"/>
                <w:sz w:val="14"/>
                <w:szCs w:val="14"/>
                <w:color w:val="auto"/>
                <w:w w:val="91"/>
              </w:rPr>
              <w:t>12/11/2013</w:t>
            </w: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1,090,909</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3,000,200</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3,456,036</w:t>
            </w: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0.79</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197"/>
        </w:trPr>
        <w:tc>
          <w:tcPr>
            <w:tcW w:w="3560" w:type="dxa"/>
            <w:vAlign w:val="bottom"/>
            <w:tcBorders>
              <w:bottom w:val="single" w:sz="8" w:color="CCEEFF"/>
            </w:tcBorders>
            <w:gridSpan w:val="5"/>
          </w:tcPr>
          <w:p>
            <w:pPr>
              <w:spacing w:after="0"/>
              <w:rPr>
                <w:sz w:val="20"/>
                <w:szCs w:val="20"/>
                <w:color w:val="auto"/>
              </w:rPr>
            </w:pPr>
            <w:r>
              <w:rPr>
                <w:rFonts w:ascii="Arial" w:cs="Arial" w:eastAsia="Arial" w:hAnsi="Arial"/>
                <w:sz w:val="14"/>
                <w:szCs w:val="14"/>
                <w:color w:val="auto"/>
              </w:rPr>
              <w:t>Preferred shares, Series Seed 6%</w:t>
            </w:r>
          </w:p>
        </w:tc>
        <w:tc>
          <w:tcPr>
            <w:tcW w:w="204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120" w:type="dxa"/>
            <w:vAlign w:val="bottom"/>
            <w:tcBorders>
              <w:bottom w:val="single" w:sz="8" w:color="CCEEFF"/>
            </w:tcBorders>
          </w:tcPr>
          <w:p>
            <w:pPr>
              <w:jc w:val="center"/>
              <w:ind w:right="68"/>
              <w:spacing w:after="0"/>
              <w:rPr>
                <w:sz w:val="20"/>
                <w:szCs w:val="20"/>
                <w:color w:val="auto"/>
              </w:rPr>
            </w:pPr>
            <w:r>
              <w:rPr>
                <w:rFonts w:ascii="Arial" w:cs="Arial" w:eastAsia="Arial" w:hAnsi="Arial"/>
                <w:sz w:val="14"/>
                <w:szCs w:val="14"/>
                <w:color w:val="auto"/>
                <w:w w:val="93"/>
              </w:rPr>
              <w:t>11/2/2012</w:t>
            </w:r>
          </w:p>
        </w:tc>
        <w:tc>
          <w:tcPr>
            <w:tcW w:w="940" w:type="dxa"/>
            <w:vAlign w:val="bottom"/>
            <w:tcBorders>
              <w:bottom w:val="single" w:sz="8" w:color="CCEEFF"/>
            </w:tcBorders>
          </w:tcPr>
          <w:p>
            <w:pPr>
              <w:jc w:val="right"/>
              <w:ind w:right="8"/>
              <w:spacing w:after="0"/>
              <w:rPr>
                <w:sz w:val="20"/>
                <w:szCs w:val="20"/>
                <w:color w:val="auto"/>
              </w:rPr>
            </w:pPr>
            <w:r>
              <w:rPr>
                <w:rFonts w:ascii="Arial" w:cs="Arial" w:eastAsia="Arial" w:hAnsi="Arial"/>
                <w:sz w:val="14"/>
                <w:szCs w:val="14"/>
                <w:color w:val="auto"/>
              </w:rPr>
              <w:t>500,000</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500,000</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1,584,017</w:t>
            </w:r>
          </w:p>
        </w:tc>
        <w:tc>
          <w:tcPr>
            <w:tcW w:w="100" w:type="dxa"/>
            <w:vAlign w:val="bottom"/>
            <w:tcBorders>
              <w:bottom w:val="single" w:sz="8" w:color="CCEEFF"/>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0.36</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185"/>
        </w:trPr>
        <w:tc>
          <w:tcPr>
            <w:tcW w:w="3560" w:type="dxa"/>
            <w:vAlign w:val="bottom"/>
            <w:tcBorders>
              <w:bottom w:val="single" w:sz="8" w:color="CCEEFF"/>
            </w:tcBorders>
            <w:gridSpan w:val="5"/>
            <w:shd w:val="clear" w:color="auto" w:fill="CCEEFF"/>
          </w:tcPr>
          <w:p>
            <w:pPr>
              <w:ind w:left="120"/>
              <w:spacing w:after="0"/>
              <w:rPr>
                <w:sz w:val="20"/>
                <w:szCs w:val="20"/>
                <w:color w:val="auto"/>
              </w:rPr>
            </w:pPr>
            <w:r>
              <w:rPr>
                <w:rFonts w:ascii="Arial" w:cs="Arial" w:eastAsia="Arial" w:hAnsi="Arial"/>
                <w:sz w:val="14"/>
                <w:szCs w:val="14"/>
                <w:color w:val="auto"/>
              </w:rPr>
              <w:t>Total</w:t>
            </w:r>
          </w:p>
        </w:tc>
        <w:tc>
          <w:tcPr>
            <w:tcW w:w="2040" w:type="dxa"/>
            <w:vAlign w:val="bottom"/>
            <w:tcBorders>
              <w:bottom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10,945,024</w:t>
            </w:r>
          </w:p>
        </w:tc>
        <w:tc>
          <w:tcPr>
            <w:tcW w:w="1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11,490,284</w:t>
            </w:r>
          </w:p>
        </w:tc>
        <w:tc>
          <w:tcPr>
            <w:tcW w:w="100" w:type="dxa"/>
            <w:vAlign w:val="bottom"/>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2.63</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145"/>
        </w:trPr>
        <w:tc>
          <w:tcPr>
            <w:tcW w:w="3560" w:type="dxa"/>
            <w:vAlign w:val="bottom"/>
            <w:gridSpan w:val="5"/>
          </w:tcPr>
          <w:p>
            <w:pPr>
              <w:spacing w:after="0" w:line="145" w:lineRule="exact"/>
              <w:rPr>
                <w:sz w:val="20"/>
                <w:szCs w:val="20"/>
                <w:color w:val="auto"/>
              </w:rPr>
            </w:pPr>
            <w:r>
              <w:rPr>
                <w:rFonts w:ascii="Arial" w:cs="Arial" w:eastAsia="Arial" w:hAnsi="Arial"/>
                <w:sz w:val="14"/>
                <w:szCs w:val="14"/>
                <w:b w:val="1"/>
                <w:bCs w:val="1"/>
                <w:color w:val="auto"/>
              </w:rPr>
              <w:t>NewLake Capital Partners, Inc. (f/k/a GreenAcreage</w:t>
            </w:r>
          </w:p>
        </w:tc>
        <w:tc>
          <w:tcPr>
            <w:tcW w:w="2140" w:type="dxa"/>
            <w:vAlign w:val="bottom"/>
            <w:gridSpan w:val="2"/>
            <w:vMerge w:val="restart"/>
          </w:tcPr>
          <w:p>
            <w:pPr>
              <w:jc w:val="center"/>
              <w:spacing w:after="0"/>
              <w:rPr>
                <w:sz w:val="20"/>
                <w:szCs w:val="20"/>
                <w:color w:val="auto"/>
              </w:rPr>
            </w:pPr>
            <w:r>
              <w:rPr>
                <w:rFonts w:ascii="Arial" w:cs="Arial" w:eastAsia="Arial" w:hAnsi="Arial"/>
                <w:sz w:val="14"/>
                <w:szCs w:val="14"/>
                <w:color w:val="auto"/>
                <w:w w:val="97"/>
              </w:rPr>
              <w:t>New York, NY</w:t>
            </w:r>
          </w:p>
        </w:tc>
        <w:tc>
          <w:tcPr>
            <w:tcW w:w="1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3240" w:type="dxa"/>
            <w:vAlign w:val="bottom"/>
            <w:tcBorders>
              <w:top w:val="single" w:sz="8" w:color="auto"/>
            </w:tcBorders>
            <w:gridSpan w:val="4"/>
          </w:tcPr>
          <w:p>
            <w:pPr>
              <w:spacing w:after="0" w:line="115" w:lineRule="exact"/>
              <w:rPr>
                <w:sz w:val="20"/>
                <w:szCs w:val="20"/>
                <w:color w:val="auto"/>
              </w:rPr>
            </w:pPr>
            <w:r>
              <w:rPr>
                <w:rFonts w:ascii="Arial" w:cs="Arial" w:eastAsia="Arial" w:hAnsi="Arial"/>
                <w:sz w:val="13"/>
                <w:szCs w:val="13"/>
                <w:b w:val="1"/>
                <w:bCs w:val="1"/>
                <w:color w:val="auto"/>
              </w:rPr>
              <w:t>Real Estate Corp.)</w:t>
            </w:r>
          </w:p>
        </w:tc>
        <w:tc>
          <w:tcPr>
            <w:tcW w:w="320" w:type="dxa"/>
            <w:vAlign w:val="bottom"/>
          </w:tcPr>
          <w:p>
            <w:pPr>
              <w:spacing w:after="0"/>
              <w:rPr>
                <w:sz w:val="10"/>
                <w:szCs w:val="10"/>
                <w:color w:val="auto"/>
              </w:rPr>
            </w:pPr>
          </w:p>
        </w:tc>
        <w:tc>
          <w:tcPr>
            <w:tcW w:w="214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98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3560" w:type="dxa"/>
            <w:vAlign w:val="bottom"/>
            <w:gridSpan w:val="5"/>
            <w:shd w:val="clear" w:color="auto" w:fill="CCEEFF"/>
          </w:tcPr>
          <w:p>
            <w:pPr>
              <w:spacing w:after="0" w:line="189" w:lineRule="exact"/>
              <w:rPr>
                <w:sz w:val="20"/>
                <w:szCs w:val="20"/>
                <w:color w:val="auto"/>
              </w:rPr>
            </w:pPr>
            <w:r>
              <w:rPr>
                <w:rFonts w:ascii="Arial" w:cs="Arial" w:eastAsia="Arial" w:hAnsi="Arial"/>
                <w:sz w:val="14"/>
                <w:szCs w:val="14"/>
                <w:color w:val="auto"/>
              </w:rPr>
              <w:t>Common shares***</w:t>
            </w:r>
            <w:r>
              <w:rPr>
                <w:rFonts w:ascii="Arial" w:cs="Arial" w:eastAsia="Arial" w:hAnsi="Arial"/>
                <w:sz w:val="18"/>
                <w:szCs w:val="18"/>
                <w:color w:val="auto"/>
                <w:vertAlign w:val="superscript"/>
              </w:rPr>
              <w:t>(17)</w:t>
            </w:r>
          </w:p>
        </w:tc>
        <w:tc>
          <w:tcPr>
            <w:tcW w:w="214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w w:val="94"/>
              </w:rPr>
              <w:t>Cannabis REIT</w:t>
            </w:r>
          </w:p>
        </w:tc>
        <w:tc>
          <w:tcPr>
            <w:tcW w:w="1120" w:type="dxa"/>
            <w:vAlign w:val="bottom"/>
            <w:shd w:val="clear" w:color="auto" w:fill="CCEEFF"/>
          </w:tcPr>
          <w:p>
            <w:pPr>
              <w:jc w:val="center"/>
              <w:ind w:right="68"/>
              <w:spacing w:after="0"/>
              <w:rPr>
                <w:sz w:val="20"/>
                <w:szCs w:val="20"/>
                <w:color w:val="auto"/>
              </w:rPr>
            </w:pPr>
            <w:r>
              <w:rPr>
                <w:rFonts w:ascii="Arial" w:cs="Arial" w:eastAsia="Arial" w:hAnsi="Arial"/>
                <w:sz w:val="14"/>
                <w:szCs w:val="14"/>
                <w:color w:val="auto"/>
                <w:w w:val="93"/>
              </w:rPr>
              <w:t>8/12/2019</w:t>
            </w: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446,226</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9,009,952</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9,435,324</w:t>
            </w: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2.16</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148"/>
        </w:trPr>
        <w:tc>
          <w:tcPr>
            <w:tcW w:w="3560" w:type="dxa"/>
            <w:vAlign w:val="bottom"/>
            <w:gridSpan w:val="5"/>
          </w:tcPr>
          <w:p>
            <w:pPr>
              <w:spacing w:after="0" w:line="149" w:lineRule="exact"/>
              <w:rPr>
                <w:sz w:val="20"/>
                <w:szCs w:val="20"/>
                <w:color w:val="auto"/>
              </w:rPr>
            </w:pPr>
            <w:r>
              <w:rPr>
                <w:rFonts w:ascii="Arial" w:cs="Arial" w:eastAsia="Arial" w:hAnsi="Arial"/>
                <w:sz w:val="14"/>
                <w:szCs w:val="14"/>
                <w:b w:val="1"/>
                <w:bCs w:val="1"/>
                <w:color w:val="auto"/>
              </w:rPr>
              <w:t>StormWind, LLC</w:t>
            </w:r>
            <w:r>
              <w:rPr>
                <w:rFonts w:ascii="Arial" w:cs="Arial" w:eastAsia="Arial" w:hAnsi="Arial"/>
                <w:sz w:val="17"/>
                <w:szCs w:val="17"/>
                <w:color w:val="auto"/>
                <w:vertAlign w:val="superscript"/>
              </w:rPr>
              <w:t>(5)</w:t>
            </w:r>
          </w:p>
        </w:tc>
        <w:tc>
          <w:tcPr>
            <w:tcW w:w="214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4"/>
              </w:rPr>
              <w:t>Scottsdale, AZ</w:t>
            </w:r>
          </w:p>
        </w:tc>
        <w:tc>
          <w:tcPr>
            <w:tcW w:w="1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8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3560" w:type="dxa"/>
            <w:vAlign w:val="bottom"/>
            <w:gridSpan w:val="5"/>
            <w:shd w:val="clear" w:color="auto" w:fill="CCEEFF"/>
          </w:tcPr>
          <w:p>
            <w:pPr>
              <w:spacing w:after="0"/>
              <w:rPr>
                <w:sz w:val="20"/>
                <w:szCs w:val="20"/>
                <w:color w:val="auto"/>
              </w:rPr>
            </w:pPr>
            <w:r>
              <w:rPr>
                <w:rFonts w:ascii="Arial" w:cs="Arial" w:eastAsia="Arial" w:hAnsi="Arial"/>
                <w:sz w:val="14"/>
                <w:szCs w:val="14"/>
                <w:color w:val="auto"/>
              </w:rPr>
              <w:t>Preferred shares, Series D 8%</w:t>
            </w:r>
          </w:p>
        </w:tc>
        <w:tc>
          <w:tcPr>
            <w:tcW w:w="214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w w:val="95"/>
              </w:rPr>
              <w:t>Interactive Learning</w:t>
            </w:r>
          </w:p>
        </w:tc>
        <w:tc>
          <w:tcPr>
            <w:tcW w:w="1120" w:type="dxa"/>
            <w:vAlign w:val="bottom"/>
            <w:shd w:val="clear" w:color="auto" w:fill="CCEEFF"/>
          </w:tcPr>
          <w:p>
            <w:pPr>
              <w:jc w:val="center"/>
              <w:ind w:right="88"/>
              <w:spacing w:after="0"/>
              <w:rPr>
                <w:sz w:val="20"/>
                <w:szCs w:val="20"/>
                <w:color w:val="auto"/>
              </w:rPr>
            </w:pPr>
            <w:r>
              <w:rPr>
                <w:rFonts w:ascii="Arial" w:cs="Arial" w:eastAsia="Arial" w:hAnsi="Arial"/>
                <w:sz w:val="14"/>
                <w:szCs w:val="14"/>
                <w:color w:val="auto"/>
                <w:w w:val="91"/>
              </w:rPr>
              <w:t>11/26/2019</w:t>
            </w: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329,337</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257,267</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460,920</w:t>
            </w: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0.11</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186"/>
        </w:trPr>
        <w:tc>
          <w:tcPr>
            <w:tcW w:w="3560" w:type="dxa"/>
            <w:vAlign w:val="bottom"/>
            <w:gridSpan w:val="5"/>
          </w:tcPr>
          <w:p>
            <w:pPr>
              <w:spacing w:after="0"/>
              <w:rPr>
                <w:sz w:val="20"/>
                <w:szCs w:val="20"/>
                <w:color w:val="auto"/>
              </w:rPr>
            </w:pPr>
            <w:r>
              <w:rPr>
                <w:rFonts w:ascii="Arial" w:cs="Arial" w:eastAsia="Arial" w:hAnsi="Arial"/>
                <w:sz w:val="14"/>
                <w:szCs w:val="14"/>
                <w:color w:val="auto"/>
              </w:rPr>
              <w:t>Preferred shares, Series C 8%</w:t>
            </w:r>
          </w:p>
        </w:tc>
        <w:tc>
          <w:tcPr>
            <w:tcW w:w="2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jc w:val="center"/>
              <w:ind w:right="88"/>
              <w:spacing w:after="0"/>
              <w:rPr>
                <w:sz w:val="20"/>
                <w:szCs w:val="20"/>
                <w:color w:val="auto"/>
              </w:rPr>
            </w:pPr>
            <w:r>
              <w:rPr>
                <w:rFonts w:ascii="Arial" w:cs="Arial" w:eastAsia="Arial" w:hAnsi="Arial"/>
                <w:sz w:val="14"/>
                <w:szCs w:val="14"/>
                <w:color w:val="auto"/>
                <w:w w:val="95"/>
              </w:rPr>
              <w:t>1/7/2014</w:t>
            </w: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2,779,134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4,000,787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4,995,472</w:t>
            </w: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1.15</w:t>
            </w:r>
          </w:p>
        </w:tc>
        <w:tc>
          <w:tcPr>
            <w:tcW w:w="160" w:type="dxa"/>
            <w:vAlign w:val="bottom"/>
          </w:tcPr>
          <w:p>
            <w:pPr>
              <w:jc w:val="right"/>
              <w:spacing w:after="0"/>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192"/>
        </w:trPr>
        <w:tc>
          <w:tcPr>
            <w:tcW w:w="3560" w:type="dxa"/>
            <w:vAlign w:val="bottom"/>
            <w:gridSpan w:val="5"/>
            <w:shd w:val="clear" w:color="auto" w:fill="CCEEFF"/>
          </w:tcPr>
          <w:p>
            <w:pPr>
              <w:spacing w:after="0"/>
              <w:rPr>
                <w:sz w:val="20"/>
                <w:szCs w:val="20"/>
                <w:color w:val="auto"/>
              </w:rPr>
            </w:pPr>
            <w:r>
              <w:rPr>
                <w:rFonts w:ascii="Arial" w:cs="Arial" w:eastAsia="Arial" w:hAnsi="Arial"/>
                <w:sz w:val="14"/>
                <w:szCs w:val="14"/>
                <w:color w:val="auto"/>
              </w:rPr>
              <w:t>Preferred shares, Series B 8%</w:t>
            </w:r>
          </w:p>
        </w:tc>
        <w:tc>
          <w:tcPr>
            <w:tcW w:w="2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shd w:val="clear" w:color="auto" w:fill="CCEEFF"/>
          </w:tcPr>
          <w:p>
            <w:pPr>
              <w:jc w:val="center"/>
              <w:ind w:right="88"/>
              <w:spacing w:after="0"/>
              <w:rPr>
                <w:sz w:val="20"/>
                <w:szCs w:val="20"/>
                <w:color w:val="auto"/>
              </w:rPr>
            </w:pPr>
            <w:r>
              <w:rPr>
                <w:rFonts w:ascii="Arial" w:cs="Arial" w:eastAsia="Arial" w:hAnsi="Arial"/>
                <w:sz w:val="14"/>
                <w:szCs w:val="14"/>
                <w:color w:val="auto"/>
                <w:w w:val="91"/>
              </w:rPr>
              <w:t>12/16/2011</w:t>
            </w: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3,279,629</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2,019,687</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2,828,566</w:t>
            </w: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0.65</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186"/>
        </w:trPr>
        <w:tc>
          <w:tcPr>
            <w:tcW w:w="3560" w:type="dxa"/>
            <w:vAlign w:val="bottom"/>
            <w:tcBorders>
              <w:bottom w:val="single" w:sz="8" w:color="CCEEFF"/>
            </w:tcBorders>
            <w:gridSpan w:val="5"/>
          </w:tcPr>
          <w:p>
            <w:pPr>
              <w:spacing w:after="0"/>
              <w:rPr>
                <w:sz w:val="20"/>
                <w:szCs w:val="20"/>
                <w:color w:val="auto"/>
              </w:rPr>
            </w:pPr>
            <w:r>
              <w:rPr>
                <w:rFonts w:ascii="Arial" w:cs="Arial" w:eastAsia="Arial" w:hAnsi="Arial"/>
                <w:sz w:val="14"/>
                <w:szCs w:val="14"/>
                <w:color w:val="auto"/>
              </w:rPr>
              <w:t>Preferred shares, Series A 8%</w:t>
            </w:r>
          </w:p>
        </w:tc>
        <w:tc>
          <w:tcPr>
            <w:tcW w:w="204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120" w:type="dxa"/>
            <w:vAlign w:val="bottom"/>
            <w:tcBorders>
              <w:bottom w:val="single" w:sz="8" w:color="CCEEFF"/>
            </w:tcBorders>
          </w:tcPr>
          <w:p>
            <w:pPr>
              <w:jc w:val="center"/>
              <w:ind w:right="68"/>
              <w:spacing w:after="0"/>
              <w:rPr>
                <w:sz w:val="20"/>
                <w:szCs w:val="20"/>
                <w:color w:val="auto"/>
              </w:rPr>
            </w:pPr>
            <w:r>
              <w:rPr>
                <w:rFonts w:ascii="Arial" w:cs="Arial" w:eastAsia="Arial" w:hAnsi="Arial"/>
                <w:sz w:val="14"/>
                <w:szCs w:val="14"/>
                <w:color w:val="auto"/>
                <w:w w:val="93"/>
              </w:rPr>
              <w:t>2/25/2014</w:t>
            </w:r>
          </w:p>
        </w:tc>
        <w:tc>
          <w:tcPr>
            <w:tcW w:w="940" w:type="dxa"/>
            <w:vAlign w:val="bottom"/>
            <w:tcBorders>
              <w:bottom w:val="single" w:sz="8" w:color="CCEEFF"/>
            </w:tcBorders>
          </w:tcPr>
          <w:p>
            <w:pPr>
              <w:jc w:val="right"/>
              <w:ind w:right="8"/>
              <w:spacing w:after="0"/>
              <w:rPr>
                <w:sz w:val="20"/>
                <w:szCs w:val="20"/>
                <w:color w:val="auto"/>
              </w:rPr>
            </w:pPr>
            <w:r>
              <w:rPr>
                <w:rFonts w:ascii="Arial" w:cs="Arial" w:eastAsia="Arial" w:hAnsi="Arial"/>
                <w:sz w:val="14"/>
                <w:szCs w:val="14"/>
                <w:color w:val="auto"/>
              </w:rPr>
              <w:t>366,666</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110,000</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110,966</w:t>
            </w:r>
          </w:p>
        </w:tc>
        <w:tc>
          <w:tcPr>
            <w:tcW w:w="100" w:type="dxa"/>
            <w:vAlign w:val="bottom"/>
            <w:tcBorders>
              <w:bottom w:val="single" w:sz="8" w:color="CCEEFF"/>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0.03</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183"/>
        </w:trPr>
        <w:tc>
          <w:tcPr>
            <w:tcW w:w="3560" w:type="dxa"/>
            <w:vAlign w:val="bottom"/>
            <w:tcBorders>
              <w:bottom w:val="single" w:sz="8" w:color="CCEEFF"/>
            </w:tcBorders>
            <w:gridSpan w:val="5"/>
            <w:shd w:val="clear" w:color="auto" w:fill="CCEEFF"/>
          </w:tcPr>
          <w:p>
            <w:pPr>
              <w:ind w:left="120"/>
              <w:spacing w:after="0"/>
              <w:rPr>
                <w:sz w:val="20"/>
                <w:szCs w:val="20"/>
                <w:color w:val="auto"/>
              </w:rPr>
            </w:pPr>
            <w:r>
              <w:rPr>
                <w:rFonts w:ascii="Arial" w:cs="Arial" w:eastAsia="Arial" w:hAnsi="Arial"/>
                <w:sz w:val="14"/>
                <w:szCs w:val="14"/>
                <w:color w:val="auto"/>
              </w:rPr>
              <w:t>Total</w:t>
            </w:r>
          </w:p>
        </w:tc>
        <w:tc>
          <w:tcPr>
            <w:tcW w:w="2040" w:type="dxa"/>
            <w:vAlign w:val="bottom"/>
            <w:tcBorders>
              <w:bottom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6,387,741</w:t>
            </w:r>
          </w:p>
        </w:tc>
        <w:tc>
          <w:tcPr>
            <w:tcW w:w="10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8,395,924</w:t>
            </w:r>
          </w:p>
        </w:tc>
        <w:tc>
          <w:tcPr>
            <w:tcW w:w="100" w:type="dxa"/>
            <w:vAlign w:val="bottom"/>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1.94</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-256540</wp:posOffset>
            </wp:positionV>
            <wp:extent cx="4928870" cy="12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4928870" cy="12890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-1328420</wp:posOffset>
            </wp:positionV>
            <wp:extent cx="3557270"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557270" cy="137160"/>
                    </a:xfrm>
                    <a:prstGeom prst="rect">
                      <a:avLst/>
                    </a:prstGeom>
                    <a:noFill/>
                  </pic:spPr>
                </pic:pic>
              </a:graphicData>
            </a:graphic>
          </wp:anchor>
        </w:drawing>
      </w:r>
    </w:p>
    <w:p>
      <w:pPr>
        <w:spacing w:after="0" w:line="42" w:lineRule="exact"/>
        <w:rPr>
          <w:sz w:val="20"/>
          <w:szCs w:val="20"/>
          <w:color w:val="auto"/>
        </w:rPr>
      </w:pPr>
    </w:p>
    <w:p>
      <w:pPr>
        <w:jc w:val="center"/>
        <w:ind w:right="-19"/>
        <w:spacing w:after="0"/>
        <w:rPr>
          <w:sz w:val="20"/>
          <w:szCs w:val="20"/>
          <w:color w:val="auto"/>
        </w:rPr>
      </w:pPr>
      <w:r>
        <w:rPr>
          <w:rFonts w:ascii="Arial" w:cs="Arial" w:eastAsia="Arial" w:hAnsi="Arial"/>
          <w:sz w:val="14"/>
          <w:szCs w:val="14"/>
          <w:i w:val="1"/>
          <w:iCs w:val="1"/>
          <w:color w:val="auto"/>
        </w:rPr>
        <w:t>See accompanying notes to condensed consolidated financial statements.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20"/>
          </w:cols>
          <w:pgMar w:left="320" w:top="121" w:right="359" w:bottom="1440" w:gutter="0" w:footer="0" w:header="0"/>
        </w:sectPr>
      </w:pPr>
    </w:p>
    <w:bookmarkStart w:id="8" w:name="page9"/>
    <w:bookmarkEnd w:id="8"/>
    <w:p>
      <w:pPr>
        <w:spacing w:after="0"/>
        <w:rPr>
          <w:rFonts w:ascii="Arial" w:cs="Arial" w:eastAsia="Arial" w:hAnsi="Arial"/>
          <w:sz w:val="14"/>
          <w:szCs w:val="14"/>
          <w:color w:val="0000FF"/>
        </w:rPr>
      </w:pPr>
      <w:hyperlink w:anchor="page1">
        <w:r>
          <w:rPr>
            <w:rFonts w:ascii="Arial" w:cs="Arial" w:eastAsia="Arial" w:hAnsi="Arial"/>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SURO CAPITAL CORP.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SCHEDULE OF INVESTMENTS (UNAUDITED)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2021</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40" w:type="dxa"/>
            <w:vAlign w:val="bottom"/>
            <w:gridSpan w:val="5"/>
            <w:vMerge w:val="restart"/>
          </w:tcPr>
          <w:p>
            <w:pPr>
              <w:spacing w:after="0"/>
              <w:rPr>
                <w:sz w:val="20"/>
                <w:szCs w:val="20"/>
                <w:color w:val="auto"/>
              </w:rPr>
            </w:pPr>
            <w:r>
              <w:rPr>
                <w:rFonts w:ascii="Arial" w:cs="Arial" w:eastAsia="Arial" w:hAnsi="Arial"/>
                <w:sz w:val="14"/>
                <w:szCs w:val="14"/>
                <w:b w:val="1"/>
                <w:bCs w:val="1"/>
                <w:color w:val="auto"/>
              </w:rPr>
              <w:t>Portfolio Investments*</w:t>
            </w:r>
          </w:p>
        </w:tc>
        <w:tc>
          <w:tcPr>
            <w:tcW w:w="100" w:type="dxa"/>
            <w:vAlign w:val="bottom"/>
          </w:tcPr>
          <w:p>
            <w:pPr>
              <w:spacing w:after="0"/>
              <w:rPr>
                <w:sz w:val="14"/>
                <w:szCs w:val="14"/>
                <w:color w:val="auto"/>
              </w:rPr>
            </w:pPr>
          </w:p>
        </w:tc>
        <w:tc>
          <w:tcPr>
            <w:tcW w:w="19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Headquarters/</w:t>
            </w:r>
          </w:p>
        </w:tc>
        <w:tc>
          <w:tcPr>
            <w:tcW w:w="10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Date of Initial</w:t>
            </w:r>
          </w:p>
        </w:tc>
        <w:tc>
          <w:tcPr>
            <w:tcW w:w="180" w:type="dxa"/>
            <w:vAlign w:val="bottom"/>
          </w:tcPr>
          <w:p>
            <w:pPr>
              <w:spacing w:after="0"/>
              <w:rPr>
                <w:sz w:val="14"/>
                <w:szCs w:val="14"/>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6"/>
              </w:rPr>
              <w:t>Shares/</w:t>
            </w:r>
          </w:p>
        </w:tc>
        <w:tc>
          <w:tcPr>
            <w:tcW w:w="240" w:type="dxa"/>
            <w:vAlign w:val="bottom"/>
          </w:tcPr>
          <w:p>
            <w:pPr>
              <w:spacing w:after="0"/>
              <w:rPr>
                <w:sz w:val="14"/>
                <w:szCs w:val="14"/>
                <w:color w:val="auto"/>
              </w:rPr>
            </w:pPr>
          </w:p>
        </w:tc>
        <w:tc>
          <w:tcPr>
            <w:tcW w:w="96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Cost</w:t>
            </w:r>
          </w:p>
        </w:tc>
        <w:tc>
          <w:tcPr>
            <w:tcW w:w="160" w:type="dxa"/>
            <w:vAlign w:val="bottom"/>
          </w:tcPr>
          <w:p>
            <w:pPr>
              <w:spacing w:after="0"/>
              <w:rPr>
                <w:sz w:val="14"/>
                <w:szCs w:val="14"/>
                <w:color w:val="auto"/>
              </w:rPr>
            </w:pPr>
          </w:p>
        </w:tc>
        <w:tc>
          <w:tcPr>
            <w:tcW w:w="10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Fair Value</w:t>
            </w: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 of Net</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540" w:type="dxa"/>
            <w:vAlign w:val="bottom"/>
            <w:gridSpan w:val="5"/>
            <w:vMerge w:val="continue"/>
          </w:tcPr>
          <w:p>
            <w:pPr>
              <w:spacing w:after="0"/>
              <w:rPr>
                <w:sz w:val="16"/>
                <w:szCs w:val="16"/>
                <w:color w:val="auto"/>
              </w:rPr>
            </w:pPr>
          </w:p>
        </w:tc>
        <w:tc>
          <w:tcPr>
            <w:tcW w:w="100" w:type="dxa"/>
            <w:vAlign w:val="bottom"/>
          </w:tcPr>
          <w:p>
            <w:pPr>
              <w:spacing w:after="0"/>
              <w:rPr>
                <w:sz w:val="16"/>
                <w:szCs w:val="16"/>
                <w:color w:val="auto"/>
              </w:rPr>
            </w:pPr>
          </w:p>
        </w:tc>
        <w:tc>
          <w:tcPr>
            <w:tcW w:w="19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Industry</w:t>
            </w:r>
          </w:p>
        </w:tc>
        <w:tc>
          <w:tcPr>
            <w:tcW w:w="10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Investment</w:t>
            </w:r>
          </w:p>
        </w:tc>
        <w:tc>
          <w:tcPr>
            <w:tcW w:w="180" w:type="dxa"/>
            <w:vAlign w:val="bottom"/>
          </w:tcPr>
          <w:p>
            <w:pPr>
              <w:spacing w:after="0"/>
              <w:rPr>
                <w:sz w:val="16"/>
                <w:szCs w:val="16"/>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Principal</w:t>
            </w:r>
          </w:p>
        </w:tc>
        <w:tc>
          <w:tcPr>
            <w:tcW w:w="24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b w:val="1"/>
                <w:bCs w:val="1"/>
                <w:color w:val="auto"/>
              </w:rPr>
              <w:t>Assets</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4"/>
        </w:trPr>
        <w:tc>
          <w:tcPr>
            <w:tcW w:w="20" w:type="dxa"/>
            <w:vAlign w:val="bottom"/>
            <w:tcBorders>
              <w:top w:val="single" w:sz="8" w:color="auto"/>
              <w:bottom w:val="single" w:sz="8" w:color="CCEEFF"/>
            </w:tcBorders>
            <w:shd w:val="clear" w:color="auto" w:fill="CCEEFF"/>
          </w:tcPr>
          <w:p>
            <w:pPr>
              <w:spacing w:after="0"/>
              <w:rPr>
                <w:sz w:val="14"/>
                <w:szCs w:val="14"/>
                <w:color w:val="auto"/>
              </w:rPr>
            </w:pPr>
          </w:p>
        </w:tc>
        <w:tc>
          <w:tcPr>
            <w:tcW w:w="2280" w:type="dxa"/>
            <w:vAlign w:val="bottom"/>
            <w:tcBorders>
              <w:top w:val="single" w:sz="8" w:color="auto"/>
              <w:bottom w:val="single" w:sz="8" w:color="auto"/>
            </w:tcBorders>
            <w:gridSpan w:val="4"/>
            <w:shd w:val="clear" w:color="auto" w:fill="CCEEFF"/>
          </w:tcPr>
          <w:p>
            <w:pPr>
              <w:spacing w:after="0" w:line="143" w:lineRule="exact"/>
              <w:rPr>
                <w:sz w:val="20"/>
                <w:szCs w:val="20"/>
                <w:color w:val="auto"/>
              </w:rPr>
            </w:pPr>
            <w:r>
              <w:rPr>
                <w:rFonts w:ascii="Arial" w:cs="Arial" w:eastAsia="Arial" w:hAnsi="Arial"/>
                <w:sz w:val="14"/>
                <w:szCs w:val="14"/>
                <w:b w:val="1"/>
                <w:bCs w:val="1"/>
                <w:color w:val="auto"/>
                <w:w w:val="93"/>
              </w:rPr>
              <w:t>NestGSV, Inc. (d/b/a OneValley, Inc.)</w:t>
            </w:r>
          </w:p>
        </w:tc>
        <w:tc>
          <w:tcPr>
            <w:tcW w:w="1260" w:type="dxa"/>
            <w:vAlign w:val="bottom"/>
            <w:tcBorders>
              <w:top w:val="single" w:sz="8" w:color="auto"/>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860" w:type="dxa"/>
            <w:vAlign w:val="bottom"/>
            <w:tcBorders>
              <w:top w:val="single" w:sz="8" w:color="auto"/>
              <w:bottom w:val="single" w:sz="8" w:color="CCEEFF"/>
            </w:tcBorders>
            <w:shd w:val="clear" w:color="auto" w:fill="CCEEFF"/>
          </w:tcPr>
          <w:p>
            <w:pPr>
              <w:jc w:val="center"/>
              <w:spacing w:after="0" w:line="143" w:lineRule="exact"/>
              <w:rPr>
                <w:sz w:val="20"/>
                <w:szCs w:val="20"/>
                <w:color w:val="auto"/>
              </w:rPr>
            </w:pPr>
            <w:r>
              <w:rPr>
                <w:rFonts w:ascii="Arial" w:cs="Arial" w:eastAsia="Arial" w:hAnsi="Arial"/>
                <w:sz w:val="14"/>
                <w:szCs w:val="14"/>
                <w:color w:val="auto"/>
                <w:w w:val="94"/>
              </w:rPr>
              <w:t>San Mateo, CA</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980" w:type="dxa"/>
            <w:vAlign w:val="bottom"/>
            <w:tcBorders>
              <w:top w:val="single" w:sz="8" w:color="auto"/>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80" w:type="dxa"/>
            <w:vAlign w:val="bottom"/>
            <w:tcBorders>
              <w:top w:val="single" w:sz="8" w:color="auto"/>
              <w:bottom w:val="single" w:sz="8" w:color="CCEEFF"/>
            </w:tcBorders>
            <w:shd w:val="clear" w:color="auto" w:fill="CCEEFF"/>
          </w:tcPr>
          <w:p>
            <w:pPr>
              <w:spacing w:after="0"/>
              <w:rPr>
                <w:sz w:val="14"/>
                <w:szCs w:val="14"/>
                <w:color w:val="auto"/>
              </w:rPr>
            </w:pPr>
          </w:p>
        </w:tc>
        <w:tc>
          <w:tcPr>
            <w:tcW w:w="940" w:type="dxa"/>
            <w:vAlign w:val="bottom"/>
            <w:tcBorders>
              <w:top w:val="single" w:sz="8" w:color="auto"/>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240" w:type="dxa"/>
            <w:vAlign w:val="bottom"/>
            <w:tcBorders>
              <w:top w:val="single" w:sz="8" w:color="auto"/>
              <w:bottom w:val="single" w:sz="8" w:color="CCEEFF"/>
            </w:tcBorders>
            <w:shd w:val="clear" w:color="auto" w:fill="CCEEFF"/>
          </w:tcPr>
          <w:p>
            <w:pPr>
              <w:spacing w:after="0"/>
              <w:rPr>
                <w:sz w:val="14"/>
                <w:szCs w:val="14"/>
                <w:color w:val="auto"/>
              </w:rPr>
            </w:pPr>
          </w:p>
        </w:tc>
        <w:tc>
          <w:tcPr>
            <w:tcW w:w="860" w:type="dxa"/>
            <w:vAlign w:val="bottom"/>
            <w:tcBorders>
              <w:top w:val="single" w:sz="8" w:color="auto"/>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60" w:type="dxa"/>
            <w:vAlign w:val="bottom"/>
            <w:tcBorders>
              <w:top w:val="single" w:sz="8" w:color="auto"/>
              <w:bottom w:val="single" w:sz="8" w:color="CCEEFF"/>
            </w:tcBorders>
            <w:shd w:val="clear" w:color="auto" w:fill="CCEEFF"/>
          </w:tcPr>
          <w:p>
            <w:pPr>
              <w:spacing w:after="0"/>
              <w:rPr>
                <w:sz w:val="14"/>
                <w:szCs w:val="14"/>
                <w:color w:val="auto"/>
              </w:rPr>
            </w:pPr>
          </w:p>
        </w:tc>
        <w:tc>
          <w:tcPr>
            <w:tcW w:w="940" w:type="dxa"/>
            <w:vAlign w:val="bottom"/>
            <w:tcBorders>
              <w:top w:val="single" w:sz="8" w:color="auto"/>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760" w:type="dxa"/>
            <w:vAlign w:val="bottom"/>
            <w:tcBorders>
              <w:top w:val="single" w:sz="8" w:color="auto"/>
              <w:bottom w:val="single" w:sz="8" w:color="CCEEFF"/>
            </w:tcBorders>
            <w:shd w:val="clear" w:color="auto" w:fill="CCEEFF"/>
          </w:tcPr>
          <w:p>
            <w:pPr>
              <w:spacing w:after="0"/>
              <w:rPr>
                <w:sz w:val="14"/>
                <w:szCs w:val="14"/>
                <w:color w:val="auto"/>
              </w:rPr>
            </w:pPr>
          </w:p>
        </w:tc>
        <w:tc>
          <w:tcPr>
            <w:tcW w:w="160" w:type="dxa"/>
            <w:vAlign w:val="bottom"/>
            <w:tcBorders>
              <w:top w:val="single" w:sz="8" w:color="auto"/>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540" w:type="dxa"/>
            <w:vAlign w:val="bottom"/>
            <w:gridSpan w:val="5"/>
          </w:tcPr>
          <w:p>
            <w:pPr>
              <w:spacing w:after="0" w:line="189" w:lineRule="exact"/>
              <w:rPr>
                <w:sz w:val="20"/>
                <w:szCs w:val="20"/>
                <w:color w:val="auto"/>
              </w:rPr>
            </w:pPr>
            <w:r>
              <w:rPr>
                <w:rFonts w:ascii="Arial" w:cs="Arial" w:eastAsia="Arial" w:hAnsi="Arial"/>
                <w:sz w:val="14"/>
                <w:szCs w:val="14"/>
                <w:color w:val="auto"/>
              </w:rPr>
              <w:t>Derivative Security, Expiration Date 8/23/2024</w:t>
            </w:r>
            <w:r>
              <w:rPr>
                <w:rFonts w:ascii="Arial" w:cs="Arial" w:eastAsia="Arial" w:hAnsi="Arial"/>
                <w:sz w:val="18"/>
                <w:szCs w:val="18"/>
                <w:color w:val="auto"/>
                <w:vertAlign w:val="superscript"/>
              </w:rPr>
              <w:t>(9)</w:t>
            </w:r>
          </w:p>
        </w:tc>
        <w:tc>
          <w:tcPr>
            <w:tcW w:w="100" w:type="dxa"/>
            <w:vAlign w:val="bottom"/>
          </w:tcPr>
          <w:p>
            <w:pPr>
              <w:spacing w:after="0"/>
              <w:rPr>
                <w:sz w:val="16"/>
                <w:szCs w:val="16"/>
                <w:color w:val="auto"/>
              </w:rPr>
            </w:pPr>
          </w:p>
        </w:tc>
        <w:tc>
          <w:tcPr>
            <w:tcW w:w="1960" w:type="dxa"/>
            <w:vAlign w:val="bottom"/>
            <w:gridSpan w:val="2"/>
          </w:tcPr>
          <w:p>
            <w:pPr>
              <w:jc w:val="center"/>
              <w:ind w:right="100"/>
              <w:spacing w:after="0"/>
              <w:rPr>
                <w:sz w:val="20"/>
                <w:szCs w:val="20"/>
                <w:color w:val="auto"/>
              </w:rPr>
            </w:pPr>
            <w:r>
              <w:rPr>
                <w:rFonts w:ascii="Arial" w:cs="Arial" w:eastAsia="Arial" w:hAnsi="Arial"/>
                <w:sz w:val="14"/>
                <w:szCs w:val="14"/>
                <w:color w:val="auto"/>
                <w:w w:val="95"/>
              </w:rPr>
              <w:t>Global Innovation Platform</w:t>
            </w:r>
          </w:p>
        </w:tc>
        <w:tc>
          <w:tcPr>
            <w:tcW w:w="980" w:type="dxa"/>
            <w:vAlign w:val="bottom"/>
          </w:tcPr>
          <w:p>
            <w:pPr>
              <w:jc w:val="center"/>
              <w:spacing w:after="0"/>
              <w:rPr>
                <w:sz w:val="20"/>
                <w:szCs w:val="20"/>
                <w:color w:val="auto"/>
              </w:rPr>
            </w:pPr>
            <w:r>
              <w:rPr>
                <w:rFonts w:ascii="Arial" w:cs="Arial" w:eastAsia="Arial" w:hAnsi="Arial"/>
                <w:sz w:val="14"/>
                <w:szCs w:val="14"/>
                <w:color w:val="auto"/>
                <w:w w:val="93"/>
              </w:rPr>
              <w:t>8/23/2019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8,555,124</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2,235,598</w:t>
            </w: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0.51</w:t>
            </w:r>
          </w:p>
        </w:tc>
        <w:tc>
          <w:tcPr>
            <w:tcW w:w="160" w:type="dxa"/>
            <w:vAlign w:val="bottom"/>
          </w:tcPr>
          <w:p>
            <w:pPr>
              <w:jc w:val="right"/>
              <w:spacing w:after="0"/>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3540" w:type="dxa"/>
            <w:vAlign w:val="bottom"/>
            <w:gridSpan w:val="5"/>
            <w:shd w:val="clear" w:color="auto" w:fill="CCEEFF"/>
          </w:tcPr>
          <w:p>
            <w:pPr>
              <w:spacing w:after="0" w:line="189" w:lineRule="exact"/>
              <w:rPr>
                <w:sz w:val="20"/>
                <w:szCs w:val="20"/>
                <w:color w:val="auto"/>
              </w:rPr>
            </w:pPr>
            <w:r>
              <w:rPr>
                <w:rFonts w:ascii="Arial" w:cs="Arial" w:eastAsia="Arial" w:hAnsi="Arial"/>
                <w:sz w:val="14"/>
                <w:szCs w:val="14"/>
                <w:color w:val="auto"/>
              </w:rPr>
              <w:t>Convertible Promissory Note 8% Due 8/23/2024</w:t>
            </w:r>
            <w:r>
              <w:rPr>
                <w:rFonts w:ascii="Arial" w:cs="Arial" w:eastAsia="Arial" w:hAnsi="Arial"/>
                <w:sz w:val="18"/>
                <w:szCs w:val="18"/>
                <w:color w:val="auto"/>
                <w:vertAlign w:val="superscript"/>
              </w:rPr>
              <w:t>(4)(9)</w:t>
            </w:r>
          </w:p>
        </w:tc>
        <w:tc>
          <w:tcPr>
            <w:tcW w:w="100" w:type="dxa"/>
            <w:vAlign w:val="bottom"/>
            <w:shd w:val="clear" w:color="auto" w:fill="CCEEFF"/>
          </w:tcPr>
          <w:p>
            <w:pPr>
              <w:spacing w:after="0"/>
              <w:rPr>
                <w:sz w:val="16"/>
                <w:szCs w:val="16"/>
                <w:color w:val="auto"/>
              </w:rPr>
            </w:pPr>
          </w:p>
        </w:tc>
        <w:tc>
          <w:tcPr>
            <w:tcW w:w="1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2/17/2016</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1,010,198</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1,030,176</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505,099</w:t>
            </w: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0.12</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540" w:type="dxa"/>
            <w:vAlign w:val="bottom"/>
            <w:gridSpan w:val="5"/>
          </w:tcPr>
          <w:p>
            <w:pPr>
              <w:spacing w:after="0" w:line="135" w:lineRule="exact"/>
              <w:rPr>
                <w:sz w:val="20"/>
                <w:szCs w:val="20"/>
                <w:color w:val="auto"/>
              </w:rPr>
            </w:pPr>
            <w:r>
              <w:rPr>
                <w:rFonts w:ascii="Arial" w:cs="Arial" w:eastAsia="Arial" w:hAnsi="Arial"/>
                <w:sz w:val="14"/>
                <w:szCs w:val="14"/>
                <w:color w:val="auto"/>
                <w:w w:val="93"/>
              </w:rPr>
              <w:t>Preferred Warrants Series A-3, Strike Price $1.33, Expiration</w:t>
            </w:r>
          </w:p>
        </w:tc>
        <w:tc>
          <w:tcPr>
            <w:tcW w:w="10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vMerge w:val="restart"/>
          </w:tcPr>
          <w:p>
            <w:pPr>
              <w:jc w:val="center"/>
              <w:spacing w:after="0"/>
              <w:rPr>
                <w:sz w:val="20"/>
                <w:szCs w:val="20"/>
                <w:color w:val="auto"/>
              </w:rPr>
            </w:pPr>
            <w:r>
              <w:rPr>
                <w:rFonts w:ascii="Arial" w:cs="Arial" w:eastAsia="Arial" w:hAnsi="Arial"/>
                <w:sz w:val="14"/>
                <w:szCs w:val="14"/>
                <w:color w:val="auto"/>
                <w:w w:val="91"/>
              </w:rPr>
              <w:t>4/4/2014</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vMerge w:val="restart"/>
          </w:tcPr>
          <w:p>
            <w:pPr>
              <w:jc w:val="right"/>
              <w:ind w:right="8"/>
              <w:spacing w:after="0"/>
              <w:rPr>
                <w:sz w:val="20"/>
                <w:szCs w:val="20"/>
                <w:color w:val="auto"/>
              </w:rPr>
            </w:pPr>
            <w:r>
              <w:rPr>
                <w:rFonts w:ascii="Arial" w:cs="Arial" w:eastAsia="Arial" w:hAnsi="Arial"/>
                <w:sz w:val="14"/>
                <w:szCs w:val="14"/>
                <w:color w:val="auto"/>
              </w:rPr>
              <w:t>187,500</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6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10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920" w:type="dxa"/>
            <w:vAlign w:val="bottom"/>
            <w:gridSpan w:val="2"/>
            <w:vMerge w:val="restart"/>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540" w:type="dxa"/>
            <w:vAlign w:val="bottom"/>
            <w:gridSpan w:val="5"/>
          </w:tcPr>
          <w:p>
            <w:pPr>
              <w:spacing w:after="0"/>
              <w:rPr>
                <w:sz w:val="20"/>
                <w:szCs w:val="20"/>
                <w:color w:val="auto"/>
              </w:rPr>
            </w:pPr>
            <w:r>
              <w:rPr>
                <w:rFonts w:ascii="Arial" w:cs="Arial" w:eastAsia="Arial" w:hAnsi="Arial"/>
                <w:sz w:val="14"/>
                <w:szCs w:val="14"/>
                <w:color w:val="auto"/>
              </w:rPr>
              <w:t>Date 4/4/2021</w:t>
            </w:r>
          </w:p>
        </w:tc>
        <w:tc>
          <w:tcPr>
            <w:tcW w:w="10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20" w:type="dxa"/>
            <w:vAlign w:val="bottom"/>
            <w:shd w:val="clear" w:color="auto" w:fill="CCEEFF"/>
          </w:tcPr>
          <w:p>
            <w:pPr>
              <w:spacing w:after="0"/>
              <w:rPr>
                <w:sz w:val="12"/>
                <w:szCs w:val="12"/>
                <w:color w:val="auto"/>
              </w:rPr>
            </w:pPr>
          </w:p>
        </w:tc>
        <w:tc>
          <w:tcPr>
            <w:tcW w:w="3540" w:type="dxa"/>
            <w:vAlign w:val="bottom"/>
            <w:gridSpan w:val="5"/>
            <w:shd w:val="clear" w:color="auto" w:fill="CCEEFF"/>
          </w:tcPr>
          <w:p>
            <w:pPr>
              <w:spacing w:after="0" w:line="139" w:lineRule="exact"/>
              <w:rPr>
                <w:sz w:val="20"/>
                <w:szCs w:val="20"/>
                <w:color w:val="auto"/>
              </w:rPr>
            </w:pPr>
            <w:r>
              <w:rPr>
                <w:rFonts w:ascii="Arial" w:cs="Arial" w:eastAsia="Arial" w:hAnsi="Arial"/>
                <w:sz w:val="14"/>
                <w:szCs w:val="14"/>
                <w:color w:val="auto"/>
                <w:w w:val="93"/>
              </w:rPr>
              <w:t>Preferred Warrants Series A-4, Strike Price $1.33, Expiration</w:t>
            </w:r>
          </w:p>
        </w:tc>
        <w:tc>
          <w:tcPr>
            <w:tcW w:w="100" w:type="dxa"/>
            <w:vAlign w:val="bottom"/>
            <w:shd w:val="clear" w:color="auto" w:fill="CCEEFF"/>
          </w:tcPr>
          <w:p>
            <w:pPr>
              <w:spacing w:after="0"/>
              <w:rPr>
                <w:sz w:val="12"/>
                <w:szCs w:val="12"/>
                <w:color w:val="auto"/>
              </w:rPr>
            </w:pPr>
          </w:p>
        </w:tc>
        <w:tc>
          <w:tcPr>
            <w:tcW w:w="1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3"/>
              </w:rPr>
              <w:t>10/6/2014</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500,000</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42,500</w:t>
            </w:r>
          </w:p>
        </w:tc>
        <w:tc>
          <w:tcPr>
            <w:tcW w:w="10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0.01</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3540" w:type="dxa"/>
            <w:vAlign w:val="bottom"/>
            <w:gridSpan w:val="5"/>
            <w:shd w:val="clear" w:color="auto" w:fill="CCEEFF"/>
          </w:tcPr>
          <w:p>
            <w:pPr>
              <w:spacing w:after="0"/>
              <w:rPr>
                <w:sz w:val="20"/>
                <w:szCs w:val="20"/>
                <w:color w:val="auto"/>
              </w:rPr>
            </w:pPr>
            <w:r>
              <w:rPr>
                <w:rFonts w:ascii="Arial" w:cs="Arial" w:eastAsia="Arial" w:hAnsi="Arial"/>
                <w:sz w:val="14"/>
                <w:szCs w:val="14"/>
                <w:color w:val="auto"/>
              </w:rPr>
              <w:t>Date 10/6/2021</w:t>
            </w:r>
          </w:p>
        </w:tc>
        <w:tc>
          <w:tcPr>
            <w:tcW w:w="100" w:type="dxa"/>
            <w:vAlign w:val="bottom"/>
            <w:shd w:val="clear" w:color="auto" w:fill="CCEEFF"/>
          </w:tcPr>
          <w:p>
            <w:pPr>
              <w:spacing w:after="0"/>
              <w:rPr>
                <w:sz w:val="16"/>
                <w:szCs w:val="16"/>
                <w:color w:val="auto"/>
              </w:rPr>
            </w:pPr>
          </w:p>
        </w:tc>
        <w:tc>
          <w:tcPr>
            <w:tcW w:w="1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6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1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540" w:type="dxa"/>
            <w:vAlign w:val="bottom"/>
            <w:gridSpan w:val="5"/>
          </w:tcPr>
          <w:p>
            <w:pPr>
              <w:spacing w:after="0" w:line="135" w:lineRule="exact"/>
              <w:rPr>
                <w:sz w:val="20"/>
                <w:szCs w:val="20"/>
                <w:color w:val="auto"/>
              </w:rPr>
            </w:pPr>
            <w:r>
              <w:rPr>
                <w:rFonts w:ascii="Arial" w:cs="Arial" w:eastAsia="Arial" w:hAnsi="Arial"/>
                <w:sz w:val="14"/>
                <w:szCs w:val="14"/>
                <w:color w:val="auto"/>
                <w:w w:val="93"/>
              </w:rPr>
              <w:t>Preferred Warrants Series A-4, Strike Price $1.33, Expiration</w:t>
            </w:r>
          </w:p>
        </w:tc>
        <w:tc>
          <w:tcPr>
            <w:tcW w:w="10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vMerge w:val="restart"/>
          </w:tcPr>
          <w:p>
            <w:pPr>
              <w:jc w:val="center"/>
              <w:spacing w:after="0"/>
              <w:rPr>
                <w:sz w:val="20"/>
                <w:szCs w:val="20"/>
                <w:color w:val="auto"/>
              </w:rPr>
            </w:pPr>
            <w:r>
              <w:rPr>
                <w:rFonts w:ascii="Arial" w:cs="Arial" w:eastAsia="Arial" w:hAnsi="Arial"/>
                <w:sz w:val="14"/>
                <w:szCs w:val="14"/>
                <w:color w:val="auto"/>
                <w:w w:val="91"/>
              </w:rPr>
              <w:t>7/8/2016</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vMerge w:val="restart"/>
          </w:tcPr>
          <w:p>
            <w:pPr>
              <w:jc w:val="right"/>
              <w:ind w:right="8"/>
              <w:spacing w:after="0"/>
              <w:rPr>
                <w:sz w:val="20"/>
                <w:szCs w:val="20"/>
                <w:color w:val="auto"/>
              </w:rPr>
            </w:pPr>
            <w:r>
              <w:rPr>
                <w:rFonts w:ascii="Arial" w:cs="Arial" w:eastAsia="Arial" w:hAnsi="Arial"/>
                <w:sz w:val="14"/>
                <w:szCs w:val="14"/>
                <w:color w:val="auto"/>
              </w:rPr>
              <w:t>250,000</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vMerge w:val="restart"/>
          </w:tcPr>
          <w:p>
            <w:pPr>
              <w:jc w:val="right"/>
              <w:ind w:right="8"/>
              <w:spacing w:after="0"/>
              <w:rPr>
                <w:sz w:val="20"/>
                <w:szCs w:val="20"/>
                <w:color w:val="auto"/>
              </w:rPr>
            </w:pPr>
            <w:r>
              <w:rPr>
                <w:rFonts w:ascii="Arial" w:cs="Arial" w:eastAsia="Arial" w:hAnsi="Arial"/>
                <w:sz w:val="14"/>
                <w:szCs w:val="14"/>
                <w:color w:val="auto"/>
              </w:rPr>
              <w:t>74,380</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16,250</w:t>
            </w:r>
          </w:p>
        </w:tc>
        <w:tc>
          <w:tcPr>
            <w:tcW w:w="100" w:type="dxa"/>
            <w:vAlign w:val="bottom"/>
          </w:tcPr>
          <w:p>
            <w:pPr>
              <w:spacing w:after="0"/>
              <w:rPr>
                <w:sz w:val="11"/>
                <w:szCs w:val="11"/>
                <w:color w:val="auto"/>
              </w:rPr>
            </w:pPr>
          </w:p>
        </w:tc>
        <w:tc>
          <w:tcPr>
            <w:tcW w:w="920" w:type="dxa"/>
            <w:vAlign w:val="bottom"/>
            <w:gridSpan w:val="2"/>
            <w:vMerge w:val="restart"/>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540" w:type="dxa"/>
            <w:vAlign w:val="bottom"/>
            <w:gridSpan w:val="5"/>
          </w:tcPr>
          <w:p>
            <w:pPr>
              <w:spacing w:after="0"/>
              <w:rPr>
                <w:sz w:val="20"/>
                <w:szCs w:val="20"/>
                <w:color w:val="auto"/>
              </w:rPr>
            </w:pPr>
            <w:r>
              <w:rPr>
                <w:rFonts w:ascii="Arial" w:cs="Arial" w:eastAsia="Arial" w:hAnsi="Arial"/>
                <w:sz w:val="14"/>
                <w:szCs w:val="14"/>
                <w:color w:val="auto"/>
              </w:rPr>
              <w:t>Date 7/18/2021</w:t>
            </w:r>
          </w:p>
        </w:tc>
        <w:tc>
          <w:tcPr>
            <w:tcW w:w="10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20" w:type="dxa"/>
            <w:vAlign w:val="bottom"/>
            <w:shd w:val="clear" w:color="auto" w:fill="CCEEFF"/>
          </w:tcPr>
          <w:p>
            <w:pPr>
              <w:spacing w:after="0"/>
              <w:rPr>
                <w:sz w:val="12"/>
                <w:szCs w:val="12"/>
                <w:color w:val="auto"/>
              </w:rPr>
            </w:pPr>
          </w:p>
        </w:tc>
        <w:tc>
          <w:tcPr>
            <w:tcW w:w="3540" w:type="dxa"/>
            <w:vAlign w:val="bottom"/>
            <w:gridSpan w:val="5"/>
            <w:shd w:val="clear" w:color="auto" w:fill="CCEEFF"/>
          </w:tcPr>
          <w:p>
            <w:pPr>
              <w:spacing w:after="0" w:line="139" w:lineRule="exact"/>
              <w:rPr>
                <w:sz w:val="20"/>
                <w:szCs w:val="20"/>
                <w:color w:val="auto"/>
              </w:rPr>
            </w:pPr>
            <w:r>
              <w:rPr>
                <w:rFonts w:ascii="Arial" w:cs="Arial" w:eastAsia="Arial" w:hAnsi="Arial"/>
                <w:sz w:val="14"/>
                <w:szCs w:val="14"/>
                <w:color w:val="auto"/>
                <w:w w:val="96"/>
              </w:rPr>
              <w:t>Preferred Warrants Series B, Strike Price $2.31, Expiration</w:t>
            </w:r>
          </w:p>
        </w:tc>
        <w:tc>
          <w:tcPr>
            <w:tcW w:w="100" w:type="dxa"/>
            <w:vAlign w:val="bottom"/>
            <w:shd w:val="clear" w:color="auto" w:fill="CCEEFF"/>
          </w:tcPr>
          <w:p>
            <w:pPr>
              <w:spacing w:after="0"/>
              <w:rPr>
                <w:sz w:val="12"/>
                <w:szCs w:val="12"/>
                <w:color w:val="auto"/>
              </w:rPr>
            </w:pPr>
          </w:p>
        </w:tc>
        <w:tc>
          <w:tcPr>
            <w:tcW w:w="1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4"/>
              </w:rPr>
              <w:t>11/29/2016</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100,000</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29,275</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2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3540" w:type="dxa"/>
            <w:vAlign w:val="bottom"/>
            <w:gridSpan w:val="5"/>
            <w:shd w:val="clear" w:color="auto" w:fill="CCEEFF"/>
          </w:tcPr>
          <w:p>
            <w:pPr>
              <w:spacing w:after="0"/>
              <w:rPr>
                <w:sz w:val="20"/>
                <w:szCs w:val="20"/>
                <w:color w:val="auto"/>
              </w:rPr>
            </w:pPr>
            <w:r>
              <w:rPr>
                <w:rFonts w:ascii="Arial" w:cs="Arial" w:eastAsia="Arial" w:hAnsi="Arial"/>
                <w:sz w:val="14"/>
                <w:szCs w:val="14"/>
                <w:color w:val="auto"/>
              </w:rPr>
              <w:t>Date 11/29/2021</w:t>
            </w:r>
          </w:p>
        </w:tc>
        <w:tc>
          <w:tcPr>
            <w:tcW w:w="100" w:type="dxa"/>
            <w:vAlign w:val="bottom"/>
            <w:shd w:val="clear" w:color="auto" w:fill="CCEEFF"/>
          </w:tcPr>
          <w:p>
            <w:pPr>
              <w:spacing w:after="0"/>
              <w:rPr>
                <w:sz w:val="16"/>
                <w:szCs w:val="16"/>
                <w:color w:val="auto"/>
              </w:rPr>
            </w:pPr>
          </w:p>
        </w:tc>
        <w:tc>
          <w:tcPr>
            <w:tcW w:w="1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40" w:type="dxa"/>
            <w:vAlign w:val="bottom"/>
            <w:gridSpan w:val="2"/>
            <w:vMerge w:val="continue"/>
            <w:shd w:val="clear" w:color="auto" w:fill="CCEEFF"/>
          </w:tcPr>
          <w:p>
            <w:pPr>
              <w:spacing w:after="0"/>
              <w:rPr>
                <w:sz w:val="16"/>
                <w:szCs w:val="16"/>
                <w:color w:val="auto"/>
              </w:rPr>
            </w:pPr>
          </w:p>
        </w:tc>
        <w:tc>
          <w:tcPr>
            <w:tcW w:w="920" w:type="dxa"/>
            <w:vAlign w:val="bottom"/>
            <w:gridSpan w:val="2"/>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540" w:type="dxa"/>
            <w:vAlign w:val="bottom"/>
            <w:gridSpan w:val="5"/>
          </w:tcPr>
          <w:p>
            <w:pPr>
              <w:spacing w:after="0" w:line="135" w:lineRule="exact"/>
              <w:rPr>
                <w:sz w:val="20"/>
                <w:szCs w:val="20"/>
                <w:color w:val="auto"/>
              </w:rPr>
            </w:pPr>
            <w:r>
              <w:rPr>
                <w:rFonts w:ascii="Arial" w:cs="Arial" w:eastAsia="Arial" w:hAnsi="Arial"/>
                <w:sz w:val="14"/>
                <w:szCs w:val="14"/>
                <w:color w:val="auto"/>
                <w:w w:val="98"/>
              </w:rPr>
              <w:t>Preferred Warrant Series B, Strike Price $2.31, Expiration</w:t>
            </w:r>
          </w:p>
        </w:tc>
        <w:tc>
          <w:tcPr>
            <w:tcW w:w="10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vMerge w:val="restart"/>
          </w:tcPr>
          <w:p>
            <w:pPr>
              <w:jc w:val="center"/>
              <w:spacing w:after="0"/>
              <w:rPr>
                <w:sz w:val="20"/>
                <w:szCs w:val="20"/>
                <w:color w:val="auto"/>
              </w:rPr>
            </w:pPr>
            <w:r>
              <w:rPr>
                <w:rFonts w:ascii="Arial" w:cs="Arial" w:eastAsia="Arial" w:hAnsi="Arial"/>
                <w:sz w:val="14"/>
                <w:szCs w:val="14"/>
                <w:color w:val="auto"/>
                <w:w w:val="93"/>
              </w:rPr>
              <w:t>5/29/2017</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vMerge w:val="restart"/>
          </w:tcPr>
          <w:p>
            <w:pPr>
              <w:jc w:val="right"/>
              <w:ind w:right="8"/>
              <w:spacing w:after="0"/>
              <w:rPr>
                <w:sz w:val="20"/>
                <w:szCs w:val="20"/>
                <w:color w:val="auto"/>
              </w:rPr>
            </w:pPr>
            <w:r>
              <w:rPr>
                <w:rFonts w:ascii="Arial" w:cs="Arial" w:eastAsia="Arial" w:hAnsi="Arial"/>
                <w:sz w:val="14"/>
                <w:szCs w:val="14"/>
                <w:color w:val="auto"/>
              </w:rPr>
              <w:t>125,000</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vMerge w:val="restart"/>
          </w:tcPr>
          <w:p>
            <w:pPr>
              <w:jc w:val="right"/>
              <w:ind w:right="8"/>
              <w:spacing w:after="0"/>
              <w:rPr>
                <w:sz w:val="20"/>
                <w:szCs w:val="20"/>
                <w:color w:val="auto"/>
              </w:rPr>
            </w:pPr>
            <w:r>
              <w:rPr>
                <w:rFonts w:ascii="Arial" w:cs="Arial" w:eastAsia="Arial" w:hAnsi="Arial"/>
                <w:sz w:val="14"/>
                <w:szCs w:val="14"/>
                <w:color w:val="auto"/>
              </w:rPr>
              <w:t>70,379</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920" w:type="dxa"/>
            <w:vAlign w:val="bottom"/>
            <w:gridSpan w:val="2"/>
            <w:vMerge w:val="restart"/>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540" w:type="dxa"/>
            <w:vAlign w:val="bottom"/>
            <w:gridSpan w:val="5"/>
          </w:tcPr>
          <w:p>
            <w:pPr>
              <w:spacing w:after="0"/>
              <w:rPr>
                <w:sz w:val="20"/>
                <w:szCs w:val="20"/>
                <w:color w:val="auto"/>
              </w:rPr>
            </w:pPr>
            <w:r>
              <w:rPr>
                <w:rFonts w:ascii="Arial" w:cs="Arial" w:eastAsia="Arial" w:hAnsi="Arial"/>
                <w:sz w:val="14"/>
                <w:szCs w:val="14"/>
                <w:color w:val="auto"/>
              </w:rPr>
              <w:t>Date 5/29/2022</w:t>
            </w:r>
          </w:p>
        </w:tc>
        <w:tc>
          <w:tcPr>
            <w:tcW w:w="10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20" w:type="dxa"/>
            <w:vAlign w:val="bottom"/>
            <w:shd w:val="clear" w:color="auto" w:fill="CCEEFF"/>
          </w:tcPr>
          <w:p>
            <w:pPr>
              <w:spacing w:after="0"/>
              <w:rPr>
                <w:sz w:val="12"/>
                <w:szCs w:val="12"/>
                <w:color w:val="auto"/>
              </w:rPr>
            </w:pPr>
          </w:p>
        </w:tc>
        <w:tc>
          <w:tcPr>
            <w:tcW w:w="3540" w:type="dxa"/>
            <w:vAlign w:val="bottom"/>
            <w:gridSpan w:val="5"/>
            <w:shd w:val="clear" w:color="auto" w:fill="CCEEFF"/>
          </w:tcPr>
          <w:p>
            <w:pPr>
              <w:spacing w:after="0" w:line="139" w:lineRule="exact"/>
              <w:rPr>
                <w:sz w:val="20"/>
                <w:szCs w:val="20"/>
                <w:color w:val="auto"/>
              </w:rPr>
            </w:pPr>
            <w:r>
              <w:rPr>
                <w:rFonts w:ascii="Arial" w:cs="Arial" w:eastAsia="Arial" w:hAnsi="Arial"/>
                <w:sz w:val="14"/>
                <w:szCs w:val="14"/>
                <w:color w:val="auto"/>
                <w:w w:val="98"/>
              </w:rPr>
              <w:t>Preferred Warrant Series B, Strike Price $2.31, Expiration</w:t>
            </w:r>
          </w:p>
        </w:tc>
        <w:tc>
          <w:tcPr>
            <w:tcW w:w="100" w:type="dxa"/>
            <w:vAlign w:val="bottom"/>
            <w:shd w:val="clear" w:color="auto" w:fill="CCEEFF"/>
          </w:tcPr>
          <w:p>
            <w:pPr>
              <w:spacing w:after="0"/>
              <w:rPr>
                <w:sz w:val="12"/>
                <w:szCs w:val="12"/>
                <w:color w:val="auto"/>
              </w:rPr>
            </w:pPr>
          </w:p>
        </w:tc>
        <w:tc>
          <w:tcPr>
            <w:tcW w:w="1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4"/>
              </w:rPr>
              <w:t>12/31/2018</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250,000</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5,080</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5,000</w:t>
            </w:r>
          </w:p>
        </w:tc>
        <w:tc>
          <w:tcPr>
            <w:tcW w:w="100" w:type="dxa"/>
            <w:vAlign w:val="bottom"/>
            <w:shd w:val="clear" w:color="auto" w:fill="CCEEFF"/>
          </w:tcPr>
          <w:p>
            <w:pPr>
              <w:spacing w:after="0"/>
              <w:rPr>
                <w:sz w:val="12"/>
                <w:szCs w:val="12"/>
                <w:color w:val="auto"/>
              </w:rPr>
            </w:pPr>
          </w:p>
        </w:tc>
        <w:tc>
          <w:tcPr>
            <w:tcW w:w="92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3540" w:type="dxa"/>
            <w:vAlign w:val="bottom"/>
            <w:gridSpan w:val="5"/>
            <w:shd w:val="clear" w:color="auto" w:fill="CCEEFF"/>
          </w:tcPr>
          <w:p>
            <w:pPr>
              <w:spacing w:after="0"/>
              <w:rPr>
                <w:sz w:val="20"/>
                <w:szCs w:val="20"/>
                <w:color w:val="auto"/>
              </w:rPr>
            </w:pPr>
            <w:r>
              <w:rPr>
                <w:rFonts w:ascii="Arial" w:cs="Arial" w:eastAsia="Arial" w:hAnsi="Arial"/>
                <w:sz w:val="14"/>
                <w:szCs w:val="14"/>
                <w:color w:val="auto"/>
              </w:rPr>
              <w:t>Date 12/31/2023</w:t>
            </w:r>
          </w:p>
        </w:tc>
        <w:tc>
          <w:tcPr>
            <w:tcW w:w="100" w:type="dxa"/>
            <w:vAlign w:val="bottom"/>
            <w:shd w:val="clear" w:color="auto" w:fill="CCEEFF"/>
          </w:tcPr>
          <w:p>
            <w:pPr>
              <w:spacing w:after="0"/>
              <w:rPr>
                <w:sz w:val="16"/>
                <w:szCs w:val="16"/>
                <w:color w:val="auto"/>
              </w:rPr>
            </w:pPr>
          </w:p>
        </w:tc>
        <w:tc>
          <w:tcPr>
            <w:tcW w:w="1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tcBorders>
              <w:bottom w:val="single" w:sz="8" w:color="auto"/>
            </w:tcBorders>
            <w:gridSpan w:val="2"/>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20" w:type="dxa"/>
            <w:vAlign w:val="bottom"/>
            <w:tcBorders>
              <w:bottom w:val="single" w:sz="8" w:color="CCEEFF"/>
            </w:tcBorders>
          </w:tcPr>
          <w:p>
            <w:pPr>
              <w:spacing w:after="0"/>
              <w:rPr>
                <w:sz w:val="15"/>
                <w:szCs w:val="15"/>
                <w:color w:val="auto"/>
              </w:rPr>
            </w:pPr>
          </w:p>
        </w:tc>
        <w:tc>
          <w:tcPr>
            <w:tcW w:w="3540" w:type="dxa"/>
            <w:vAlign w:val="bottom"/>
            <w:tcBorders>
              <w:bottom w:val="single" w:sz="8" w:color="CCEEFF"/>
            </w:tcBorders>
            <w:gridSpan w:val="5"/>
          </w:tcPr>
          <w:p>
            <w:pPr>
              <w:ind w:left="120"/>
              <w:spacing w:after="0"/>
              <w:rPr>
                <w:sz w:val="20"/>
                <w:szCs w:val="20"/>
                <w:color w:val="auto"/>
              </w:rPr>
            </w:pPr>
            <w:r>
              <w:rPr>
                <w:rFonts w:ascii="Arial" w:cs="Arial" w:eastAsia="Arial" w:hAnsi="Arial"/>
                <w:sz w:val="14"/>
                <w:szCs w:val="14"/>
                <w:color w:val="auto"/>
              </w:rPr>
              <w:t>Total</w:t>
            </w:r>
          </w:p>
        </w:tc>
        <w:tc>
          <w:tcPr>
            <w:tcW w:w="100" w:type="dxa"/>
            <w:vAlign w:val="bottom"/>
            <w:tcBorders>
              <w:bottom w:val="single" w:sz="8" w:color="CCEEFF"/>
            </w:tcBorders>
          </w:tcPr>
          <w:p>
            <w:pPr>
              <w:spacing w:after="0"/>
              <w:rPr>
                <w:sz w:val="15"/>
                <w:szCs w:val="15"/>
                <w:color w:val="auto"/>
              </w:rPr>
            </w:pPr>
          </w:p>
        </w:tc>
        <w:tc>
          <w:tcPr>
            <w:tcW w:w="186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98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94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9,764,414</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2,804,447</w:t>
            </w:r>
          </w:p>
        </w:tc>
        <w:tc>
          <w:tcPr>
            <w:tcW w:w="100" w:type="dxa"/>
            <w:vAlign w:val="bottom"/>
            <w:tcBorders>
              <w:bottom w:val="single" w:sz="8" w:color="CCEEFF"/>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0.64</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132"/>
        </w:trPr>
        <w:tc>
          <w:tcPr>
            <w:tcW w:w="20" w:type="dxa"/>
            <w:vAlign w:val="bottom"/>
            <w:shd w:val="clear" w:color="auto" w:fill="CCEEFF"/>
          </w:tcPr>
          <w:p>
            <w:pPr>
              <w:spacing w:after="0"/>
              <w:rPr>
                <w:sz w:val="11"/>
                <w:szCs w:val="11"/>
                <w:color w:val="auto"/>
              </w:rPr>
            </w:pPr>
          </w:p>
        </w:tc>
        <w:tc>
          <w:tcPr>
            <w:tcW w:w="3540" w:type="dxa"/>
            <w:vAlign w:val="bottom"/>
            <w:gridSpan w:val="5"/>
            <w:shd w:val="clear" w:color="auto" w:fill="CCEEFF"/>
          </w:tcPr>
          <w:p>
            <w:pPr>
              <w:spacing w:after="0" w:line="132" w:lineRule="exact"/>
              <w:rPr>
                <w:sz w:val="20"/>
                <w:szCs w:val="20"/>
                <w:color w:val="auto"/>
              </w:rPr>
            </w:pPr>
            <w:r>
              <w:rPr>
                <w:rFonts w:ascii="Arial" w:cs="Arial" w:eastAsia="Arial" w:hAnsi="Arial"/>
                <w:sz w:val="14"/>
                <w:szCs w:val="14"/>
                <w:b w:val="1"/>
                <w:bCs w:val="1"/>
                <w:color w:val="auto"/>
              </w:rPr>
              <w:t>CUX, Inc. (d/b/a CorpU)</w:t>
            </w:r>
          </w:p>
        </w:tc>
        <w:tc>
          <w:tcPr>
            <w:tcW w:w="100" w:type="dxa"/>
            <w:vAlign w:val="bottom"/>
            <w:shd w:val="clear" w:color="auto" w:fill="CCEEFF"/>
          </w:tcPr>
          <w:p>
            <w:pPr>
              <w:spacing w:after="0"/>
              <w:rPr>
                <w:sz w:val="11"/>
                <w:szCs w:val="11"/>
                <w:color w:val="auto"/>
              </w:rPr>
            </w:pPr>
          </w:p>
        </w:tc>
        <w:tc>
          <w:tcPr>
            <w:tcW w:w="1960" w:type="dxa"/>
            <w:vAlign w:val="bottom"/>
            <w:gridSpan w:val="2"/>
            <w:shd w:val="clear" w:color="auto" w:fill="CCEEFF"/>
          </w:tcPr>
          <w:p>
            <w:pPr>
              <w:jc w:val="center"/>
              <w:ind w:right="80"/>
              <w:spacing w:after="0" w:line="132" w:lineRule="exact"/>
              <w:rPr>
                <w:sz w:val="20"/>
                <w:szCs w:val="20"/>
                <w:color w:val="auto"/>
              </w:rPr>
            </w:pPr>
            <w:r>
              <w:rPr>
                <w:rFonts w:ascii="Arial" w:cs="Arial" w:eastAsia="Arial" w:hAnsi="Arial"/>
                <w:sz w:val="14"/>
                <w:szCs w:val="14"/>
                <w:color w:val="auto"/>
                <w:w w:val="93"/>
              </w:rPr>
              <w:t>Philadelphia, PA</w:t>
            </w:r>
          </w:p>
        </w:tc>
        <w:tc>
          <w:tcPr>
            <w:tcW w:w="9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3540" w:type="dxa"/>
            <w:vAlign w:val="bottom"/>
            <w:gridSpan w:val="5"/>
          </w:tcPr>
          <w:p>
            <w:pPr>
              <w:spacing w:after="0" w:line="135" w:lineRule="exact"/>
              <w:rPr>
                <w:sz w:val="20"/>
                <w:szCs w:val="20"/>
                <w:color w:val="auto"/>
              </w:rPr>
            </w:pPr>
            <w:r>
              <w:rPr>
                <w:rFonts w:ascii="Arial" w:cs="Arial" w:eastAsia="Arial" w:hAnsi="Arial"/>
                <w:sz w:val="14"/>
                <w:szCs w:val="14"/>
                <w:color w:val="auto"/>
                <w:w w:val="96"/>
              </w:rPr>
              <w:t>Senior Subordinated Convertible Promissory Note 4% Due</w:t>
            </w:r>
          </w:p>
        </w:tc>
        <w:tc>
          <w:tcPr>
            <w:tcW w:w="100" w:type="dxa"/>
            <w:vAlign w:val="bottom"/>
          </w:tcPr>
          <w:p>
            <w:pPr>
              <w:spacing w:after="0"/>
              <w:rPr>
                <w:sz w:val="11"/>
                <w:szCs w:val="11"/>
                <w:color w:val="auto"/>
              </w:rPr>
            </w:pPr>
          </w:p>
        </w:tc>
        <w:tc>
          <w:tcPr>
            <w:tcW w:w="1960" w:type="dxa"/>
            <w:vAlign w:val="bottom"/>
            <w:gridSpan w:val="2"/>
            <w:vMerge w:val="restart"/>
          </w:tcPr>
          <w:p>
            <w:pPr>
              <w:jc w:val="center"/>
              <w:ind w:right="100"/>
              <w:spacing w:after="0"/>
              <w:rPr>
                <w:sz w:val="20"/>
                <w:szCs w:val="20"/>
                <w:color w:val="auto"/>
              </w:rPr>
            </w:pPr>
            <w:r>
              <w:rPr>
                <w:rFonts w:ascii="Arial" w:cs="Arial" w:eastAsia="Arial" w:hAnsi="Arial"/>
                <w:sz w:val="14"/>
                <w:szCs w:val="14"/>
                <w:color w:val="auto"/>
                <w:w w:val="91"/>
              </w:rPr>
              <w:t>Corporate Education</w:t>
            </w:r>
          </w:p>
        </w:tc>
        <w:tc>
          <w:tcPr>
            <w:tcW w:w="980" w:type="dxa"/>
            <w:vAlign w:val="bottom"/>
            <w:vMerge w:val="restart"/>
          </w:tcPr>
          <w:p>
            <w:pPr>
              <w:jc w:val="center"/>
              <w:spacing w:after="0"/>
              <w:rPr>
                <w:sz w:val="20"/>
                <w:szCs w:val="20"/>
                <w:color w:val="auto"/>
              </w:rPr>
            </w:pPr>
            <w:r>
              <w:rPr>
                <w:rFonts w:ascii="Arial" w:cs="Arial" w:eastAsia="Arial" w:hAnsi="Arial"/>
                <w:sz w:val="14"/>
                <w:szCs w:val="14"/>
                <w:color w:val="auto"/>
                <w:w w:val="94"/>
              </w:rPr>
              <w:t>11/26/2014</w:t>
            </w:r>
          </w:p>
        </w:tc>
        <w:tc>
          <w:tcPr>
            <w:tcW w:w="100" w:type="dxa"/>
            <w:vAlign w:val="bottom"/>
          </w:tcPr>
          <w:p>
            <w:pPr>
              <w:spacing w:after="0"/>
              <w:rPr>
                <w:sz w:val="11"/>
                <w:szCs w:val="11"/>
                <w:color w:val="auto"/>
              </w:rPr>
            </w:pPr>
          </w:p>
        </w:tc>
        <w:tc>
          <w:tcPr>
            <w:tcW w:w="18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940" w:type="dxa"/>
            <w:vAlign w:val="bottom"/>
            <w:vMerge w:val="restart"/>
          </w:tcPr>
          <w:p>
            <w:pPr>
              <w:jc w:val="right"/>
              <w:ind w:right="8"/>
              <w:spacing w:after="0"/>
              <w:rPr>
                <w:sz w:val="20"/>
                <w:szCs w:val="20"/>
                <w:color w:val="auto"/>
              </w:rPr>
            </w:pPr>
            <w:r>
              <w:rPr>
                <w:rFonts w:ascii="Arial" w:cs="Arial" w:eastAsia="Arial" w:hAnsi="Arial"/>
                <w:sz w:val="14"/>
                <w:szCs w:val="14"/>
                <w:color w:val="auto"/>
              </w:rPr>
              <w:t>1,251,158</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vMerge w:val="restart"/>
          </w:tcPr>
          <w:p>
            <w:pPr>
              <w:jc w:val="right"/>
              <w:ind w:right="8"/>
              <w:spacing w:after="0"/>
              <w:rPr>
                <w:sz w:val="20"/>
                <w:szCs w:val="20"/>
                <w:color w:val="auto"/>
              </w:rPr>
            </w:pPr>
            <w:r>
              <w:rPr>
                <w:rFonts w:ascii="Arial" w:cs="Arial" w:eastAsia="Arial" w:hAnsi="Arial"/>
                <w:sz w:val="14"/>
                <w:szCs w:val="14"/>
                <w:color w:val="auto"/>
              </w:rPr>
              <w:t>1,256,191</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312,790</w:t>
            </w:r>
          </w:p>
        </w:tc>
        <w:tc>
          <w:tcPr>
            <w:tcW w:w="10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0.07</w:t>
            </w: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189"/>
        </w:trPr>
        <w:tc>
          <w:tcPr>
            <w:tcW w:w="1120" w:type="dxa"/>
            <w:vAlign w:val="bottom"/>
            <w:gridSpan w:val="2"/>
          </w:tcPr>
          <w:p>
            <w:pPr>
              <w:ind w:left="20"/>
              <w:spacing w:after="0" w:line="189" w:lineRule="exact"/>
              <w:rPr>
                <w:sz w:val="20"/>
                <w:szCs w:val="20"/>
                <w:color w:val="auto"/>
              </w:rPr>
            </w:pPr>
            <w:r>
              <w:rPr>
                <w:rFonts w:ascii="Arial" w:cs="Arial" w:eastAsia="Arial" w:hAnsi="Arial"/>
                <w:sz w:val="14"/>
                <w:szCs w:val="14"/>
                <w:color w:val="auto"/>
              </w:rPr>
              <w:t>2/14/2023</w:t>
            </w:r>
            <w:r>
              <w:rPr>
                <w:rFonts w:ascii="Arial" w:cs="Arial" w:eastAsia="Arial" w:hAnsi="Arial"/>
                <w:sz w:val="18"/>
                <w:szCs w:val="18"/>
                <w:color w:val="auto"/>
                <w:vertAlign w:val="superscript"/>
              </w:rPr>
              <w:t>(4)</w:t>
            </w: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60" w:type="dxa"/>
            <w:vAlign w:val="bottom"/>
            <w:gridSpan w:val="2"/>
            <w:vMerge w:val="continue"/>
          </w:tcPr>
          <w:p>
            <w:pPr>
              <w:spacing w:after="0"/>
              <w:rPr>
                <w:sz w:val="16"/>
                <w:szCs w:val="16"/>
                <w:color w:val="auto"/>
              </w:rPr>
            </w:pPr>
          </w:p>
        </w:tc>
        <w:tc>
          <w:tcPr>
            <w:tcW w:w="9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3540" w:type="dxa"/>
            <w:vAlign w:val="bottom"/>
            <w:gridSpan w:val="5"/>
            <w:shd w:val="clear" w:color="auto" w:fill="CCEEFF"/>
          </w:tcPr>
          <w:p>
            <w:pPr>
              <w:spacing w:after="0"/>
              <w:rPr>
                <w:sz w:val="20"/>
                <w:szCs w:val="20"/>
                <w:color w:val="auto"/>
              </w:rPr>
            </w:pPr>
            <w:r>
              <w:rPr>
                <w:rFonts w:ascii="Arial" w:cs="Arial" w:eastAsia="Arial" w:hAnsi="Arial"/>
                <w:sz w:val="14"/>
                <w:szCs w:val="14"/>
                <w:color w:val="auto"/>
              </w:rPr>
              <w:t>Convertible preferred shares, Series D 6%</w:t>
            </w:r>
          </w:p>
        </w:tc>
        <w:tc>
          <w:tcPr>
            <w:tcW w:w="100" w:type="dxa"/>
            <w:vAlign w:val="bottom"/>
            <w:shd w:val="clear" w:color="auto" w:fill="CCEEFF"/>
          </w:tcPr>
          <w:p>
            <w:pPr>
              <w:spacing w:after="0"/>
              <w:rPr>
                <w:sz w:val="16"/>
                <w:szCs w:val="16"/>
                <w:color w:val="auto"/>
              </w:rPr>
            </w:pPr>
          </w:p>
        </w:tc>
        <w:tc>
          <w:tcPr>
            <w:tcW w:w="1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5/31/2013</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169,033</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778,607</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71,793</w:t>
            </w: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0.02</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540" w:type="dxa"/>
            <w:vAlign w:val="bottom"/>
            <w:gridSpan w:val="5"/>
          </w:tcPr>
          <w:p>
            <w:pPr>
              <w:spacing w:after="0"/>
              <w:rPr>
                <w:sz w:val="20"/>
                <w:szCs w:val="20"/>
                <w:color w:val="auto"/>
              </w:rPr>
            </w:pPr>
            <w:r>
              <w:rPr>
                <w:rFonts w:ascii="Arial" w:cs="Arial" w:eastAsia="Arial" w:hAnsi="Arial"/>
                <w:sz w:val="14"/>
                <w:szCs w:val="14"/>
                <w:color w:val="auto"/>
              </w:rPr>
              <w:t>Convertible preferred shares, Series C 8%</w:t>
            </w:r>
          </w:p>
        </w:tc>
        <w:tc>
          <w:tcPr>
            <w:tcW w:w="10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jc w:val="center"/>
              <w:spacing w:after="0"/>
              <w:rPr>
                <w:sz w:val="20"/>
                <w:szCs w:val="20"/>
                <w:color w:val="auto"/>
              </w:rPr>
            </w:pPr>
            <w:r>
              <w:rPr>
                <w:rFonts w:ascii="Arial" w:cs="Arial" w:eastAsia="Arial" w:hAnsi="Arial"/>
                <w:sz w:val="14"/>
                <w:szCs w:val="14"/>
                <w:color w:val="auto"/>
                <w:w w:val="93"/>
              </w:rPr>
              <w:t>3/29/2012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615,763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2,006,077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186"/>
        </w:trPr>
        <w:tc>
          <w:tcPr>
            <w:tcW w:w="20" w:type="dxa"/>
            <w:vAlign w:val="bottom"/>
            <w:tcBorders>
              <w:top w:val="single" w:sz="8" w:color="CCEEFF"/>
            </w:tcBorders>
            <w:shd w:val="clear" w:color="auto" w:fill="CCEEFF"/>
          </w:tcPr>
          <w:p>
            <w:pPr>
              <w:spacing w:after="0"/>
              <w:rPr>
                <w:sz w:val="16"/>
                <w:szCs w:val="16"/>
                <w:color w:val="auto"/>
              </w:rPr>
            </w:pPr>
          </w:p>
        </w:tc>
        <w:tc>
          <w:tcPr>
            <w:tcW w:w="3540" w:type="dxa"/>
            <w:vAlign w:val="bottom"/>
            <w:tcBorders>
              <w:top w:val="single" w:sz="8" w:color="CCEEFF"/>
            </w:tcBorders>
            <w:gridSpan w:val="5"/>
            <w:shd w:val="clear" w:color="auto" w:fill="CCEEFF"/>
          </w:tcPr>
          <w:p>
            <w:pPr>
              <w:ind w:left="120"/>
              <w:spacing w:after="0"/>
              <w:rPr>
                <w:sz w:val="20"/>
                <w:szCs w:val="20"/>
                <w:color w:val="auto"/>
              </w:rPr>
            </w:pPr>
            <w:r>
              <w:rPr>
                <w:rFonts w:ascii="Arial" w:cs="Arial" w:eastAsia="Arial" w:hAnsi="Arial"/>
                <w:sz w:val="14"/>
                <w:szCs w:val="14"/>
                <w:color w:val="auto"/>
              </w:rPr>
              <w:t>Total</w:t>
            </w:r>
          </w:p>
        </w:tc>
        <w:tc>
          <w:tcPr>
            <w:tcW w:w="100" w:type="dxa"/>
            <w:vAlign w:val="bottom"/>
            <w:tcBorders>
              <w:top w:val="single" w:sz="8" w:color="CCEEFF"/>
            </w:tcBorders>
            <w:shd w:val="clear" w:color="auto" w:fill="CCEEFF"/>
          </w:tcPr>
          <w:p>
            <w:pPr>
              <w:spacing w:after="0"/>
              <w:rPr>
                <w:sz w:val="16"/>
                <w:szCs w:val="16"/>
                <w:color w:val="auto"/>
              </w:rPr>
            </w:pPr>
          </w:p>
        </w:tc>
        <w:tc>
          <w:tcPr>
            <w:tcW w:w="18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9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9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auto"/>
            </w:tcBorders>
            <w:shd w:val="clear" w:color="auto" w:fill="CCEEFF"/>
          </w:tcPr>
          <w:p>
            <w:pPr>
              <w:spacing w:after="0"/>
              <w:rPr>
                <w:sz w:val="16"/>
                <w:szCs w:val="16"/>
                <w:color w:val="auto"/>
              </w:rPr>
            </w:pPr>
          </w:p>
        </w:tc>
        <w:tc>
          <w:tcPr>
            <w:tcW w:w="8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4,040,875</w:t>
            </w: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spacing w:after="0"/>
              <w:rPr>
                <w:sz w:val="16"/>
                <w:szCs w:val="16"/>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384,583</w:t>
            </w:r>
          </w:p>
        </w:tc>
        <w:tc>
          <w:tcPr>
            <w:tcW w:w="100" w:type="dxa"/>
            <w:vAlign w:val="bottom"/>
            <w:tcBorders>
              <w:top w:val="single" w:sz="8" w:color="CCEEFF"/>
            </w:tcBorders>
            <w:shd w:val="clear" w:color="auto" w:fill="CCEEFF"/>
          </w:tcPr>
          <w:p>
            <w:pPr>
              <w:spacing w:after="0"/>
              <w:rPr>
                <w:sz w:val="16"/>
                <w:szCs w:val="16"/>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0.09</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3540" w:type="dxa"/>
            <w:vAlign w:val="bottom"/>
            <w:gridSpan w:val="5"/>
          </w:tcPr>
          <w:p>
            <w:pPr>
              <w:spacing w:after="0" w:line="129" w:lineRule="exact"/>
              <w:rPr>
                <w:sz w:val="20"/>
                <w:szCs w:val="20"/>
                <w:color w:val="auto"/>
              </w:rPr>
            </w:pPr>
            <w:r>
              <w:rPr>
                <w:rFonts w:ascii="Arial" w:cs="Arial" w:eastAsia="Arial" w:hAnsi="Arial"/>
                <w:sz w:val="14"/>
                <w:szCs w:val="14"/>
                <w:b w:val="1"/>
                <w:bCs w:val="1"/>
                <w:color w:val="auto"/>
              </w:rPr>
              <w:t>Maven Research, Inc.</w:t>
            </w:r>
          </w:p>
        </w:tc>
        <w:tc>
          <w:tcPr>
            <w:tcW w:w="100" w:type="dxa"/>
            <w:vAlign w:val="bottom"/>
          </w:tcPr>
          <w:p>
            <w:pPr>
              <w:spacing w:after="0"/>
              <w:rPr>
                <w:sz w:val="11"/>
                <w:szCs w:val="11"/>
                <w:color w:val="auto"/>
              </w:rPr>
            </w:pPr>
          </w:p>
        </w:tc>
        <w:tc>
          <w:tcPr>
            <w:tcW w:w="1960" w:type="dxa"/>
            <w:vAlign w:val="bottom"/>
            <w:gridSpan w:val="2"/>
          </w:tcPr>
          <w:p>
            <w:pPr>
              <w:jc w:val="center"/>
              <w:ind w:right="100"/>
              <w:spacing w:after="0" w:line="129" w:lineRule="exact"/>
              <w:rPr>
                <w:sz w:val="20"/>
                <w:szCs w:val="20"/>
                <w:color w:val="auto"/>
              </w:rPr>
            </w:pPr>
            <w:r>
              <w:rPr>
                <w:rFonts w:ascii="Arial" w:cs="Arial" w:eastAsia="Arial" w:hAnsi="Arial"/>
                <w:sz w:val="14"/>
                <w:szCs w:val="14"/>
                <w:color w:val="auto"/>
                <w:w w:val="94"/>
              </w:rPr>
              <w:t>San Francisco, CA</w:t>
            </w: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10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3540" w:type="dxa"/>
            <w:vAlign w:val="bottom"/>
            <w:gridSpan w:val="5"/>
            <w:shd w:val="clear" w:color="auto" w:fill="CCEEFF"/>
          </w:tcPr>
          <w:p>
            <w:pPr>
              <w:spacing w:after="0"/>
              <w:rPr>
                <w:sz w:val="20"/>
                <w:szCs w:val="20"/>
                <w:color w:val="auto"/>
              </w:rPr>
            </w:pPr>
            <w:r>
              <w:rPr>
                <w:rFonts w:ascii="Arial" w:cs="Arial" w:eastAsia="Arial" w:hAnsi="Arial"/>
                <w:sz w:val="14"/>
                <w:szCs w:val="14"/>
                <w:color w:val="auto"/>
              </w:rPr>
              <w:t>Preferred shares, Series C 8%</w:t>
            </w:r>
          </w:p>
        </w:tc>
        <w:tc>
          <w:tcPr>
            <w:tcW w:w="100" w:type="dxa"/>
            <w:vAlign w:val="bottom"/>
            <w:shd w:val="clear" w:color="auto" w:fill="CCEEFF"/>
          </w:tcPr>
          <w:p>
            <w:pPr>
              <w:spacing w:after="0"/>
              <w:rPr>
                <w:sz w:val="16"/>
                <w:szCs w:val="16"/>
                <w:color w:val="auto"/>
              </w:rPr>
            </w:pPr>
          </w:p>
        </w:tc>
        <w:tc>
          <w:tcPr>
            <w:tcW w:w="196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5"/>
              </w:rPr>
              <w:t>Knowledge Networks</w:t>
            </w:r>
          </w:p>
        </w:tc>
        <w:tc>
          <w:tcPr>
            <w:tcW w:w="9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7/2/2012</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318,979</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2,000,447</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540" w:type="dxa"/>
            <w:vAlign w:val="bottom"/>
            <w:gridSpan w:val="5"/>
          </w:tcPr>
          <w:p>
            <w:pPr>
              <w:spacing w:after="0"/>
              <w:rPr>
                <w:sz w:val="20"/>
                <w:szCs w:val="20"/>
                <w:color w:val="auto"/>
              </w:rPr>
            </w:pPr>
            <w:r>
              <w:rPr>
                <w:rFonts w:ascii="Arial" w:cs="Arial" w:eastAsia="Arial" w:hAnsi="Arial"/>
                <w:sz w:val="14"/>
                <w:szCs w:val="14"/>
                <w:color w:val="auto"/>
              </w:rPr>
              <w:t>Preferred shares, Series B 5%</w:t>
            </w:r>
          </w:p>
        </w:tc>
        <w:tc>
          <w:tcPr>
            <w:tcW w:w="10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jc w:val="center"/>
              <w:spacing w:after="0"/>
              <w:rPr>
                <w:sz w:val="20"/>
                <w:szCs w:val="20"/>
                <w:color w:val="auto"/>
              </w:rPr>
            </w:pPr>
            <w:r>
              <w:rPr>
                <w:rFonts w:ascii="Arial" w:cs="Arial" w:eastAsia="Arial" w:hAnsi="Arial"/>
                <w:sz w:val="14"/>
                <w:szCs w:val="14"/>
                <w:color w:val="auto"/>
                <w:w w:val="93"/>
              </w:rPr>
              <w:t>2/28/2012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49,505</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217,206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186"/>
        </w:trPr>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3540" w:type="dxa"/>
            <w:vAlign w:val="bottom"/>
            <w:tcBorders>
              <w:top w:val="single" w:sz="8" w:color="CCEEFF"/>
              <w:bottom w:val="single" w:sz="8" w:color="CCEEFF"/>
            </w:tcBorders>
            <w:gridSpan w:val="5"/>
            <w:shd w:val="clear" w:color="auto" w:fill="CCEEFF"/>
          </w:tcPr>
          <w:p>
            <w:pPr>
              <w:ind w:left="120"/>
              <w:spacing w:after="0"/>
              <w:rPr>
                <w:sz w:val="20"/>
                <w:szCs w:val="20"/>
                <w:color w:val="auto"/>
              </w:rPr>
            </w:pPr>
            <w:r>
              <w:rPr>
                <w:rFonts w:ascii="Arial" w:cs="Arial" w:eastAsia="Arial" w:hAnsi="Arial"/>
                <w:sz w:val="14"/>
                <w:szCs w:val="14"/>
                <w:color w:val="auto"/>
              </w:rPr>
              <w:t>Total</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86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98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CCEEFF"/>
              <w:bottom w:val="single" w:sz="8" w:color="CCEEFF"/>
            </w:tcBorders>
            <w:shd w:val="clear" w:color="auto" w:fill="CCEEFF"/>
          </w:tcPr>
          <w:p>
            <w:pPr>
              <w:spacing w:after="0"/>
              <w:rPr>
                <w:sz w:val="16"/>
                <w:szCs w:val="16"/>
                <w:color w:val="auto"/>
              </w:rPr>
            </w:pPr>
          </w:p>
        </w:tc>
        <w:tc>
          <w:tcPr>
            <w:tcW w:w="94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auto"/>
            </w:tcBorders>
            <w:shd w:val="clear" w:color="auto" w:fill="CCEEFF"/>
          </w:tcPr>
          <w:p>
            <w:pPr>
              <w:spacing w:after="0"/>
              <w:rPr>
                <w:sz w:val="16"/>
                <w:szCs w:val="16"/>
                <w:color w:val="auto"/>
              </w:rPr>
            </w:pPr>
          </w:p>
        </w:tc>
        <w:tc>
          <w:tcPr>
            <w:tcW w:w="8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2,217,653</w:t>
            </w: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spacing w:after="0"/>
              <w:rPr>
                <w:sz w:val="16"/>
                <w:szCs w:val="16"/>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6"/>
                <w:szCs w:val="16"/>
                <w:color w:val="auto"/>
              </w:rPr>
            </w:pPr>
          </w:p>
        </w:tc>
        <w:tc>
          <w:tcPr>
            <w:tcW w:w="9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540" w:type="dxa"/>
            <w:vAlign w:val="bottom"/>
            <w:gridSpan w:val="5"/>
          </w:tcPr>
          <w:p>
            <w:pPr>
              <w:spacing w:after="0" w:line="142" w:lineRule="exact"/>
              <w:rPr>
                <w:sz w:val="20"/>
                <w:szCs w:val="20"/>
                <w:color w:val="auto"/>
              </w:rPr>
            </w:pPr>
            <w:r>
              <w:rPr>
                <w:rFonts w:ascii="Arial" w:cs="Arial" w:eastAsia="Arial" w:hAnsi="Arial"/>
                <w:sz w:val="14"/>
                <w:szCs w:val="14"/>
                <w:b w:val="1"/>
                <w:bCs w:val="1"/>
                <w:color w:val="auto"/>
              </w:rPr>
              <w:t>Curious.com, Inc.</w:t>
            </w:r>
          </w:p>
        </w:tc>
        <w:tc>
          <w:tcPr>
            <w:tcW w:w="100" w:type="dxa"/>
            <w:vAlign w:val="bottom"/>
          </w:tcPr>
          <w:p>
            <w:pPr>
              <w:spacing w:after="0"/>
              <w:rPr>
                <w:sz w:val="12"/>
                <w:szCs w:val="12"/>
                <w:color w:val="auto"/>
              </w:rPr>
            </w:pPr>
          </w:p>
        </w:tc>
        <w:tc>
          <w:tcPr>
            <w:tcW w:w="1860" w:type="dxa"/>
            <w:vAlign w:val="bottom"/>
          </w:tcPr>
          <w:p>
            <w:pPr>
              <w:jc w:val="center"/>
              <w:spacing w:after="0" w:line="142" w:lineRule="exact"/>
              <w:rPr>
                <w:sz w:val="20"/>
                <w:szCs w:val="20"/>
                <w:color w:val="auto"/>
              </w:rPr>
            </w:pPr>
            <w:r>
              <w:rPr>
                <w:rFonts w:ascii="Arial" w:cs="Arial" w:eastAsia="Arial" w:hAnsi="Arial"/>
                <w:sz w:val="14"/>
                <w:szCs w:val="14"/>
                <w:color w:val="auto"/>
                <w:w w:val="95"/>
              </w:rPr>
              <w:t>Menlo Park, CA</w:t>
            </w: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3540" w:type="dxa"/>
            <w:vAlign w:val="bottom"/>
            <w:gridSpan w:val="5"/>
            <w:shd w:val="clear" w:color="auto" w:fill="CCEEFF"/>
          </w:tcPr>
          <w:p>
            <w:pPr>
              <w:spacing w:after="0"/>
              <w:rPr>
                <w:sz w:val="20"/>
                <w:szCs w:val="20"/>
                <w:color w:val="auto"/>
              </w:rPr>
            </w:pPr>
            <w:r>
              <w:rPr>
                <w:rFonts w:ascii="Arial" w:cs="Arial" w:eastAsia="Arial" w:hAnsi="Arial"/>
                <w:sz w:val="14"/>
                <w:szCs w:val="14"/>
                <w:color w:val="auto"/>
              </w:rPr>
              <w:t>Common shares</w:t>
            </w:r>
          </w:p>
        </w:tc>
        <w:tc>
          <w:tcPr>
            <w:tcW w:w="100" w:type="dxa"/>
            <w:vAlign w:val="bottom"/>
            <w:shd w:val="clear" w:color="auto" w:fill="CCEEFF"/>
          </w:tcPr>
          <w:p>
            <w:pPr>
              <w:spacing w:after="0"/>
              <w:rPr>
                <w:sz w:val="16"/>
                <w:szCs w:val="16"/>
                <w:color w:val="auto"/>
              </w:rPr>
            </w:pPr>
          </w:p>
        </w:tc>
        <w:tc>
          <w:tcPr>
            <w:tcW w:w="196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5"/>
              </w:rPr>
              <w:t>Online Education</w:t>
            </w:r>
          </w:p>
        </w:tc>
        <w:tc>
          <w:tcPr>
            <w:tcW w:w="9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11/22/2013</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1,135,944</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12,000,006</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bl>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0" w:type="dxa"/>
            <w:vAlign w:val="bottom"/>
            <w:shd w:val="clear" w:color="auto" w:fill="CCEEFF"/>
          </w:tcPr>
          <w:p>
            <w:pPr>
              <w:spacing w:after="0"/>
              <w:rPr>
                <w:sz w:val="16"/>
                <w:szCs w:val="16"/>
                <w:color w:val="auto"/>
              </w:rPr>
            </w:pPr>
          </w:p>
        </w:tc>
        <w:tc>
          <w:tcPr>
            <w:tcW w:w="3640" w:type="dxa"/>
            <w:vAlign w:val="bottom"/>
            <w:gridSpan w:val="3"/>
            <w:shd w:val="clear" w:color="auto" w:fill="CCEEFF"/>
          </w:tcPr>
          <w:p>
            <w:pPr>
              <w:ind w:left="120"/>
              <w:spacing w:after="0"/>
              <w:rPr>
                <w:sz w:val="20"/>
                <w:szCs w:val="20"/>
                <w:color w:val="auto"/>
              </w:rPr>
            </w:pPr>
            <w:r>
              <w:rPr>
                <w:rFonts w:ascii="Arial" w:cs="Arial" w:eastAsia="Arial" w:hAnsi="Arial"/>
                <w:sz w:val="14"/>
                <w:szCs w:val="14"/>
                <w:b w:val="1"/>
                <w:bCs w:val="1"/>
                <w:color w:val="auto"/>
              </w:rPr>
              <w:t>Total Non-controlled/Affiliate</w:t>
            </w:r>
          </w:p>
        </w:tc>
        <w:tc>
          <w:tcPr>
            <w:tcW w:w="186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w w:val="76"/>
              </w:rPr>
              <w:t>$</w:t>
            </w: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54,365,665</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32,510,562</w:t>
            </w:r>
          </w:p>
        </w:tc>
        <w:tc>
          <w:tcPr>
            <w:tcW w:w="1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7.46 %</w:t>
            </w:r>
          </w:p>
        </w:tc>
      </w:tr>
      <w:tr>
        <w:trPr>
          <w:trHeight w:val="216"/>
        </w:trPr>
        <w:tc>
          <w:tcPr>
            <w:tcW w:w="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189"/>
        </w:trPr>
        <w:tc>
          <w:tcPr>
            <w:tcW w:w="20" w:type="dxa"/>
            <w:vAlign w:val="bottom"/>
            <w:shd w:val="clear" w:color="auto" w:fill="CCEEFF"/>
          </w:tcPr>
          <w:p>
            <w:pPr>
              <w:spacing w:after="0"/>
              <w:rPr>
                <w:sz w:val="16"/>
                <w:szCs w:val="16"/>
                <w:color w:val="auto"/>
              </w:rPr>
            </w:pPr>
          </w:p>
        </w:tc>
        <w:tc>
          <w:tcPr>
            <w:tcW w:w="3640" w:type="dxa"/>
            <w:vAlign w:val="bottom"/>
            <w:gridSpan w:val="3"/>
            <w:shd w:val="clear" w:color="auto" w:fill="CCEEFF"/>
          </w:tcPr>
          <w:p>
            <w:pPr>
              <w:spacing w:after="0" w:line="189" w:lineRule="exact"/>
              <w:rPr>
                <w:sz w:val="20"/>
                <w:szCs w:val="20"/>
                <w:color w:val="auto"/>
              </w:rPr>
            </w:pPr>
            <w:r>
              <w:rPr>
                <w:rFonts w:ascii="Arial" w:cs="Arial" w:eastAsia="Arial" w:hAnsi="Arial"/>
                <w:sz w:val="14"/>
                <w:szCs w:val="14"/>
                <w:b w:val="1"/>
                <w:bCs w:val="1"/>
                <w:color w:val="auto"/>
              </w:rPr>
              <w:t>CONTROLLED</w:t>
            </w:r>
            <w:r>
              <w:rPr>
                <w:rFonts w:ascii="Arial" w:cs="Arial" w:eastAsia="Arial" w:hAnsi="Arial"/>
                <w:sz w:val="18"/>
                <w:szCs w:val="18"/>
                <w:b w:val="1"/>
                <w:bCs w:val="1"/>
                <w:color w:val="auto"/>
                <w:vertAlign w:val="superscript"/>
              </w:rPr>
              <w:t>(2)</w:t>
            </w:r>
          </w:p>
        </w:tc>
        <w:tc>
          <w:tcPr>
            <w:tcW w:w="186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r>
      <w:tr>
        <w:trPr>
          <w:trHeight w:val="148"/>
        </w:trPr>
        <w:tc>
          <w:tcPr>
            <w:tcW w:w="20" w:type="dxa"/>
            <w:vAlign w:val="bottom"/>
          </w:tcPr>
          <w:p>
            <w:pPr>
              <w:spacing w:after="0"/>
              <w:rPr>
                <w:sz w:val="12"/>
                <w:szCs w:val="12"/>
                <w:color w:val="auto"/>
              </w:rPr>
            </w:pPr>
          </w:p>
        </w:tc>
        <w:tc>
          <w:tcPr>
            <w:tcW w:w="36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SPBRX, INC. (f/k/a GSV Sustainability Partners, Inc.)</w:t>
            </w:r>
          </w:p>
        </w:tc>
        <w:tc>
          <w:tcPr>
            <w:tcW w:w="1860" w:type="dxa"/>
            <w:vAlign w:val="bottom"/>
          </w:tcPr>
          <w:p>
            <w:pPr>
              <w:jc w:val="center"/>
              <w:spacing w:after="0" w:line="149" w:lineRule="exact"/>
              <w:rPr>
                <w:sz w:val="20"/>
                <w:szCs w:val="20"/>
                <w:color w:val="auto"/>
              </w:rPr>
            </w:pPr>
            <w:r>
              <w:rPr>
                <w:rFonts w:ascii="Arial" w:cs="Arial" w:eastAsia="Arial" w:hAnsi="Arial"/>
                <w:sz w:val="14"/>
                <w:szCs w:val="14"/>
                <w:color w:val="auto"/>
                <w:w w:val="97"/>
              </w:rPr>
              <w:t>Cupertino, CA</w:t>
            </w:r>
          </w:p>
        </w:tc>
        <w:tc>
          <w:tcPr>
            <w:tcW w:w="10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Borders>
              <w:top w:val="single" w:sz="8" w:color="auto"/>
            </w:tcBorders>
          </w:tcPr>
          <w:p>
            <w:pPr>
              <w:spacing w:after="0" w:line="20" w:lineRule="exact"/>
              <w:rPr>
                <w:sz w:val="1"/>
                <w:szCs w:val="1"/>
                <w:color w:val="auto"/>
              </w:rPr>
            </w:pPr>
          </w:p>
        </w:tc>
        <w:tc>
          <w:tcPr>
            <w:tcW w:w="114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3640" w:type="dxa"/>
            <w:vAlign w:val="bottom"/>
            <w:gridSpan w:val="3"/>
            <w:shd w:val="clear" w:color="auto" w:fill="CCEEFF"/>
          </w:tcPr>
          <w:p>
            <w:pPr>
              <w:spacing w:after="0" w:line="189" w:lineRule="exact"/>
              <w:rPr>
                <w:sz w:val="20"/>
                <w:szCs w:val="20"/>
                <w:color w:val="auto"/>
              </w:rPr>
            </w:pPr>
            <w:r>
              <w:rPr>
                <w:rFonts w:ascii="Arial" w:cs="Arial" w:eastAsia="Arial" w:hAnsi="Arial"/>
                <w:sz w:val="14"/>
                <w:szCs w:val="14"/>
                <w:color w:val="auto"/>
              </w:rPr>
              <w:t>Preferred shares, Class A***</w:t>
            </w:r>
            <w:r>
              <w:rPr>
                <w:rFonts w:ascii="Arial" w:cs="Arial" w:eastAsia="Arial" w:hAnsi="Arial"/>
                <w:sz w:val="18"/>
                <w:szCs w:val="18"/>
                <w:color w:val="auto"/>
                <w:vertAlign w:val="superscript"/>
              </w:rPr>
              <w:t>(8)</w:t>
            </w:r>
          </w:p>
        </w:tc>
        <w:tc>
          <w:tcPr>
            <w:tcW w:w="18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Clean Technology</w:t>
            </w:r>
          </w:p>
        </w:tc>
        <w:tc>
          <w:tcPr>
            <w:tcW w:w="10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4/15/2014</w:t>
            </w:r>
          </w:p>
        </w:tc>
        <w:tc>
          <w:tcPr>
            <w:tcW w:w="38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14,300,000</w:t>
            </w: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7,151,412</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914,198</w:t>
            </w: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0.21</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w:t>
            </w:r>
          </w:p>
        </w:tc>
      </w:tr>
      <w:tr>
        <w:trPr>
          <w:trHeight w:val="186"/>
        </w:trPr>
        <w:tc>
          <w:tcPr>
            <w:tcW w:w="20" w:type="dxa"/>
            <w:vAlign w:val="bottom"/>
          </w:tcPr>
          <w:p>
            <w:pPr>
              <w:spacing w:after="0"/>
              <w:rPr>
                <w:sz w:val="16"/>
                <w:szCs w:val="16"/>
                <w:color w:val="auto"/>
              </w:rPr>
            </w:pPr>
          </w:p>
        </w:tc>
        <w:tc>
          <w:tcPr>
            <w:tcW w:w="3640" w:type="dxa"/>
            <w:vAlign w:val="bottom"/>
            <w:gridSpan w:val="3"/>
          </w:tcPr>
          <w:p>
            <w:pPr>
              <w:spacing w:after="0"/>
              <w:rPr>
                <w:sz w:val="20"/>
                <w:szCs w:val="20"/>
                <w:color w:val="auto"/>
              </w:rPr>
            </w:pPr>
            <w:r>
              <w:rPr>
                <w:rFonts w:ascii="Arial" w:cs="Arial" w:eastAsia="Arial" w:hAnsi="Arial"/>
                <w:sz w:val="14"/>
                <w:szCs w:val="14"/>
                <w:color w:val="auto"/>
              </w:rPr>
              <w:t>Common shares</w:t>
            </w:r>
          </w:p>
        </w:tc>
        <w:tc>
          <w:tcPr>
            <w:tcW w:w="1860" w:type="dxa"/>
            <w:vAlign w:val="bottom"/>
          </w:tcPr>
          <w:p>
            <w:pPr>
              <w:spacing w:after="0"/>
              <w:rPr>
                <w:sz w:val="16"/>
                <w:szCs w:val="16"/>
                <w:color w:val="auto"/>
              </w:rPr>
            </w:pPr>
          </w:p>
        </w:tc>
        <w:tc>
          <w:tcPr>
            <w:tcW w:w="1040" w:type="dxa"/>
            <w:vAlign w:val="bottom"/>
          </w:tcPr>
          <w:p>
            <w:pPr>
              <w:jc w:val="right"/>
              <w:ind w:right="88"/>
              <w:spacing w:after="0"/>
              <w:rPr>
                <w:sz w:val="20"/>
                <w:szCs w:val="20"/>
                <w:color w:val="auto"/>
              </w:rPr>
            </w:pPr>
            <w:r>
              <w:rPr>
                <w:rFonts w:ascii="Arial" w:cs="Arial" w:eastAsia="Arial" w:hAnsi="Arial"/>
                <w:sz w:val="14"/>
                <w:szCs w:val="14"/>
                <w:color w:val="auto"/>
              </w:rPr>
              <w:t>4/15/2014</w:t>
            </w:r>
          </w:p>
        </w:tc>
        <w:tc>
          <w:tcPr>
            <w:tcW w:w="380" w:type="dxa"/>
            <w:vAlign w:val="bottom"/>
          </w:tcPr>
          <w:p>
            <w:pPr>
              <w:spacing w:after="0"/>
              <w:rPr>
                <w:sz w:val="16"/>
                <w:szCs w:val="16"/>
                <w:color w:val="auto"/>
              </w:rPr>
            </w:pPr>
          </w:p>
        </w:tc>
        <w:tc>
          <w:tcPr>
            <w:tcW w:w="980" w:type="dxa"/>
            <w:vAlign w:val="bottom"/>
          </w:tcPr>
          <w:p>
            <w:pPr>
              <w:jc w:val="right"/>
              <w:ind w:right="108"/>
              <w:spacing w:after="0"/>
              <w:rPr>
                <w:sz w:val="20"/>
                <w:szCs w:val="20"/>
                <w:color w:val="auto"/>
              </w:rPr>
            </w:pPr>
            <w:r>
              <w:rPr>
                <w:rFonts w:ascii="Arial" w:cs="Arial" w:eastAsia="Arial" w:hAnsi="Arial"/>
                <w:sz w:val="14"/>
                <w:szCs w:val="14"/>
                <w:color w:val="auto"/>
              </w:rPr>
              <w:t>100,000</w:t>
            </w:r>
          </w:p>
        </w:tc>
        <w:tc>
          <w:tcPr>
            <w:tcW w:w="200" w:type="dxa"/>
            <w:vAlign w:val="bottom"/>
          </w:tcPr>
          <w:p>
            <w:pPr>
              <w:spacing w:after="0"/>
              <w:rPr>
                <w:sz w:val="16"/>
                <w:szCs w:val="16"/>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10,000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 %</w:t>
            </w:r>
          </w:p>
        </w:tc>
      </w:tr>
      <w:tr>
        <w:trPr>
          <w:trHeight w:val="186"/>
        </w:trPr>
        <w:tc>
          <w:tcPr>
            <w:tcW w:w="20" w:type="dxa"/>
            <w:vAlign w:val="bottom"/>
            <w:tcBorders>
              <w:top w:val="single" w:sz="8" w:color="CCEEFF"/>
            </w:tcBorders>
            <w:shd w:val="clear" w:color="auto" w:fill="CCEEFF"/>
          </w:tcPr>
          <w:p>
            <w:pPr>
              <w:spacing w:after="0"/>
              <w:rPr>
                <w:sz w:val="16"/>
                <w:szCs w:val="16"/>
                <w:color w:val="auto"/>
              </w:rPr>
            </w:pPr>
          </w:p>
        </w:tc>
        <w:tc>
          <w:tcPr>
            <w:tcW w:w="3640" w:type="dxa"/>
            <w:vAlign w:val="bottom"/>
            <w:tcBorders>
              <w:top w:val="single" w:sz="8" w:color="CCEEFF"/>
            </w:tcBorders>
            <w:gridSpan w:val="3"/>
            <w:shd w:val="clear" w:color="auto" w:fill="CCEEFF"/>
          </w:tcPr>
          <w:p>
            <w:pPr>
              <w:ind w:left="120"/>
              <w:spacing w:after="0"/>
              <w:rPr>
                <w:sz w:val="20"/>
                <w:szCs w:val="20"/>
                <w:color w:val="auto"/>
              </w:rPr>
            </w:pPr>
            <w:r>
              <w:rPr>
                <w:rFonts w:ascii="Arial" w:cs="Arial" w:eastAsia="Arial" w:hAnsi="Arial"/>
                <w:sz w:val="14"/>
                <w:szCs w:val="14"/>
                <w:color w:val="auto"/>
              </w:rPr>
              <w:t>Total</w:t>
            </w:r>
          </w:p>
        </w:tc>
        <w:tc>
          <w:tcPr>
            <w:tcW w:w="1860" w:type="dxa"/>
            <w:vAlign w:val="bottom"/>
            <w:tcBorders>
              <w:top w:val="single" w:sz="8" w:color="CCEEFF"/>
            </w:tcBorders>
            <w:shd w:val="clear" w:color="auto" w:fill="CCEEFF"/>
          </w:tcPr>
          <w:p>
            <w:pPr>
              <w:spacing w:after="0"/>
              <w:rPr>
                <w:sz w:val="16"/>
                <w:szCs w:val="16"/>
                <w:color w:val="auto"/>
              </w:rPr>
            </w:pPr>
          </w:p>
        </w:tc>
        <w:tc>
          <w:tcPr>
            <w:tcW w:w="1040" w:type="dxa"/>
            <w:vAlign w:val="bottom"/>
            <w:tcBorders>
              <w:top w:val="single" w:sz="8" w:color="CCEEFF"/>
            </w:tcBorders>
            <w:shd w:val="clear" w:color="auto" w:fill="CCEEFF"/>
          </w:tcPr>
          <w:p>
            <w:pPr>
              <w:spacing w:after="0"/>
              <w:rPr>
                <w:sz w:val="16"/>
                <w:szCs w:val="16"/>
                <w:color w:val="auto"/>
              </w:rPr>
            </w:pPr>
          </w:p>
        </w:tc>
        <w:tc>
          <w:tcPr>
            <w:tcW w:w="380" w:type="dxa"/>
            <w:vAlign w:val="bottom"/>
            <w:tcBorders>
              <w:top w:val="single" w:sz="8" w:color="CCEEFF"/>
            </w:tcBorders>
            <w:shd w:val="clear" w:color="auto" w:fill="CCEEFF"/>
          </w:tcPr>
          <w:p>
            <w:pPr>
              <w:spacing w:after="0"/>
              <w:rPr>
                <w:sz w:val="16"/>
                <w:szCs w:val="16"/>
                <w:color w:val="auto"/>
              </w:rPr>
            </w:pPr>
          </w:p>
        </w:tc>
        <w:tc>
          <w:tcPr>
            <w:tcW w:w="98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7,161,412</w:t>
            </w: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914,198</w:t>
            </w:r>
          </w:p>
        </w:tc>
        <w:tc>
          <w:tcPr>
            <w:tcW w:w="100" w:type="dxa"/>
            <w:vAlign w:val="bottom"/>
            <w:tcBorders>
              <w:top w:val="single" w:sz="8" w:color="CCEEFF"/>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0.21</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6"/>
              </w:rPr>
              <w:t>%</w:t>
            </w:r>
          </w:p>
        </w:tc>
      </w:tr>
      <w:tr>
        <w:trPr>
          <w:trHeight w:val="149"/>
        </w:trPr>
        <w:tc>
          <w:tcPr>
            <w:tcW w:w="20" w:type="dxa"/>
            <w:vAlign w:val="bottom"/>
          </w:tcPr>
          <w:p>
            <w:pPr>
              <w:spacing w:after="0"/>
              <w:rPr>
                <w:sz w:val="12"/>
                <w:szCs w:val="12"/>
                <w:color w:val="auto"/>
              </w:rPr>
            </w:pPr>
          </w:p>
        </w:tc>
        <w:tc>
          <w:tcPr>
            <w:tcW w:w="36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Architect Capital PayJoy SPV, LLC**</w:t>
            </w:r>
          </w:p>
        </w:tc>
        <w:tc>
          <w:tcPr>
            <w:tcW w:w="1860" w:type="dxa"/>
            <w:vAlign w:val="bottom"/>
          </w:tcPr>
          <w:p>
            <w:pPr>
              <w:jc w:val="center"/>
              <w:spacing w:after="0" w:line="149" w:lineRule="exact"/>
              <w:rPr>
                <w:sz w:val="20"/>
                <w:szCs w:val="20"/>
                <w:color w:val="auto"/>
              </w:rPr>
            </w:pPr>
            <w:r>
              <w:rPr>
                <w:rFonts w:ascii="Arial" w:cs="Arial" w:eastAsia="Arial" w:hAnsi="Arial"/>
                <w:sz w:val="14"/>
                <w:szCs w:val="14"/>
                <w:color w:val="auto"/>
                <w:w w:val="94"/>
              </w:rPr>
              <w:t>San Francisco, CA</w:t>
            </w:r>
          </w:p>
        </w:tc>
        <w:tc>
          <w:tcPr>
            <w:tcW w:w="10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Borders>
              <w:top w:val="single" w:sz="8" w:color="auto"/>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3640" w:type="dxa"/>
            <w:vAlign w:val="bottom"/>
            <w:gridSpan w:val="3"/>
            <w:shd w:val="clear" w:color="auto" w:fill="CCEEFF"/>
          </w:tcPr>
          <w:p>
            <w:pPr>
              <w:spacing w:after="0" w:line="189" w:lineRule="exact"/>
              <w:rPr>
                <w:sz w:val="20"/>
                <w:szCs w:val="20"/>
                <w:color w:val="auto"/>
              </w:rPr>
            </w:pPr>
            <w:r>
              <w:rPr>
                <w:rFonts w:ascii="Arial" w:cs="Arial" w:eastAsia="Arial" w:hAnsi="Arial"/>
                <w:sz w:val="14"/>
                <w:szCs w:val="14"/>
                <w:color w:val="auto"/>
              </w:rPr>
              <w:t>Membership Interest in Lending SPV</w:t>
            </w:r>
            <w:r>
              <w:rPr>
                <w:rFonts w:ascii="Arial" w:cs="Arial" w:eastAsia="Arial" w:hAnsi="Arial"/>
                <w:sz w:val="18"/>
                <w:szCs w:val="18"/>
                <w:color w:val="auto"/>
                <w:vertAlign w:val="superscript"/>
              </w:rPr>
              <w:t>(16)</w:t>
            </w:r>
          </w:p>
        </w:tc>
        <w:tc>
          <w:tcPr>
            <w:tcW w:w="18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Mobile Finance Technology</w:t>
            </w:r>
          </w:p>
        </w:tc>
        <w:tc>
          <w:tcPr>
            <w:tcW w:w="10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3/23/2021</w:t>
            </w:r>
          </w:p>
        </w:tc>
        <w:tc>
          <w:tcPr>
            <w:tcW w:w="3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500,000</w:t>
            </w: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500,000</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500,000</w:t>
            </w: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0.11</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w:t>
            </w:r>
          </w:p>
        </w:tc>
      </w:tr>
      <w:tr>
        <w:trPr>
          <w:trHeight w:val="216"/>
        </w:trPr>
        <w:tc>
          <w:tcPr>
            <w:tcW w:w="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spacing w:after="0"/>
              <w:rPr>
                <w:sz w:val="18"/>
                <w:szCs w:val="18"/>
                <w:color w:val="auto"/>
              </w:rPr>
            </w:pPr>
          </w:p>
        </w:tc>
      </w:tr>
      <w:tr>
        <w:trPr>
          <w:trHeight w:val="189"/>
        </w:trPr>
        <w:tc>
          <w:tcPr>
            <w:tcW w:w="20" w:type="dxa"/>
            <w:vAlign w:val="bottom"/>
            <w:shd w:val="clear" w:color="auto" w:fill="CCEEFF"/>
          </w:tcPr>
          <w:p>
            <w:pPr>
              <w:spacing w:after="0"/>
              <w:rPr>
                <w:sz w:val="16"/>
                <w:szCs w:val="16"/>
                <w:color w:val="auto"/>
              </w:rPr>
            </w:pPr>
          </w:p>
        </w:tc>
        <w:tc>
          <w:tcPr>
            <w:tcW w:w="3640" w:type="dxa"/>
            <w:vAlign w:val="bottom"/>
            <w:gridSpan w:val="3"/>
            <w:shd w:val="clear" w:color="auto" w:fill="CCEEFF"/>
          </w:tcPr>
          <w:p>
            <w:pPr>
              <w:ind w:left="120"/>
              <w:spacing w:after="0"/>
              <w:rPr>
                <w:sz w:val="20"/>
                <w:szCs w:val="20"/>
                <w:color w:val="auto"/>
              </w:rPr>
            </w:pPr>
            <w:r>
              <w:rPr>
                <w:rFonts w:ascii="Arial" w:cs="Arial" w:eastAsia="Arial" w:hAnsi="Arial"/>
                <w:sz w:val="14"/>
                <w:szCs w:val="14"/>
                <w:b w:val="1"/>
                <w:bCs w:val="1"/>
                <w:color w:val="auto"/>
              </w:rPr>
              <w:t>Total Controlled</w:t>
            </w:r>
          </w:p>
        </w:tc>
        <w:tc>
          <w:tcPr>
            <w:tcW w:w="186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w w:val="76"/>
              </w:rPr>
              <w:t>$</w:t>
            </w: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7,661,412</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1,414,198</w:t>
            </w:r>
          </w:p>
        </w:tc>
        <w:tc>
          <w:tcPr>
            <w:tcW w:w="1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0.32 %</w:t>
            </w:r>
          </w:p>
        </w:tc>
      </w:tr>
      <w:tr>
        <w:trPr>
          <w:trHeight w:val="216"/>
        </w:trPr>
        <w:tc>
          <w:tcPr>
            <w:tcW w:w="20" w:type="dxa"/>
            <w:vAlign w:val="bottom"/>
            <w:tcBorders>
              <w:bottom w:val="single" w:sz="8" w:color="CCEEFF"/>
            </w:tcBorders>
          </w:tcPr>
          <w:p>
            <w:pPr>
              <w:spacing w:after="0"/>
              <w:rPr>
                <w:sz w:val="18"/>
                <w:szCs w:val="18"/>
                <w:color w:val="auto"/>
              </w:rPr>
            </w:pPr>
          </w:p>
        </w:tc>
        <w:tc>
          <w:tcPr>
            <w:tcW w:w="2220" w:type="dxa"/>
            <w:vAlign w:val="bottom"/>
            <w:tcBorders>
              <w:bottom w:val="single" w:sz="8" w:color="CCEEFF"/>
            </w:tcBorders>
          </w:tcPr>
          <w:p>
            <w:pPr>
              <w:spacing w:after="0"/>
              <w:rPr>
                <w:sz w:val="18"/>
                <w:szCs w:val="18"/>
                <w:color w:val="auto"/>
              </w:rPr>
            </w:pPr>
          </w:p>
        </w:tc>
        <w:tc>
          <w:tcPr>
            <w:tcW w:w="1140" w:type="dxa"/>
            <w:vAlign w:val="bottom"/>
            <w:tcBorders>
              <w:bottom w:val="single" w:sz="8" w:color="CCEEFF"/>
            </w:tcBorders>
          </w:tcPr>
          <w:p>
            <w:pPr>
              <w:spacing w:after="0"/>
              <w:rPr>
                <w:sz w:val="18"/>
                <w:szCs w:val="18"/>
                <w:color w:val="auto"/>
              </w:rPr>
            </w:pPr>
          </w:p>
        </w:tc>
        <w:tc>
          <w:tcPr>
            <w:tcW w:w="280" w:type="dxa"/>
            <w:vAlign w:val="bottom"/>
            <w:tcBorders>
              <w:bottom w:val="single" w:sz="8" w:color="CCEEFF"/>
            </w:tcBorders>
          </w:tcPr>
          <w:p>
            <w:pPr>
              <w:spacing w:after="0"/>
              <w:rPr>
                <w:sz w:val="18"/>
                <w:szCs w:val="18"/>
                <w:color w:val="auto"/>
              </w:rPr>
            </w:pPr>
          </w:p>
        </w:tc>
        <w:tc>
          <w:tcPr>
            <w:tcW w:w="1860" w:type="dxa"/>
            <w:vAlign w:val="bottom"/>
            <w:tcBorders>
              <w:bottom w:val="single" w:sz="8" w:color="CCEEFF"/>
            </w:tcBorders>
          </w:tcPr>
          <w:p>
            <w:pPr>
              <w:spacing w:after="0"/>
              <w:rPr>
                <w:sz w:val="18"/>
                <w:szCs w:val="18"/>
                <w:color w:val="auto"/>
              </w:rPr>
            </w:pPr>
          </w:p>
        </w:tc>
        <w:tc>
          <w:tcPr>
            <w:tcW w:w="1040" w:type="dxa"/>
            <w:vAlign w:val="bottom"/>
            <w:tcBorders>
              <w:bottom w:val="single" w:sz="8" w:color="CCEEFF"/>
            </w:tcBorders>
          </w:tcPr>
          <w:p>
            <w:pPr>
              <w:spacing w:after="0"/>
              <w:rPr>
                <w:sz w:val="18"/>
                <w:szCs w:val="18"/>
                <w:color w:val="auto"/>
              </w:rPr>
            </w:pPr>
          </w:p>
        </w:tc>
        <w:tc>
          <w:tcPr>
            <w:tcW w:w="380" w:type="dxa"/>
            <w:vAlign w:val="bottom"/>
            <w:tcBorders>
              <w:bottom w:val="single" w:sz="8" w:color="CCEEFF"/>
            </w:tcBorders>
          </w:tcPr>
          <w:p>
            <w:pPr>
              <w:spacing w:after="0"/>
              <w:rPr>
                <w:sz w:val="18"/>
                <w:szCs w:val="18"/>
                <w:color w:val="auto"/>
              </w:rPr>
            </w:pPr>
          </w:p>
        </w:tc>
        <w:tc>
          <w:tcPr>
            <w:tcW w:w="9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gridSpan w:val="2"/>
          </w:tcPr>
          <w:p>
            <w:pPr>
              <w:spacing w:after="0"/>
              <w:rPr>
                <w:sz w:val="18"/>
                <w:szCs w:val="18"/>
                <w:color w:val="auto"/>
              </w:rPr>
            </w:pPr>
          </w:p>
        </w:tc>
      </w:tr>
      <w:tr>
        <w:trPr>
          <w:trHeight w:val="208"/>
        </w:trPr>
        <w:tc>
          <w:tcPr>
            <w:tcW w:w="20" w:type="dxa"/>
            <w:vAlign w:val="bottom"/>
            <w:tcBorders>
              <w:bottom w:val="single" w:sz="8" w:color="CCEEFF"/>
            </w:tcBorders>
            <w:shd w:val="clear" w:color="auto" w:fill="CCEEFF"/>
          </w:tcPr>
          <w:p>
            <w:pPr>
              <w:spacing w:after="0"/>
              <w:rPr>
                <w:sz w:val="17"/>
                <w:szCs w:val="17"/>
                <w:color w:val="auto"/>
              </w:rPr>
            </w:pPr>
          </w:p>
        </w:tc>
        <w:tc>
          <w:tcPr>
            <w:tcW w:w="364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4"/>
                <w:szCs w:val="14"/>
                <w:b w:val="1"/>
                <w:bCs w:val="1"/>
                <w:color w:val="auto"/>
              </w:rPr>
              <w:t>TOTAL INVESTMENTS</w:t>
            </w:r>
          </w:p>
        </w:tc>
        <w:tc>
          <w:tcPr>
            <w:tcW w:w="186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w w:val="76"/>
              </w:rPr>
              <w:t>$</w:t>
            </w:r>
          </w:p>
        </w:tc>
        <w:tc>
          <w:tcPr>
            <w:tcW w:w="9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162,744,438</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275,842,451</w:t>
            </w:r>
          </w:p>
        </w:tc>
        <w:tc>
          <w:tcPr>
            <w:tcW w:w="10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63.29 %</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2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86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-1045210</wp:posOffset>
            </wp:positionV>
            <wp:extent cx="4954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4954905" cy="128905"/>
                    </a:xfrm>
                    <a:prstGeom prst="rect">
                      <a:avLst/>
                    </a:prstGeom>
                    <a:noFill/>
                  </pic:spPr>
                </pic:pic>
              </a:graphicData>
            </a:graphic>
          </wp:anchor>
        </w:drawing>
      </w: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See accompanying notes to condensed consolidated financial statements.</w:t>
      </w:r>
    </w:p>
    <w:p>
      <w:pPr>
        <w:spacing w:after="0" w:line="16"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__________________________________________</w:t>
      </w:r>
    </w:p>
    <w:p>
      <w:pPr>
        <w:spacing w:after="0" w:line="2" w:lineRule="exact"/>
        <w:rPr>
          <w:sz w:val="20"/>
          <w:szCs w:val="20"/>
          <w:color w:val="auto"/>
        </w:rPr>
      </w:pPr>
    </w:p>
    <w:p>
      <w:pPr>
        <w:ind w:left="500" w:hanging="492"/>
        <w:spacing w:after="0" w:line="268" w:lineRule="auto"/>
        <w:tabs>
          <w:tab w:leader="none" w:pos="324" w:val="left"/>
        </w:tabs>
        <w:numPr>
          <w:ilvl w:val="0"/>
          <w:numId w:val="4"/>
        </w:numPr>
        <w:rPr>
          <w:rFonts w:ascii="Arial" w:cs="Arial" w:eastAsia="Arial" w:hAnsi="Arial"/>
          <w:sz w:val="17"/>
          <w:szCs w:val="17"/>
          <w:color w:val="auto"/>
        </w:rPr>
      </w:pPr>
      <w:r>
        <w:rPr>
          <w:rFonts w:ascii="Arial" w:cs="Arial" w:eastAsia="Arial" w:hAnsi="Arial"/>
          <w:sz w:val="15"/>
          <w:szCs w:val="15"/>
          <w:color w:val="auto"/>
        </w:rPr>
        <w:t>All portfolio investments are non-control/non-affiliated and non-income-producing, unless otherwise identified. Equity investments are subject to lock-up restrictions upon their initial public offering (“IPO”). Preferred dividends are generally only payable when declared and paid by the portfolio company's board of directors. The Company’s directors, officers, employees and staff, as applicable, may serve on the board of directors of the Company’s portfolio investments. (Refer to “Note 3— Related-Party Arrangements”). All portfolio investments are considered Level 3 and valued using significant unobservable inputs, unless otherwise noted. (Refer to “Note 4—Investments at Fair Value”). All of the Company's portfolio investments are restricted as to resale, unless otherwise noted, and were valued at fair value as determined in good faith by the Company’s Board of Directors. (Refer to "Note 2—Significant Accounting Policies—</w:t>
      </w:r>
      <w:r>
        <w:rPr>
          <w:rFonts w:ascii="Arial" w:cs="Arial" w:eastAsia="Arial" w:hAnsi="Arial"/>
          <w:sz w:val="15"/>
          <w:szCs w:val="15"/>
          <w:i w:val="1"/>
          <w:iCs w:val="1"/>
          <w:color w:val="auto"/>
        </w:rPr>
        <w:t>Investments at Fair Value</w:t>
      </w:r>
      <w:r>
        <w:rPr>
          <w:rFonts w:ascii="Arial" w:cs="Arial" w:eastAsia="Arial" w:hAnsi="Arial"/>
          <w:sz w:val="15"/>
          <w:szCs w:val="15"/>
          <w:color w:val="auto"/>
        </w:rPr>
        <w:t>").</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121" w:right="339" w:bottom="1440" w:gutter="0" w:footer="0" w:header="0"/>
        </w:sectPr>
      </w:pPr>
    </w:p>
    <w:bookmarkStart w:id="9" w:name="page10"/>
    <w:bookmarkEnd w:id="9"/>
    <w:p>
      <w:pPr>
        <w:spacing w:after="0"/>
        <w:rPr>
          <w:rFonts w:ascii="Arial" w:cs="Arial" w:eastAsia="Arial" w:hAnsi="Arial"/>
          <w:sz w:val="14"/>
          <w:szCs w:val="14"/>
          <w:color w:val="0000FF"/>
        </w:rPr>
      </w:pPr>
      <w:hyperlink w:anchor="page1">
        <w:r>
          <w:rPr>
            <w:rFonts w:ascii="Arial" w:cs="Arial" w:eastAsia="Arial" w:hAnsi="Arial"/>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500" w:hanging="492"/>
        <w:spacing w:after="0" w:line="255" w:lineRule="auto"/>
        <w:tabs>
          <w:tab w:leader="none" w:pos="377" w:val="left"/>
        </w:tabs>
        <w:numPr>
          <w:ilvl w:val="0"/>
          <w:numId w:val="5"/>
        </w:numPr>
        <w:rPr>
          <w:rFonts w:ascii="Arial" w:cs="Arial" w:eastAsia="Arial" w:hAnsi="Arial"/>
          <w:sz w:val="16"/>
          <w:szCs w:val="16"/>
          <w:color w:val="auto"/>
        </w:rPr>
      </w:pPr>
      <w:r>
        <w:rPr>
          <w:rFonts w:ascii="Arial" w:cs="Arial" w:eastAsia="Arial" w:hAnsi="Arial"/>
          <w:sz w:val="16"/>
          <w:szCs w:val="16"/>
          <w:color w:val="auto"/>
        </w:rPr>
        <w:t>Indicates assets that SuRo Capital Corp. believes do not represent “qualifying assets” under Section 55(a) of the Investment Company Act of 1940, as amended (the “1940 Act”). Of the Company’s total investments as of March 31, 2021, 46.70% of its total investments are non-qualifying assets.</w:t>
      </w:r>
    </w:p>
    <w:p>
      <w:pPr>
        <w:spacing w:after="0" w:line="1" w:lineRule="exact"/>
        <w:rPr>
          <w:rFonts w:ascii="Arial" w:cs="Arial" w:eastAsia="Arial" w:hAnsi="Arial"/>
          <w:sz w:val="16"/>
          <w:szCs w:val="16"/>
          <w:color w:val="auto"/>
        </w:rPr>
      </w:pPr>
    </w:p>
    <w:p>
      <w:pPr>
        <w:ind w:left="420" w:hanging="412"/>
        <w:spacing w:after="0"/>
        <w:tabs>
          <w:tab w:leader="none" w:pos="420" w:val="left"/>
        </w:tabs>
        <w:numPr>
          <w:ilvl w:val="0"/>
          <w:numId w:val="6"/>
        </w:numPr>
        <w:rPr>
          <w:rFonts w:ascii="Arial" w:cs="Arial" w:eastAsia="Arial" w:hAnsi="Arial"/>
          <w:sz w:val="16"/>
          <w:szCs w:val="16"/>
          <w:color w:val="auto"/>
        </w:rPr>
      </w:pPr>
      <w:r>
        <w:rPr>
          <w:rFonts w:ascii="Arial" w:cs="Arial" w:eastAsia="Arial" w:hAnsi="Arial"/>
          <w:sz w:val="16"/>
          <w:szCs w:val="16"/>
          <w:color w:val="auto"/>
        </w:rPr>
        <w:t>Investment is income-producing.</w:t>
      </w:r>
    </w:p>
    <w:p>
      <w:pPr>
        <w:spacing w:after="0" w:line="234" w:lineRule="exact"/>
        <w:rPr>
          <w:sz w:val="20"/>
          <w:szCs w:val="20"/>
          <w:color w:val="auto"/>
        </w:rPr>
      </w:pPr>
    </w:p>
    <w:p>
      <w:pPr>
        <w:jc w:val="both"/>
        <w:ind w:left="500" w:hanging="492"/>
        <w:spacing w:after="0" w:line="256" w:lineRule="auto"/>
        <w:tabs>
          <w:tab w:leader="none" w:pos="500" w:val="left"/>
        </w:tabs>
        <w:numPr>
          <w:ilvl w:val="0"/>
          <w:numId w:val="7"/>
        </w:numPr>
        <w:rPr>
          <w:rFonts w:ascii="Arial" w:cs="Arial" w:eastAsia="Arial" w:hAnsi="Arial"/>
          <w:sz w:val="16"/>
          <w:szCs w:val="16"/>
          <w:color w:val="auto"/>
        </w:rPr>
      </w:pPr>
      <w:r>
        <w:rPr>
          <w:rFonts w:ascii="Arial" w:cs="Arial" w:eastAsia="Arial" w:hAnsi="Arial"/>
          <w:sz w:val="16"/>
          <w:szCs w:val="16"/>
          <w:color w:val="auto"/>
        </w:rPr>
        <w:t>“Affiliate Investments” are investments in those companies that are “Affiliated Companies” of SuRo Capital Corp., as defined in the 1940 Act. In general, a company is deemed to be an “Affiliate” of SuRo Capital Corp. if SuRo Capital Corp. owns 5% or more of the voting securities (</w:t>
      </w:r>
      <w:r>
        <w:rPr>
          <w:rFonts w:ascii="Arial" w:cs="Arial" w:eastAsia="Arial" w:hAnsi="Arial"/>
          <w:sz w:val="16"/>
          <w:szCs w:val="16"/>
          <w:i w:val="1"/>
          <w:iCs w:val="1"/>
          <w:color w:val="auto"/>
        </w:rPr>
        <w:t>i.e.</w:t>
      </w:r>
      <w:r>
        <w:rPr>
          <w:rFonts w:ascii="Arial" w:cs="Arial" w:eastAsia="Arial" w:hAnsi="Arial"/>
          <w:sz w:val="16"/>
          <w:szCs w:val="16"/>
          <w:color w:val="auto"/>
        </w:rPr>
        <w:t>, securities with the right to elect directors) of such company. For the Schedule of Investments In, and Advances To, Affiliates, as required by SEC Regulation S-X, Rule 12-14, refer to “Note 4—Investments at Fair Value”.</w:t>
      </w:r>
    </w:p>
    <w:p>
      <w:pPr>
        <w:spacing w:after="0" w:line="213" w:lineRule="exact"/>
        <w:rPr>
          <w:rFonts w:ascii="Arial" w:cs="Arial" w:eastAsia="Arial" w:hAnsi="Arial"/>
          <w:sz w:val="16"/>
          <w:szCs w:val="16"/>
          <w:color w:val="auto"/>
        </w:rPr>
      </w:pPr>
    </w:p>
    <w:p>
      <w:pPr>
        <w:jc w:val="both"/>
        <w:ind w:left="500" w:hanging="492"/>
        <w:spacing w:after="0" w:line="278" w:lineRule="auto"/>
        <w:tabs>
          <w:tab w:leader="none" w:pos="500" w:val="left"/>
        </w:tabs>
        <w:numPr>
          <w:ilvl w:val="0"/>
          <w:numId w:val="7"/>
        </w:numPr>
        <w:rPr>
          <w:rFonts w:ascii="Arial" w:cs="Arial" w:eastAsia="Arial" w:hAnsi="Arial"/>
          <w:sz w:val="15"/>
          <w:szCs w:val="15"/>
          <w:color w:val="auto"/>
        </w:rPr>
      </w:pPr>
      <w:r>
        <w:rPr>
          <w:rFonts w:ascii="Arial" w:cs="Arial" w:eastAsia="Arial" w:hAnsi="Arial"/>
          <w:sz w:val="15"/>
          <w:szCs w:val="15"/>
          <w:color w:val="auto"/>
        </w:rPr>
        <w:t>“Control Investments” are investments in those companies that are “Controlled Companies” of SuRo Capital Corp., as defined in the 1940 Act. In general, under the 1940 Act, the Company would “Control” a portfolio company if the Company owned more than 25% of its outstanding voting securities (i.e., securities with the right to elect directors) and/or had the power to exercise control over the management or policies of such portfolio company. For the Schedule of Investments In, and Advances To, Affiliates, as required by SEC Regulation S-X, Rule 12-14, refer to “Note 4—Investments at Fair Value”.</w:t>
      </w:r>
    </w:p>
    <w:p>
      <w:pPr>
        <w:spacing w:after="0" w:line="199" w:lineRule="exact"/>
        <w:rPr>
          <w:rFonts w:ascii="Arial" w:cs="Arial" w:eastAsia="Arial" w:hAnsi="Arial"/>
          <w:sz w:val="15"/>
          <w:szCs w:val="15"/>
          <w:color w:val="auto"/>
        </w:rPr>
      </w:pPr>
    </w:p>
    <w:p>
      <w:pPr>
        <w:ind w:left="500" w:hanging="492"/>
        <w:spacing w:after="0"/>
        <w:tabs>
          <w:tab w:leader="none" w:pos="500" w:val="left"/>
        </w:tabs>
        <w:numPr>
          <w:ilvl w:val="0"/>
          <w:numId w:val="7"/>
        </w:numPr>
        <w:rPr>
          <w:rFonts w:ascii="Arial" w:cs="Arial" w:eastAsia="Arial" w:hAnsi="Arial"/>
          <w:sz w:val="16"/>
          <w:szCs w:val="16"/>
          <w:color w:val="auto"/>
        </w:rPr>
      </w:pPr>
      <w:r>
        <w:rPr>
          <w:rFonts w:ascii="Arial" w:cs="Arial" w:eastAsia="Arial" w:hAnsi="Arial"/>
          <w:sz w:val="16"/>
          <w:szCs w:val="16"/>
          <w:color w:val="auto"/>
        </w:rPr>
        <w:t>Denotes an investment considered Level 1 or Level 2 and valued using observable inputs. Refer to “Note 4—Investments at Fair Value”.</w:t>
      </w:r>
    </w:p>
    <w:p>
      <w:pPr>
        <w:spacing w:after="0" w:line="248" w:lineRule="exact"/>
        <w:rPr>
          <w:rFonts w:ascii="Arial" w:cs="Arial" w:eastAsia="Arial" w:hAnsi="Arial"/>
          <w:sz w:val="16"/>
          <w:szCs w:val="16"/>
          <w:color w:val="auto"/>
        </w:rPr>
      </w:pPr>
    </w:p>
    <w:p>
      <w:pPr>
        <w:ind w:left="500" w:hanging="492"/>
        <w:spacing w:after="0"/>
        <w:tabs>
          <w:tab w:leader="none" w:pos="500" w:val="left"/>
        </w:tabs>
        <w:numPr>
          <w:ilvl w:val="0"/>
          <w:numId w:val="7"/>
        </w:numPr>
        <w:rPr>
          <w:rFonts w:ascii="Arial" w:cs="Arial" w:eastAsia="Arial" w:hAnsi="Arial"/>
          <w:sz w:val="16"/>
          <w:szCs w:val="16"/>
          <w:color w:val="auto"/>
        </w:rPr>
      </w:pPr>
      <w:r>
        <w:rPr>
          <w:rFonts w:ascii="Arial" w:cs="Arial" w:eastAsia="Arial" w:hAnsi="Arial"/>
          <w:sz w:val="16"/>
          <w:szCs w:val="16"/>
          <w:color w:val="auto"/>
        </w:rPr>
        <w:t>As of March 31, 2021, the investments noted had been placed on non-accrual status.</w:t>
      </w:r>
    </w:p>
    <w:p>
      <w:pPr>
        <w:spacing w:after="0" w:line="248" w:lineRule="exact"/>
        <w:rPr>
          <w:rFonts w:ascii="Arial" w:cs="Arial" w:eastAsia="Arial" w:hAnsi="Arial"/>
          <w:sz w:val="16"/>
          <w:szCs w:val="16"/>
          <w:color w:val="auto"/>
        </w:rPr>
      </w:pPr>
    </w:p>
    <w:p>
      <w:pPr>
        <w:ind w:left="500" w:hanging="492"/>
        <w:spacing w:after="0"/>
        <w:tabs>
          <w:tab w:leader="none" w:pos="500" w:val="left"/>
        </w:tabs>
        <w:numPr>
          <w:ilvl w:val="0"/>
          <w:numId w:val="7"/>
        </w:numPr>
        <w:rPr>
          <w:rFonts w:ascii="Arial" w:cs="Arial" w:eastAsia="Arial" w:hAnsi="Arial"/>
          <w:sz w:val="16"/>
          <w:szCs w:val="16"/>
          <w:color w:val="auto"/>
        </w:rPr>
      </w:pPr>
      <w:r>
        <w:rPr>
          <w:rFonts w:ascii="Arial" w:cs="Arial" w:eastAsia="Arial" w:hAnsi="Arial"/>
          <w:sz w:val="16"/>
          <w:szCs w:val="16"/>
          <w:color w:val="auto"/>
        </w:rPr>
        <w:t>SuRo Capital Corp.’s investments in StormWind, LLC are held through SuRo Capital Corp.'s wholly owned subsidiary, GSVC SW Holdings, Inc.</w:t>
      </w:r>
    </w:p>
    <w:p>
      <w:pPr>
        <w:spacing w:after="0" w:line="248" w:lineRule="exact"/>
        <w:rPr>
          <w:rFonts w:ascii="Arial" w:cs="Arial" w:eastAsia="Arial" w:hAnsi="Arial"/>
          <w:sz w:val="16"/>
          <w:szCs w:val="16"/>
          <w:color w:val="auto"/>
        </w:rPr>
      </w:pPr>
    </w:p>
    <w:p>
      <w:pPr>
        <w:ind w:left="500" w:hanging="492"/>
        <w:spacing w:after="0" w:line="275" w:lineRule="auto"/>
        <w:tabs>
          <w:tab w:leader="none" w:pos="500" w:val="left"/>
        </w:tabs>
        <w:numPr>
          <w:ilvl w:val="0"/>
          <w:numId w:val="7"/>
        </w:numPr>
        <w:rPr>
          <w:rFonts w:ascii="Arial" w:cs="Arial" w:eastAsia="Arial" w:hAnsi="Arial"/>
          <w:sz w:val="16"/>
          <w:szCs w:val="16"/>
          <w:color w:val="auto"/>
        </w:rPr>
      </w:pPr>
      <w:r>
        <w:rPr>
          <w:rFonts w:ascii="Arial" w:cs="Arial" w:eastAsia="Arial" w:hAnsi="Arial"/>
          <w:sz w:val="16"/>
          <w:szCs w:val="16"/>
          <w:color w:val="auto"/>
        </w:rPr>
        <w:t>SuRo Capital Corp.’s investments in Residential Homes for Rent, LLC (d/b/a Second Avenue) are held through SuRo Capital Corp.'s wholly owned subsidiary, GSVC AV Holdings, Inc.</w:t>
      </w:r>
    </w:p>
    <w:p>
      <w:pPr>
        <w:spacing w:after="0" w:line="199" w:lineRule="exact"/>
        <w:rPr>
          <w:rFonts w:ascii="Arial" w:cs="Arial" w:eastAsia="Arial" w:hAnsi="Arial"/>
          <w:sz w:val="16"/>
          <w:szCs w:val="16"/>
          <w:color w:val="auto"/>
        </w:rPr>
      </w:pPr>
    </w:p>
    <w:p>
      <w:pPr>
        <w:ind w:left="500" w:hanging="492"/>
        <w:spacing w:after="0" w:line="275" w:lineRule="auto"/>
        <w:tabs>
          <w:tab w:leader="none" w:pos="500" w:val="left"/>
        </w:tabs>
        <w:numPr>
          <w:ilvl w:val="0"/>
          <w:numId w:val="7"/>
        </w:numPr>
        <w:rPr>
          <w:rFonts w:ascii="Arial" w:cs="Arial" w:eastAsia="Arial" w:hAnsi="Arial"/>
          <w:sz w:val="16"/>
          <w:szCs w:val="16"/>
          <w:color w:val="auto"/>
        </w:rPr>
      </w:pPr>
      <w:r>
        <w:rPr>
          <w:rFonts w:ascii="Arial" w:cs="Arial" w:eastAsia="Arial" w:hAnsi="Arial"/>
          <w:sz w:val="16"/>
          <w:szCs w:val="16"/>
          <w:color w:val="auto"/>
        </w:rPr>
        <w:t>SuRo Capital Corp.’s investments in Commercial Streaming Solutions Inc. (d/b/a BettorView) are held through SuRo Capital Corp.'s wholly owned subsidiary, SuRo Capital Sports, LLC ("SuRo Sports").</w:t>
      </w:r>
    </w:p>
    <w:p>
      <w:pPr>
        <w:spacing w:after="0" w:line="199" w:lineRule="exact"/>
        <w:rPr>
          <w:rFonts w:ascii="Arial" w:cs="Arial" w:eastAsia="Arial" w:hAnsi="Arial"/>
          <w:sz w:val="16"/>
          <w:szCs w:val="16"/>
          <w:color w:val="auto"/>
        </w:rPr>
      </w:pPr>
    </w:p>
    <w:p>
      <w:pPr>
        <w:ind w:left="500" w:right="20" w:hanging="492"/>
        <w:spacing w:after="0" w:line="310" w:lineRule="auto"/>
        <w:tabs>
          <w:tab w:leader="none" w:pos="500" w:val="left"/>
        </w:tabs>
        <w:numPr>
          <w:ilvl w:val="0"/>
          <w:numId w:val="7"/>
        </w:numPr>
        <w:rPr>
          <w:rFonts w:ascii="Arial" w:cs="Arial" w:eastAsia="Arial" w:hAnsi="Arial"/>
          <w:sz w:val="15"/>
          <w:szCs w:val="15"/>
          <w:color w:val="auto"/>
        </w:rPr>
      </w:pPr>
      <w:r>
        <w:rPr>
          <w:rFonts w:ascii="Arial" w:cs="Arial" w:eastAsia="Arial" w:hAnsi="Arial"/>
          <w:sz w:val="15"/>
          <w:szCs w:val="15"/>
          <w:color w:val="auto"/>
        </w:rPr>
        <w:t>The SPBRX, INC. (f/k/a GSV Sustainability Partners, Inc.) preferred shares held by SuRo Capital Corp. do not entitle SuRo Capital Corp. to a preferred dividend. SuRo Capital Corp. does not anticipate that SPBRX, INC. will pay distributions on a quarterly or regular basis or become a predictable distributor of distributions.</w:t>
      </w:r>
    </w:p>
    <w:p>
      <w:pPr>
        <w:spacing w:after="0" w:line="175" w:lineRule="exact"/>
        <w:rPr>
          <w:rFonts w:ascii="Arial" w:cs="Arial" w:eastAsia="Arial" w:hAnsi="Arial"/>
          <w:sz w:val="15"/>
          <w:szCs w:val="15"/>
          <w:color w:val="auto"/>
        </w:rPr>
      </w:pPr>
    </w:p>
    <w:p>
      <w:pPr>
        <w:jc w:val="both"/>
        <w:ind w:left="500" w:hanging="492"/>
        <w:spacing w:after="0" w:line="315" w:lineRule="auto"/>
        <w:tabs>
          <w:tab w:leader="none" w:pos="500" w:val="left"/>
        </w:tabs>
        <w:numPr>
          <w:ilvl w:val="0"/>
          <w:numId w:val="7"/>
        </w:numPr>
        <w:rPr>
          <w:rFonts w:ascii="Arial" w:cs="Arial" w:eastAsia="Arial" w:hAnsi="Arial"/>
          <w:sz w:val="14"/>
          <w:szCs w:val="14"/>
          <w:color w:val="auto"/>
        </w:rPr>
      </w:pPr>
      <w:r>
        <w:rPr>
          <w:rFonts w:ascii="Arial" w:cs="Arial" w:eastAsia="Arial" w:hAnsi="Arial"/>
          <w:sz w:val="14"/>
          <w:szCs w:val="14"/>
          <w:color w:val="auto"/>
        </w:rPr>
        <w:t>On August 23, 2019, SuRo Capital Corp. amended the structure of its investment in NestGSV, Inc. (d/b/a OneValley, Inc.). As part of the agreement, SuRo Capital Corp.’s equity holdings (warrants notwithstanding) were restructured into a derivative security. NestGSV, Inc. (d/b/a OneValley,Inc.) has the right to call the position at any time over a five year period, while SuRo Capital Corp. can put the shares to NestGSV, Inc. (d/b/a OneValley, Inc.) at the end of the five year period.</w:t>
      </w:r>
    </w:p>
    <w:p>
      <w:pPr>
        <w:spacing w:after="0" w:line="176" w:lineRule="exact"/>
        <w:rPr>
          <w:rFonts w:ascii="Arial" w:cs="Arial" w:eastAsia="Arial" w:hAnsi="Arial"/>
          <w:sz w:val="14"/>
          <w:szCs w:val="14"/>
          <w:color w:val="auto"/>
        </w:rPr>
      </w:pPr>
    </w:p>
    <w:p>
      <w:pPr>
        <w:jc w:val="both"/>
        <w:ind w:left="500" w:hanging="492"/>
        <w:spacing w:after="0" w:line="261" w:lineRule="auto"/>
        <w:tabs>
          <w:tab w:leader="none" w:pos="500" w:val="left"/>
        </w:tabs>
        <w:numPr>
          <w:ilvl w:val="0"/>
          <w:numId w:val="7"/>
        </w:numPr>
        <w:rPr>
          <w:rFonts w:ascii="Arial" w:cs="Arial" w:eastAsia="Arial" w:hAnsi="Arial"/>
          <w:sz w:val="16"/>
          <w:szCs w:val="16"/>
          <w:color w:val="auto"/>
        </w:rPr>
      </w:pPr>
      <w:r>
        <w:rPr>
          <w:rFonts w:ascii="Arial" w:cs="Arial" w:eastAsia="Arial" w:hAnsi="Arial"/>
          <w:sz w:val="16"/>
          <w:szCs w:val="16"/>
          <w:color w:val="auto"/>
        </w:rPr>
        <w:t>As of March 31, 2021, 712,290 unrestricted Class A common shares remain in Palantir Lending Trust SPV I. The realized gain from SuRo Capital Corp.'s investment in Palantir Lending Trust SPV I is generated by the proceeds from the sale of shares collateralizing the repaid promissory note to Palantir Lending Trust SPV I and attributable to the Equity Participation in Underlying Collateral.</w:t>
      </w:r>
    </w:p>
    <w:p>
      <w:pPr>
        <w:spacing w:after="0" w:line="209" w:lineRule="exact"/>
        <w:rPr>
          <w:rFonts w:ascii="Arial" w:cs="Arial" w:eastAsia="Arial" w:hAnsi="Arial"/>
          <w:sz w:val="16"/>
          <w:szCs w:val="16"/>
          <w:color w:val="auto"/>
        </w:rPr>
      </w:pPr>
    </w:p>
    <w:p>
      <w:pPr>
        <w:ind w:left="480" w:hanging="472"/>
        <w:spacing w:after="0"/>
        <w:tabs>
          <w:tab w:leader="none" w:pos="480" w:val="left"/>
        </w:tabs>
        <w:numPr>
          <w:ilvl w:val="0"/>
          <w:numId w:val="7"/>
        </w:numPr>
        <w:rPr>
          <w:rFonts w:ascii="Arial" w:cs="Arial" w:eastAsia="Arial" w:hAnsi="Arial"/>
          <w:sz w:val="16"/>
          <w:szCs w:val="16"/>
          <w:color w:val="auto"/>
        </w:rPr>
      </w:pPr>
      <w:r>
        <w:rPr>
          <w:rFonts w:ascii="Arial" w:cs="Arial" w:eastAsia="Arial" w:hAnsi="Arial"/>
          <w:sz w:val="16"/>
          <w:szCs w:val="16"/>
          <w:color w:val="auto"/>
        </w:rPr>
        <w:t>On January 1, 2021, Treehouse Real Estate Investment Trust, Inc. completed its spin off of 34.4% of its assets into Aventine Property Group, Inc.</w:t>
      </w:r>
    </w:p>
    <w:p>
      <w:pPr>
        <w:spacing w:after="0" w:line="248" w:lineRule="exact"/>
        <w:rPr>
          <w:rFonts w:ascii="Arial" w:cs="Arial" w:eastAsia="Arial" w:hAnsi="Arial"/>
          <w:sz w:val="16"/>
          <w:szCs w:val="16"/>
          <w:color w:val="auto"/>
        </w:rPr>
      </w:pPr>
    </w:p>
    <w:p>
      <w:pPr>
        <w:ind w:left="500" w:hanging="492"/>
        <w:spacing w:after="0" w:line="275" w:lineRule="auto"/>
        <w:tabs>
          <w:tab w:leader="none" w:pos="500" w:val="left"/>
        </w:tabs>
        <w:numPr>
          <w:ilvl w:val="0"/>
          <w:numId w:val="7"/>
        </w:numPr>
        <w:rPr>
          <w:rFonts w:ascii="Arial" w:cs="Arial" w:eastAsia="Arial" w:hAnsi="Arial"/>
          <w:sz w:val="16"/>
          <w:szCs w:val="16"/>
          <w:color w:val="auto"/>
        </w:rPr>
      </w:pPr>
      <w:r>
        <w:rPr>
          <w:rFonts w:ascii="Arial" w:cs="Arial" w:eastAsia="Arial" w:hAnsi="Arial"/>
          <w:sz w:val="16"/>
          <w:szCs w:val="16"/>
          <w:color w:val="auto"/>
        </w:rPr>
        <w:t>On November 9, 2020, SharesPost, Inc. completed its merger with Forge Global, Inc. As part of the merger, SuRo Capital Corp. received $0.7 million in Class AA Common shares and Junior Preferred shares currently being held in escrow. We expect to receive the proceeds held in escrow in 2021.</w:t>
      </w:r>
    </w:p>
    <w:p>
      <w:pPr>
        <w:spacing w:after="0" w:line="199" w:lineRule="exact"/>
        <w:rPr>
          <w:rFonts w:ascii="Arial" w:cs="Arial" w:eastAsia="Arial" w:hAnsi="Arial"/>
          <w:sz w:val="16"/>
          <w:szCs w:val="16"/>
          <w:color w:val="auto"/>
        </w:rPr>
      </w:pPr>
    </w:p>
    <w:p>
      <w:pPr>
        <w:ind w:left="500" w:hanging="492"/>
        <w:spacing w:after="0" w:line="275" w:lineRule="auto"/>
        <w:tabs>
          <w:tab w:leader="none" w:pos="500" w:val="left"/>
        </w:tabs>
        <w:numPr>
          <w:ilvl w:val="0"/>
          <w:numId w:val="7"/>
        </w:numPr>
        <w:rPr>
          <w:rFonts w:ascii="Arial" w:cs="Arial" w:eastAsia="Arial" w:hAnsi="Arial"/>
          <w:sz w:val="16"/>
          <w:szCs w:val="16"/>
          <w:color w:val="auto"/>
        </w:rPr>
      </w:pPr>
      <w:r>
        <w:rPr>
          <w:rFonts w:ascii="Arial" w:cs="Arial" w:eastAsia="Arial" w:hAnsi="Arial"/>
          <w:sz w:val="16"/>
          <w:szCs w:val="16"/>
          <w:color w:val="auto"/>
        </w:rPr>
        <w:t>On March 31, 2021, Coursera, Inc. went public via an initial public offering on the New York Stock Exchange. As of March 31, 2021, all of SuRo Capital Corp.'s public shares of Coursera, Inc. common stock were subject to certain lock-up restrictions.</w:t>
      </w:r>
    </w:p>
    <w:p>
      <w:pPr>
        <w:spacing w:after="0" w:line="199" w:lineRule="exact"/>
        <w:rPr>
          <w:rFonts w:ascii="Arial" w:cs="Arial" w:eastAsia="Arial" w:hAnsi="Arial"/>
          <w:sz w:val="16"/>
          <w:szCs w:val="16"/>
          <w:color w:val="auto"/>
        </w:rPr>
      </w:pPr>
    </w:p>
    <w:p>
      <w:pPr>
        <w:jc w:val="both"/>
        <w:ind w:left="500" w:hanging="492"/>
        <w:spacing w:after="0" w:line="261" w:lineRule="auto"/>
        <w:tabs>
          <w:tab w:leader="none" w:pos="500" w:val="left"/>
        </w:tabs>
        <w:numPr>
          <w:ilvl w:val="0"/>
          <w:numId w:val="7"/>
        </w:numPr>
        <w:rPr>
          <w:rFonts w:ascii="Arial" w:cs="Arial" w:eastAsia="Arial" w:hAnsi="Arial"/>
          <w:sz w:val="16"/>
          <w:szCs w:val="16"/>
          <w:color w:val="auto"/>
        </w:rPr>
      </w:pPr>
      <w:r>
        <w:rPr>
          <w:rFonts w:ascii="Arial" w:cs="Arial" w:eastAsia="Arial" w:hAnsi="Arial"/>
          <w:sz w:val="16"/>
          <w:szCs w:val="16"/>
          <w:color w:val="auto"/>
        </w:rPr>
        <w:t>As of March 31, 2021, approximately $0.4 million has been received from Residential Homes for Rent, LLC (d/b/a Second Avenue) related to the 15% term loan due December 23, 2023. Of the proceeds received, approximately $0.3 million repaid a portion of the outstanding principal and approximately $0.1 million was attributed to interest.</w:t>
      </w:r>
    </w:p>
    <w:p>
      <w:pPr>
        <w:spacing w:after="0" w:line="209" w:lineRule="exact"/>
        <w:rPr>
          <w:rFonts w:ascii="Arial" w:cs="Arial" w:eastAsia="Arial" w:hAnsi="Arial"/>
          <w:sz w:val="16"/>
          <w:szCs w:val="16"/>
          <w:color w:val="auto"/>
        </w:rPr>
      </w:pPr>
    </w:p>
    <w:p>
      <w:pPr>
        <w:ind w:left="500" w:hanging="492"/>
        <w:spacing w:after="0" w:line="310" w:lineRule="auto"/>
        <w:tabs>
          <w:tab w:leader="none" w:pos="500" w:val="left"/>
        </w:tabs>
        <w:numPr>
          <w:ilvl w:val="0"/>
          <w:numId w:val="7"/>
        </w:numPr>
        <w:rPr>
          <w:rFonts w:ascii="Arial" w:cs="Arial" w:eastAsia="Arial" w:hAnsi="Arial"/>
          <w:sz w:val="15"/>
          <w:szCs w:val="15"/>
          <w:color w:val="auto"/>
        </w:rPr>
      </w:pPr>
      <w:r>
        <w:rPr>
          <w:rFonts w:ascii="Arial" w:cs="Arial" w:eastAsia="Arial" w:hAnsi="Arial"/>
          <w:sz w:val="15"/>
          <w:szCs w:val="15"/>
          <w:color w:val="auto"/>
        </w:rPr>
        <w:t>During the three months ended March 31, 2021, Aventine Property Group, Inc. declared an aggregate of $21,875 in dividend distributions. SuRo Capital Corp. does not anticipate that Aventine Property Group, Inc. will pay distributions on a recurring or regular basis or become a predictable distributor of distributions.</w:t>
      </w:r>
    </w:p>
    <w:p>
      <w:pPr>
        <w:spacing w:after="0" w:line="175" w:lineRule="exact"/>
        <w:rPr>
          <w:rFonts w:ascii="Arial" w:cs="Arial" w:eastAsia="Arial" w:hAnsi="Arial"/>
          <w:sz w:val="15"/>
          <w:szCs w:val="15"/>
          <w:color w:val="auto"/>
        </w:rPr>
      </w:pPr>
    </w:p>
    <w:p>
      <w:pPr>
        <w:ind w:left="500" w:hanging="492"/>
        <w:spacing w:after="0" w:line="275" w:lineRule="auto"/>
        <w:tabs>
          <w:tab w:leader="none" w:pos="500" w:val="left"/>
        </w:tabs>
        <w:numPr>
          <w:ilvl w:val="0"/>
          <w:numId w:val="7"/>
        </w:numPr>
        <w:rPr>
          <w:rFonts w:ascii="Arial" w:cs="Arial" w:eastAsia="Arial" w:hAnsi="Arial"/>
          <w:sz w:val="16"/>
          <w:szCs w:val="16"/>
          <w:color w:val="auto"/>
        </w:rPr>
      </w:pPr>
      <w:r>
        <w:rPr>
          <w:rFonts w:ascii="Arial" w:cs="Arial" w:eastAsia="Arial" w:hAnsi="Arial"/>
          <w:sz w:val="16"/>
          <w:szCs w:val="16"/>
          <w:color w:val="auto"/>
        </w:rPr>
        <w:t>As of March 31, 2021, $0.5 million of the $10.0 million capital commitment representing our Membership Interest in Architect Capital PayJoy SPV, LLC had been called and funded.</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121" w:right="339" w:bottom="1440" w:gutter="0" w:footer="0" w:header="0"/>
        </w:sectPr>
      </w:pPr>
    </w:p>
    <w:bookmarkStart w:id="10" w:name="page11"/>
    <w:bookmarkEnd w:id="10"/>
    <w:p>
      <w:pPr>
        <w:spacing w:after="0"/>
        <w:rPr>
          <w:rFonts w:ascii="Arial" w:cs="Arial" w:eastAsia="Arial" w:hAnsi="Arial"/>
          <w:sz w:val="14"/>
          <w:szCs w:val="14"/>
          <w:color w:val="0000FF"/>
        </w:rPr>
      </w:pPr>
      <w:hyperlink w:anchor="page1">
        <w:r>
          <w:rPr>
            <w:rFonts w:ascii="Arial" w:cs="Arial" w:eastAsia="Arial" w:hAnsi="Arial"/>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ind w:left="500" w:hanging="492"/>
        <w:spacing w:after="0" w:line="261" w:lineRule="auto"/>
        <w:tabs>
          <w:tab w:leader="none" w:pos="500" w:val="left"/>
        </w:tabs>
        <w:numPr>
          <w:ilvl w:val="0"/>
          <w:numId w:val="8"/>
        </w:numPr>
        <w:rPr>
          <w:rFonts w:ascii="Arial" w:cs="Arial" w:eastAsia="Arial" w:hAnsi="Arial"/>
          <w:sz w:val="16"/>
          <w:szCs w:val="16"/>
          <w:color w:val="auto"/>
        </w:rPr>
      </w:pPr>
      <w:r>
        <w:rPr>
          <w:rFonts w:ascii="Arial" w:cs="Arial" w:eastAsia="Arial" w:hAnsi="Arial"/>
          <w:sz w:val="16"/>
          <w:szCs w:val="16"/>
          <w:color w:val="auto"/>
        </w:rPr>
        <w:t>During the three months ended March 31, 2021, NewLake Capital Partners, Inc. (f/k/a GreenAcreage Real Estate Corp.) declared an aggregate of approximately $0.1 million in dividend distributions. SuRo Capital Corp. does not anticipate that NewLake Capital Partners, Inc. (f/k/a GreenAcreage Real Estate Corp.) will pay distributions on a recurring or regular basis or become a predictable distributor of distributions.</w:t>
      </w: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320" w:top="122" w:right="339" w:bottom="1440" w:gutter="0" w:footer="0" w:header="0"/>
        </w:sectPr>
      </w:pPr>
    </w:p>
    <w:bookmarkStart w:id="11" w:name="page12"/>
    <w:bookmarkEnd w:id="11"/>
    <w:p>
      <w:pPr>
        <w:spacing w:after="0"/>
        <w:rPr>
          <w:rFonts w:ascii="Arial" w:cs="Arial" w:eastAsia="Arial" w:hAnsi="Arial"/>
          <w:sz w:val="14"/>
          <w:szCs w:val="14"/>
          <w:color w:val="0000FF"/>
        </w:rPr>
      </w:pPr>
      <w:hyperlink w:anchor="page1">
        <w:r>
          <w:rPr>
            <w:rFonts w:ascii="Arial" w:cs="Arial" w:eastAsia="Arial" w:hAnsi="Arial"/>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SURO CAPITAL CORP.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SCHEDULE OF INVESTMENTS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60" w:type="dxa"/>
            <w:vAlign w:val="bottom"/>
            <w:gridSpan w:val="13"/>
            <w:vMerge w:val="restart"/>
          </w:tcPr>
          <w:p>
            <w:pPr>
              <w:spacing w:after="0"/>
              <w:rPr>
                <w:sz w:val="20"/>
                <w:szCs w:val="20"/>
                <w:color w:val="auto"/>
              </w:rPr>
            </w:pPr>
            <w:r>
              <w:rPr>
                <w:rFonts w:ascii="Arial" w:cs="Arial" w:eastAsia="Arial" w:hAnsi="Arial"/>
                <w:sz w:val="14"/>
                <w:szCs w:val="14"/>
                <w:b w:val="1"/>
                <w:bCs w:val="1"/>
                <w:color w:val="auto"/>
              </w:rPr>
              <w:t>Portfolio Investments*</w:t>
            </w:r>
          </w:p>
        </w:tc>
        <w:tc>
          <w:tcPr>
            <w:tcW w:w="1980" w:type="dxa"/>
            <w:vAlign w:val="bottom"/>
          </w:tcPr>
          <w:p>
            <w:pPr>
              <w:jc w:val="center"/>
              <w:spacing w:after="0"/>
              <w:rPr>
                <w:sz w:val="20"/>
                <w:szCs w:val="20"/>
                <w:color w:val="auto"/>
              </w:rPr>
            </w:pPr>
            <w:r>
              <w:rPr>
                <w:rFonts w:ascii="Arial" w:cs="Arial" w:eastAsia="Arial" w:hAnsi="Arial"/>
                <w:sz w:val="14"/>
                <w:szCs w:val="14"/>
                <w:b w:val="1"/>
                <w:bCs w:val="1"/>
                <w:color w:val="auto"/>
                <w:w w:val="95"/>
              </w:rPr>
              <w:t>Headquarters/</w:t>
            </w:r>
          </w:p>
        </w:tc>
        <w:tc>
          <w:tcPr>
            <w:tcW w:w="100" w:type="dxa"/>
            <w:vAlign w:val="bottom"/>
          </w:tcPr>
          <w:p>
            <w:pPr>
              <w:spacing w:after="0"/>
              <w:rPr>
                <w:sz w:val="14"/>
                <w:szCs w:val="14"/>
                <w:color w:val="auto"/>
              </w:rPr>
            </w:pPr>
          </w:p>
        </w:tc>
        <w:tc>
          <w:tcPr>
            <w:tcW w:w="10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Date of Initial</w:t>
            </w:r>
          </w:p>
        </w:tc>
        <w:tc>
          <w:tcPr>
            <w:tcW w:w="140" w:type="dxa"/>
            <w:vAlign w:val="bottom"/>
          </w:tcPr>
          <w:p>
            <w:pPr>
              <w:spacing w:after="0"/>
              <w:rPr>
                <w:sz w:val="14"/>
                <w:szCs w:val="14"/>
                <w:color w:val="auto"/>
              </w:rPr>
            </w:pPr>
          </w:p>
        </w:tc>
        <w:tc>
          <w:tcPr>
            <w:tcW w:w="840" w:type="dxa"/>
            <w:vAlign w:val="bottom"/>
          </w:tcPr>
          <w:p>
            <w:pPr>
              <w:jc w:val="right"/>
              <w:ind w:right="188"/>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Cost</w:t>
            </w:r>
          </w:p>
        </w:tc>
        <w:tc>
          <w:tcPr>
            <w:tcW w:w="160" w:type="dxa"/>
            <w:vAlign w:val="bottom"/>
          </w:tcPr>
          <w:p>
            <w:pPr>
              <w:spacing w:after="0"/>
              <w:rPr>
                <w:sz w:val="14"/>
                <w:szCs w:val="14"/>
                <w:color w:val="auto"/>
              </w:rPr>
            </w:pPr>
          </w:p>
        </w:tc>
        <w:tc>
          <w:tcPr>
            <w:tcW w:w="10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Fair Value</w:t>
            </w:r>
          </w:p>
        </w:tc>
        <w:tc>
          <w:tcPr>
            <w:tcW w:w="920" w:type="dxa"/>
            <w:vAlign w:val="bottom"/>
          </w:tcPr>
          <w:p>
            <w:pPr>
              <w:jc w:val="right"/>
              <w:ind w:right="108"/>
              <w:spacing w:after="0"/>
              <w:rPr>
                <w:sz w:val="20"/>
                <w:szCs w:val="20"/>
                <w:color w:val="auto"/>
              </w:rPr>
            </w:pPr>
            <w:r>
              <w:rPr>
                <w:rFonts w:ascii="Arial" w:cs="Arial" w:eastAsia="Arial" w:hAnsi="Arial"/>
                <w:sz w:val="14"/>
                <w:szCs w:val="14"/>
                <w:b w:val="1"/>
                <w:bCs w:val="1"/>
                <w:color w:val="auto"/>
              </w:rPr>
              <w:t>% of Net</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660" w:type="dxa"/>
            <w:vAlign w:val="bottom"/>
            <w:gridSpan w:val="13"/>
            <w:vMerge w:val="continue"/>
          </w:tcPr>
          <w:p>
            <w:pPr>
              <w:spacing w:after="0"/>
              <w:rPr>
                <w:sz w:val="16"/>
                <w:szCs w:val="16"/>
                <w:color w:val="auto"/>
              </w:rPr>
            </w:pPr>
          </w:p>
        </w:tc>
        <w:tc>
          <w:tcPr>
            <w:tcW w:w="1980" w:type="dxa"/>
            <w:vAlign w:val="bottom"/>
          </w:tcPr>
          <w:p>
            <w:pPr>
              <w:jc w:val="center"/>
              <w:spacing w:after="0"/>
              <w:rPr>
                <w:sz w:val="20"/>
                <w:szCs w:val="20"/>
                <w:color w:val="auto"/>
              </w:rPr>
            </w:pPr>
            <w:r>
              <w:rPr>
                <w:rFonts w:ascii="Arial" w:cs="Arial" w:eastAsia="Arial" w:hAnsi="Arial"/>
                <w:sz w:val="14"/>
                <w:szCs w:val="14"/>
                <w:b w:val="1"/>
                <w:bCs w:val="1"/>
                <w:color w:val="auto"/>
                <w:w w:val="97"/>
              </w:rPr>
              <w:t>Industry</w:t>
            </w:r>
          </w:p>
        </w:tc>
        <w:tc>
          <w:tcPr>
            <w:tcW w:w="100" w:type="dxa"/>
            <w:vAlign w:val="bottom"/>
          </w:tcPr>
          <w:p>
            <w:pPr>
              <w:spacing w:after="0"/>
              <w:rPr>
                <w:sz w:val="16"/>
                <w:szCs w:val="16"/>
                <w:color w:val="auto"/>
              </w:rPr>
            </w:pPr>
          </w:p>
        </w:tc>
        <w:tc>
          <w:tcPr>
            <w:tcW w:w="10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Investment</w:t>
            </w:r>
          </w:p>
        </w:tc>
        <w:tc>
          <w:tcPr>
            <w:tcW w:w="140" w:type="dxa"/>
            <w:vAlign w:val="bottom"/>
          </w:tcPr>
          <w:p>
            <w:pPr>
              <w:spacing w:after="0"/>
              <w:rPr>
                <w:sz w:val="16"/>
                <w:szCs w:val="16"/>
                <w:color w:val="auto"/>
              </w:rPr>
            </w:pPr>
          </w:p>
        </w:tc>
        <w:tc>
          <w:tcPr>
            <w:tcW w:w="840" w:type="dxa"/>
            <w:vAlign w:val="bottom"/>
          </w:tcPr>
          <w:p>
            <w:pPr>
              <w:jc w:val="right"/>
              <w:ind w:right="148"/>
              <w:spacing w:after="0"/>
              <w:rPr>
                <w:sz w:val="20"/>
                <w:szCs w:val="20"/>
                <w:color w:val="auto"/>
              </w:rPr>
            </w:pPr>
            <w:r>
              <w:rPr>
                <w:rFonts w:ascii="Arial" w:cs="Arial" w:eastAsia="Arial" w:hAnsi="Arial"/>
                <w:sz w:val="14"/>
                <w:szCs w:val="14"/>
                <w:b w:val="1"/>
                <w:bCs w:val="1"/>
                <w:color w:val="auto"/>
              </w:rPr>
              <w:t>Principal</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920" w:type="dxa"/>
            <w:vAlign w:val="bottom"/>
          </w:tcPr>
          <w:p>
            <w:pPr>
              <w:jc w:val="right"/>
              <w:ind w:right="188"/>
              <w:spacing w:after="0"/>
              <w:rPr>
                <w:sz w:val="20"/>
                <w:szCs w:val="20"/>
                <w:color w:val="auto"/>
              </w:rPr>
            </w:pPr>
            <w:r>
              <w:rPr>
                <w:rFonts w:ascii="Arial" w:cs="Arial" w:eastAsia="Arial" w:hAnsi="Arial"/>
                <w:sz w:val="14"/>
                <w:szCs w:val="14"/>
                <w:b w:val="1"/>
                <w:bCs w:val="1"/>
                <w:color w:val="auto"/>
              </w:rPr>
              <w:t>Assets</w:t>
            </w:r>
          </w:p>
        </w:tc>
        <w:tc>
          <w:tcPr>
            <w:tcW w:w="0" w:type="dxa"/>
            <w:vAlign w:val="bottom"/>
          </w:tcPr>
          <w:p>
            <w:pPr>
              <w:spacing w:after="0"/>
              <w:rPr>
                <w:sz w:val="1"/>
                <w:szCs w:val="1"/>
                <w:color w:val="auto"/>
              </w:rPr>
            </w:pPr>
          </w:p>
        </w:tc>
      </w:tr>
      <w:tr>
        <w:trPr>
          <w:trHeight w:val="184"/>
        </w:trPr>
        <w:tc>
          <w:tcPr>
            <w:tcW w:w="20" w:type="dxa"/>
            <w:vAlign w:val="bottom"/>
            <w:tcBorders>
              <w:top w:val="single" w:sz="8" w:color="auto"/>
              <w:bottom w:val="single" w:sz="8" w:color="CCEEFF"/>
            </w:tcBorders>
            <w:shd w:val="clear" w:color="auto" w:fill="CCEEFF"/>
          </w:tcPr>
          <w:p>
            <w:pPr>
              <w:spacing w:after="0"/>
              <w:rPr>
                <w:sz w:val="15"/>
                <w:szCs w:val="15"/>
                <w:color w:val="auto"/>
              </w:rPr>
            </w:pPr>
          </w:p>
        </w:tc>
        <w:tc>
          <w:tcPr>
            <w:tcW w:w="3560" w:type="dxa"/>
            <w:vAlign w:val="bottom"/>
            <w:tcBorders>
              <w:top w:val="single" w:sz="8" w:color="auto"/>
              <w:bottom w:val="single" w:sz="8" w:color="CCEEFF"/>
            </w:tcBorders>
            <w:gridSpan w:val="12"/>
            <w:shd w:val="clear" w:color="auto" w:fill="CCEEFF"/>
          </w:tcPr>
          <w:p>
            <w:pPr>
              <w:spacing w:after="0"/>
              <w:rPr>
                <w:sz w:val="20"/>
                <w:szCs w:val="20"/>
                <w:color w:val="auto"/>
              </w:rPr>
            </w:pPr>
            <w:r>
              <w:rPr>
                <w:rFonts w:ascii="Arial" w:cs="Arial" w:eastAsia="Arial" w:hAnsi="Arial"/>
                <w:sz w:val="14"/>
                <w:szCs w:val="14"/>
                <w:b w:val="1"/>
                <w:bCs w:val="1"/>
                <w:color w:val="auto"/>
              </w:rPr>
              <w:t>NON-CONTROLLED/NON-AFFILIATE</w:t>
            </w:r>
          </w:p>
        </w:tc>
        <w:tc>
          <w:tcPr>
            <w:tcW w:w="100" w:type="dxa"/>
            <w:vAlign w:val="bottom"/>
            <w:tcBorders>
              <w:top w:val="single" w:sz="8" w:color="CCEEFF"/>
            </w:tcBorders>
            <w:shd w:val="clear" w:color="auto" w:fill="CCEEFF"/>
          </w:tcPr>
          <w:p>
            <w:pPr>
              <w:spacing w:after="0"/>
              <w:rPr>
                <w:sz w:val="15"/>
                <w:szCs w:val="15"/>
                <w:color w:val="auto"/>
              </w:rPr>
            </w:pPr>
          </w:p>
        </w:tc>
        <w:tc>
          <w:tcPr>
            <w:tcW w:w="198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560" w:type="dxa"/>
            <w:vAlign w:val="bottom"/>
            <w:gridSpan w:val="12"/>
          </w:tcPr>
          <w:p>
            <w:pPr>
              <w:spacing w:after="0" w:line="142" w:lineRule="exact"/>
              <w:rPr>
                <w:sz w:val="20"/>
                <w:szCs w:val="20"/>
                <w:color w:val="auto"/>
              </w:rPr>
            </w:pPr>
            <w:r>
              <w:rPr>
                <w:rFonts w:ascii="Arial" w:cs="Arial" w:eastAsia="Arial" w:hAnsi="Arial"/>
                <w:sz w:val="14"/>
                <w:szCs w:val="14"/>
                <w:b w:val="1"/>
                <w:bCs w:val="1"/>
                <w:color w:val="auto"/>
              </w:rPr>
              <w:t>Palantir Technologies, Inc.</w:t>
            </w: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980" w:type="dxa"/>
            <w:vAlign w:val="bottom"/>
          </w:tcPr>
          <w:p>
            <w:pPr>
              <w:jc w:val="center"/>
              <w:spacing w:after="0" w:line="142" w:lineRule="exact"/>
              <w:rPr>
                <w:sz w:val="20"/>
                <w:szCs w:val="20"/>
                <w:color w:val="auto"/>
              </w:rPr>
            </w:pPr>
            <w:r>
              <w:rPr>
                <w:rFonts w:ascii="Arial" w:cs="Arial" w:eastAsia="Arial" w:hAnsi="Arial"/>
                <w:sz w:val="14"/>
                <w:szCs w:val="14"/>
                <w:color w:val="auto"/>
                <w:w w:val="98"/>
              </w:rPr>
              <w:t>Palo Alto, CA</w:t>
            </w: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8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3560" w:type="dxa"/>
            <w:vAlign w:val="bottom"/>
            <w:gridSpan w:val="12"/>
            <w:shd w:val="clear" w:color="auto" w:fill="CCEEFF"/>
          </w:tcPr>
          <w:p>
            <w:pPr>
              <w:spacing w:after="0" w:line="189" w:lineRule="exact"/>
              <w:rPr>
                <w:sz w:val="20"/>
                <w:szCs w:val="20"/>
                <w:color w:val="auto"/>
              </w:rPr>
            </w:pPr>
            <w:r>
              <w:rPr>
                <w:rFonts w:ascii="Arial" w:cs="Arial" w:eastAsia="Arial" w:hAnsi="Arial"/>
                <w:sz w:val="14"/>
                <w:szCs w:val="14"/>
                <w:color w:val="auto"/>
              </w:rPr>
              <w:t>Common shares, Class A</w:t>
            </w:r>
            <w:r>
              <w:rPr>
                <w:rFonts w:ascii="Arial" w:cs="Arial" w:eastAsia="Arial" w:hAnsi="Arial"/>
                <w:sz w:val="18"/>
                <w:szCs w:val="18"/>
                <w:color w:val="auto"/>
                <w:vertAlign w:val="superscript"/>
              </w:rPr>
              <w:t>(3)(13)</w:t>
            </w:r>
          </w:p>
        </w:tc>
        <w:tc>
          <w:tcPr>
            <w:tcW w:w="100" w:type="dxa"/>
            <w:vAlign w:val="bottom"/>
            <w:shd w:val="clear" w:color="auto" w:fill="CCEEFF"/>
          </w:tcPr>
          <w:p>
            <w:pPr>
              <w:spacing w:after="0"/>
              <w:rPr>
                <w:sz w:val="17"/>
                <w:szCs w:val="17"/>
                <w:color w:val="auto"/>
              </w:rPr>
            </w:pPr>
          </w:p>
        </w:tc>
        <w:tc>
          <w:tcPr>
            <w:tcW w:w="19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Data Analysis</w:t>
            </w:r>
          </w:p>
        </w:tc>
        <w:tc>
          <w:tcPr>
            <w:tcW w:w="1080" w:type="dxa"/>
            <w:vAlign w:val="bottom"/>
            <w:gridSpan w:val="2"/>
            <w:shd w:val="clear" w:color="auto" w:fill="CCEEFF"/>
          </w:tcPr>
          <w:p>
            <w:pPr>
              <w:jc w:val="center"/>
              <w:ind w:left="8"/>
              <w:spacing w:after="0"/>
              <w:rPr>
                <w:sz w:val="20"/>
                <w:szCs w:val="20"/>
                <w:color w:val="auto"/>
              </w:rPr>
            </w:pPr>
            <w:r>
              <w:rPr>
                <w:rFonts w:ascii="Arial" w:cs="Arial" w:eastAsia="Arial" w:hAnsi="Arial"/>
                <w:sz w:val="14"/>
                <w:szCs w:val="14"/>
                <w:color w:val="auto"/>
                <w:w w:val="95"/>
              </w:rPr>
              <w:t>5/7/2012</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4,618,952</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12,875,126</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94,635,398</w:t>
            </w: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31.38 %</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560" w:type="dxa"/>
            <w:vAlign w:val="bottom"/>
            <w:gridSpan w:val="12"/>
          </w:tcPr>
          <w:p>
            <w:pPr>
              <w:spacing w:after="0" w:line="149" w:lineRule="exact"/>
              <w:rPr>
                <w:sz w:val="20"/>
                <w:szCs w:val="20"/>
                <w:color w:val="auto"/>
              </w:rPr>
            </w:pPr>
            <w:r>
              <w:rPr>
                <w:rFonts w:ascii="Arial" w:cs="Arial" w:eastAsia="Arial" w:hAnsi="Arial"/>
                <w:sz w:val="14"/>
                <w:szCs w:val="14"/>
                <w:b w:val="1"/>
                <w:bCs w:val="1"/>
                <w:color w:val="auto"/>
              </w:rPr>
              <w:t>Coursera, Inc.</w:t>
            </w:r>
          </w:p>
        </w:tc>
        <w:tc>
          <w:tcPr>
            <w:tcW w:w="100" w:type="dxa"/>
            <w:vAlign w:val="bottom"/>
          </w:tcPr>
          <w:p>
            <w:pPr>
              <w:spacing w:after="0"/>
              <w:rPr>
                <w:sz w:val="12"/>
                <w:szCs w:val="12"/>
                <w:color w:val="auto"/>
              </w:rPr>
            </w:pPr>
          </w:p>
        </w:tc>
        <w:tc>
          <w:tcPr>
            <w:tcW w:w="1980" w:type="dxa"/>
            <w:vAlign w:val="bottom"/>
          </w:tcPr>
          <w:p>
            <w:pPr>
              <w:jc w:val="center"/>
              <w:spacing w:after="0" w:line="149" w:lineRule="exact"/>
              <w:rPr>
                <w:sz w:val="20"/>
                <w:szCs w:val="20"/>
                <w:color w:val="auto"/>
              </w:rPr>
            </w:pPr>
            <w:r>
              <w:rPr>
                <w:rFonts w:ascii="Arial" w:cs="Arial" w:eastAsia="Arial" w:hAnsi="Arial"/>
                <w:sz w:val="14"/>
                <w:szCs w:val="14"/>
                <w:color w:val="auto"/>
                <w:w w:val="97"/>
              </w:rPr>
              <w:t>Mountain View, CA</w:t>
            </w: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8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3660" w:type="dxa"/>
            <w:vAlign w:val="bottom"/>
            <w:gridSpan w:val="13"/>
            <w:shd w:val="clear" w:color="auto" w:fill="CCEEFF"/>
          </w:tcPr>
          <w:p>
            <w:pPr>
              <w:spacing w:after="0"/>
              <w:rPr>
                <w:sz w:val="20"/>
                <w:szCs w:val="20"/>
                <w:color w:val="auto"/>
              </w:rPr>
            </w:pPr>
            <w:r>
              <w:rPr>
                <w:rFonts w:ascii="Arial" w:cs="Arial" w:eastAsia="Arial" w:hAnsi="Arial"/>
                <w:sz w:val="14"/>
                <w:szCs w:val="14"/>
                <w:color w:val="auto"/>
              </w:rPr>
              <w:t>Preferred shares, Series F 8%</w:t>
            </w:r>
          </w:p>
        </w:tc>
        <w:tc>
          <w:tcPr>
            <w:tcW w:w="19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Online Education</w:t>
            </w:r>
          </w:p>
        </w:tc>
        <w:tc>
          <w:tcPr>
            <w:tcW w:w="1080" w:type="dxa"/>
            <w:vAlign w:val="bottom"/>
            <w:gridSpan w:val="2"/>
            <w:shd w:val="clear" w:color="auto" w:fill="CCEEFF"/>
          </w:tcPr>
          <w:p>
            <w:pPr>
              <w:jc w:val="center"/>
              <w:ind w:left="28"/>
              <w:spacing w:after="0"/>
              <w:rPr>
                <w:sz w:val="20"/>
                <w:szCs w:val="20"/>
                <w:color w:val="auto"/>
              </w:rPr>
            </w:pPr>
            <w:r>
              <w:rPr>
                <w:rFonts w:ascii="Arial" w:cs="Arial" w:eastAsia="Arial" w:hAnsi="Arial"/>
                <w:sz w:val="14"/>
                <w:szCs w:val="14"/>
                <w:color w:val="auto"/>
                <w:w w:val="93"/>
              </w:rPr>
              <w:t>7/15/2020</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166,962</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2,840,017</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2,838,354</w:t>
            </w: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0.94 %</w:t>
            </w:r>
          </w:p>
        </w:tc>
        <w:tc>
          <w:tcPr>
            <w:tcW w:w="0" w:type="dxa"/>
            <w:vAlign w:val="bottom"/>
          </w:tcPr>
          <w:p>
            <w:pPr>
              <w:spacing w:after="0"/>
              <w:rPr>
                <w:sz w:val="1"/>
                <w:szCs w:val="1"/>
                <w:color w:val="auto"/>
              </w:rPr>
            </w:pPr>
          </w:p>
        </w:tc>
      </w:tr>
      <w:tr>
        <w:trPr>
          <w:trHeight w:val="186"/>
        </w:trPr>
        <w:tc>
          <w:tcPr>
            <w:tcW w:w="20" w:type="dxa"/>
            <w:vAlign w:val="bottom"/>
            <w:tcBorders>
              <w:bottom w:val="single" w:sz="8" w:color="CCEEFF"/>
            </w:tcBorders>
          </w:tcPr>
          <w:p>
            <w:pPr>
              <w:spacing w:after="0"/>
              <w:rPr>
                <w:sz w:val="16"/>
                <w:szCs w:val="16"/>
                <w:color w:val="auto"/>
              </w:rPr>
            </w:pPr>
          </w:p>
        </w:tc>
        <w:tc>
          <w:tcPr>
            <w:tcW w:w="3660" w:type="dxa"/>
            <w:vAlign w:val="bottom"/>
            <w:tcBorders>
              <w:bottom w:val="single" w:sz="8" w:color="CCEEFF"/>
            </w:tcBorders>
            <w:gridSpan w:val="13"/>
          </w:tcPr>
          <w:p>
            <w:pPr>
              <w:spacing w:after="0"/>
              <w:rPr>
                <w:sz w:val="20"/>
                <w:szCs w:val="20"/>
                <w:color w:val="auto"/>
              </w:rPr>
            </w:pPr>
            <w:r>
              <w:rPr>
                <w:rFonts w:ascii="Arial" w:cs="Arial" w:eastAsia="Arial" w:hAnsi="Arial"/>
                <w:sz w:val="14"/>
                <w:szCs w:val="14"/>
                <w:color w:val="auto"/>
              </w:rPr>
              <w:t>Preferred shares, Series B 8%</w:t>
            </w:r>
          </w:p>
        </w:tc>
        <w:tc>
          <w:tcPr>
            <w:tcW w:w="1980" w:type="dxa"/>
            <w:vAlign w:val="bottom"/>
            <w:tcBorders>
              <w:bottom w:val="single" w:sz="8" w:color="CCEEFF"/>
            </w:tcBorders>
          </w:tcPr>
          <w:p>
            <w:pPr>
              <w:spacing w:after="0"/>
              <w:rPr>
                <w:sz w:val="16"/>
                <w:szCs w:val="16"/>
                <w:color w:val="auto"/>
              </w:rPr>
            </w:pPr>
          </w:p>
        </w:tc>
        <w:tc>
          <w:tcPr>
            <w:tcW w:w="1080" w:type="dxa"/>
            <w:vAlign w:val="bottom"/>
            <w:tcBorders>
              <w:bottom w:val="single" w:sz="8" w:color="CCEEFF"/>
            </w:tcBorders>
            <w:gridSpan w:val="2"/>
          </w:tcPr>
          <w:p>
            <w:pPr>
              <w:jc w:val="center"/>
              <w:ind w:left="8"/>
              <w:spacing w:after="0"/>
              <w:rPr>
                <w:sz w:val="20"/>
                <w:szCs w:val="20"/>
                <w:color w:val="auto"/>
              </w:rPr>
            </w:pPr>
            <w:r>
              <w:rPr>
                <w:rFonts w:ascii="Arial" w:cs="Arial" w:eastAsia="Arial" w:hAnsi="Arial"/>
                <w:sz w:val="14"/>
                <w:szCs w:val="14"/>
                <w:color w:val="auto"/>
                <w:w w:val="95"/>
              </w:rPr>
              <w:t>6/9/2013</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840" w:type="dxa"/>
            <w:vAlign w:val="bottom"/>
            <w:tcBorders>
              <w:bottom w:val="single" w:sz="8" w:color="CCEEFF"/>
            </w:tcBorders>
          </w:tcPr>
          <w:p>
            <w:pPr>
              <w:jc w:val="right"/>
              <w:ind w:right="8"/>
              <w:spacing w:after="0"/>
              <w:rPr>
                <w:sz w:val="20"/>
                <w:szCs w:val="20"/>
                <w:color w:val="auto"/>
              </w:rPr>
            </w:pPr>
            <w:r>
              <w:rPr>
                <w:rFonts w:ascii="Arial" w:cs="Arial" w:eastAsia="Arial" w:hAnsi="Arial"/>
                <w:sz w:val="14"/>
                <w:szCs w:val="14"/>
                <w:color w:val="auto"/>
              </w:rPr>
              <w:t>2,961,399</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14,519,519</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50,343,783</w:t>
            </w:r>
          </w:p>
        </w:tc>
        <w:tc>
          <w:tcPr>
            <w:tcW w:w="10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16.69 %</w:t>
            </w:r>
          </w:p>
        </w:tc>
        <w:tc>
          <w:tcPr>
            <w:tcW w:w="0" w:type="dxa"/>
            <w:vAlign w:val="bottom"/>
          </w:tcPr>
          <w:p>
            <w:pPr>
              <w:spacing w:after="0"/>
              <w:rPr>
                <w:sz w:val="1"/>
                <w:szCs w:val="1"/>
                <w:color w:val="auto"/>
              </w:rPr>
            </w:pPr>
          </w:p>
        </w:tc>
      </w:tr>
      <w:tr>
        <w:trPr>
          <w:trHeight w:val="186"/>
        </w:trPr>
        <w:tc>
          <w:tcPr>
            <w:tcW w:w="20" w:type="dxa"/>
            <w:vAlign w:val="bottom"/>
            <w:tcBorders>
              <w:bottom w:val="single" w:sz="8" w:color="CCEEFF"/>
            </w:tcBorders>
            <w:shd w:val="clear" w:color="auto" w:fill="CCEEFF"/>
          </w:tcPr>
          <w:p>
            <w:pPr>
              <w:spacing w:after="0"/>
              <w:rPr>
                <w:sz w:val="16"/>
                <w:szCs w:val="16"/>
                <w:color w:val="auto"/>
              </w:rPr>
            </w:pPr>
          </w:p>
        </w:tc>
        <w:tc>
          <w:tcPr>
            <w:tcW w:w="3560" w:type="dxa"/>
            <w:vAlign w:val="bottom"/>
            <w:tcBorders>
              <w:bottom w:val="single" w:sz="8" w:color="CCEEFF"/>
            </w:tcBorders>
            <w:gridSpan w:val="12"/>
            <w:shd w:val="clear" w:color="auto" w:fill="CCEEFF"/>
          </w:tcPr>
          <w:p>
            <w:pPr>
              <w:ind w:left="120"/>
              <w:spacing w:after="0"/>
              <w:rPr>
                <w:sz w:val="20"/>
                <w:szCs w:val="20"/>
                <w:color w:val="auto"/>
              </w:rPr>
            </w:pPr>
            <w:r>
              <w:rPr>
                <w:rFonts w:ascii="Arial" w:cs="Arial" w:eastAsia="Arial" w:hAnsi="Arial"/>
                <w:sz w:val="14"/>
                <w:szCs w:val="14"/>
                <w:color w:val="auto"/>
              </w:rPr>
              <w:t>Total</w:t>
            </w:r>
          </w:p>
        </w:tc>
        <w:tc>
          <w:tcPr>
            <w:tcW w:w="100" w:type="dxa"/>
            <w:vAlign w:val="bottom"/>
            <w:shd w:val="clear" w:color="auto" w:fill="CCEEFF"/>
          </w:tcPr>
          <w:p>
            <w:pPr>
              <w:spacing w:after="0"/>
              <w:rPr>
                <w:sz w:val="16"/>
                <w:szCs w:val="16"/>
                <w:color w:val="auto"/>
              </w:rPr>
            </w:pPr>
          </w:p>
        </w:tc>
        <w:tc>
          <w:tcPr>
            <w:tcW w:w="1980" w:type="dxa"/>
            <w:vAlign w:val="bottom"/>
            <w:tcBorders>
              <w:bottom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17,359,536</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53,182,137</w:t>
            </w:r>
          </w:p>
        </w:tc>
        <w:tc>
          <w:tcPr>
            <w:tcW w:w="100" w:type="dxa"/>
            <w:vAlign w:val="bottom"/>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17.63 %</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560" w:type="dxa"/>
            <w:vAlign w:val="bottom"/>
            <w:gridSpan w:val="12"/>
          </w:tcPr>
          <w:p>
            <w:pPr>
              <w:spacing w:after="0" w:line="142" w:lineRule="exact"/>
              <w:rPr>
                <w:sz w:val="20"/>
                <w:szCs w:val="20"/>
                <w:color w:val="auto"/>
              </w:rPr>
            </w:pPr>
            <w:r>
              <w:rPr>
                <w:rFonts w:ascii="Arial" w:cs="Arial" w:eastAsia="Arial" w:hAnsi="Arial"/>
                <w:sz w:val="14"/>
                <w:szCs w:val="14"/>
                <w:b w:val="1"/>
                <w:bCs w:val="1"/>
                <w:color w:val="auto"/>
              </w:rPr>
              <w:t>Course Hero, Inc.</w:t>
            </w:r>
          </w:p>
        </w:tc>
        <w:tc>
          <w:tcPr>
            <w:tcW w:w="100" w:type="dxa"/>
            <w:vAlign w:val="bottom"/>
          </w:tcPr>
          <w:p>
            <w:pPr>
              <w:spacing w:after="0"/>
              <w:rPr>
                <w:sz w:val="12"/>
                <w:szCs w:val="12"/>
                <w:color w:val="auto"/>
              </w:rPr>
            </w:pPr>
          </w:p>
        </w:tc>
        <w:tc>
          <w:tcPr>
            <w:tcW w:w="1980" w:type="dxa"/>
            <w:vAlign w:val="bottom"/>
          </w:tcPr>
          <w:p>
            <w:pPr>
              <w:jc w:val="center"/>
              <w:spacing w:after="0" w:line="142" w:lineRule="exact"/>
              <w:rPr>
                <w:sz w:val="20"/>
                <w:szCs w:val="20"/>
                <w:color w:val="auto"/>
              </w:rPr>
            </w:pPr>
            <w:r>
              <w:rPr>
                <w:rFonts w:ascii="Arial" w:cs="Arial" w:eastAsia="Arial" w:hAnsi="Arial"/>
                <w:sz w:val="14"/>
                <w:szCs w:val="14"/>
                <w:color w:val="auto"/>
                <w:w w:val="96"/>
              </w:rPr>
              <w:t>Redwood City, CA</w:t>
            </w: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8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3660" w:type="dxa"/>
            <w:vAlign w:val="bottom"/>
            <w:gridSpan w:val="13"/>
            <w:shd w:val="clear" w:color="auto" w:fill="CCEEFF"/>
          </w:tcPr>
          <w:p>
            <w:pPr>
              <w:spacing w:after="0"/>
              <w:rPr>
                <w:sz w:val="20"/>
                <w:szCs w:val="20"/>
                <w:color w:val="auto"/>
              </w:rPr>
            </w:pPr>
            <w:r>
              <w:rPr>
                <w:rFonts w:ascii="Arial" w:cs="Arial" w:eastAsia="Arial" w:hAnsi="Arial"/>
                <w:sz w:val="14"/>
                <w:szCs w:val="14"/>
                <w:color w:val="auto"/>
              </w:rPr>
              <w:t>Preferred shares, Series A 8%</w:t>
            </w:r>
          </w:p>
        </w:tc>
        <w:tc>
          <w:tcPr>
            <w:tcW w:w="19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Online Education</w:t>
            </w:r>
          </w:p>
        </w:tc>
        <w:tc>
          <w:tcPr>
            <w:tcW w:w="1080" w:type="dxa"/>
            <w:vAlign w:val="bottom"/>
            <w:gridSpan w:val="2"/>
            <w:shd w:val="clear" w:color="auto" w:fill="CCEEFF"/>
          </w:tcPr>
          <w:p>
            <w:pPr>
              <w:jc w:val="center"/>
              <w:ind w:left="28"/>
              <w:spacing w:after="0"/>
              <w:rPr>
                <w:sz w:val="20"/>
                <w:szCs w:val="20"/>
                <w:color w:val="auto"/>
              </w:rPr>
            </w:pPr>
            <w:r>
              <w:rPr>
                <w:rFonts w:ascii="Arial" w:cs="Arial" w:eastAsia="Arial" w:hAnsi="Arial"/>
                <w:sz w:val="14"/>
                <w:szCs w:val="14"/>
                <w:color w:val="auto"/>
                <w:w w:val="93"/>
              </w:rPr>
              <w:t>9/18/2014</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2,145,509</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5,000,001</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35,079,072</w:t>
            </w: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11.63 %</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660" w:type="dxa"/>
            <w:vAlign w:val="bottom"/>
            <w:gridSpan w:val="13"/>
          </w:tcPr>
          <w:p>
            <w:pPr>
              <w:spacing w:after="0" w:line="149" w:lineRule="exact"/>
              <w:rPr>
                <w:sz w:val="20"/>
                <w:szCs w:val="20"/>
                <w:color w:val="auto"/>
              </w:rPr>
            </w:pPr>
            <w:r>
              <w:rPr>
                <w:rFonts w:ascii="Arial" w:cs="Arial" w:eastAsia="Arial" w:hAnsi="Arial"/>
                <w:sz w:val="14"/>
                <w:szCs w:val="14"/>
                <w:b w:val="1"/>
                <w:bCs w:val="1"/>
                <w:color w:val="auto"/>
              </w:rPr>
              <w:t>Nextdoor.com, Inc.</w:t>
            </w:r>
          </w:p>
        </w:tc>
        <w:tc>
          <w:tcPr>
            <w:tcW w:w="1980" w:type="dxa"/>
            <w:vAlign w:val="bottom"/>
          </w:tcPr>
          <w:p>
            <w:pPr>
              <w:jc w:val="center"/>
              <w:spacing w:after="0" w:line="149" w:lineRule="exact"/>
              <w:rPr>
                <w:sz w:val="20"/>
                <w:szCs w:val="20"/>
                <w:color w:val="auto"/>
              </w:rPr>
            </w:pPr>
            <w:r>
              <w:rPr>
                <w:rFonts w:ascii="Arial" w:cs="Arial" w:eastAsia="Arial" w:hAnsi="Arial"/>
                <w:sz w:val="14"/>
                <w:szCs w:val="14"/>
                <w:color w:val="auto"/>
                <w:w w:val="92"/>
              </w:rPr>
              <w:t>San Francisco, CA</w:t>
            </w: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8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3660" w:type="dxa"/>
            <w:vAlign w:val="bottom"/>
            <w:gridSpan w:val="13"/>
            <w:shd w:val="clear" w:color="auto" w:fill="CCEEFF"/>
          </w:tcPr>
          <w:p>
            <w:pPr>
              <w:spacing w:after="0"/>
              <w:rPr>
                <w:sz w:val="20"/>
                <w:szCs w:val="20"/>
                <w:color w:val="auto"/>
              </w:rPr>
            </w:pPr>
            <w:r>
              <w:rPr>
                <w:rFonts w:ascii="Arial" w:cs="Arial" w:eastAsia="Arial" w:hAnsi="Arial"/>
                <w:sz w:val="14"/>
                <w:szCs w:val="14"/>
                <w:color w:val="auto"/>
              </w:rPr>
              <w:t>Common shares</w:t>
            </w:r>
          </w:p>
        </w:tc>
        <w:tc>
          <w:tcPr>
            <w:tcW w:w="19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Social Networking</w:t>
            </w:r>
          </w:p>
        </w:tc>
        <w:tc>
          <w:tcPr>
            <w:tcW w:w="1080" w:type="dxa"/>
            <w:vAlign w:val="bottom"/>
            <w:gridSpan w:val="2"/>
            <w:shd w:val="clear" w:color="auto" w:fill="CCEEFF"/>
          </w:tcPr>
          <w:p>
            <w:pPr>
              <w:jc w:val="center"/>
              <w:ind w:left="28"/>
              <w:spacing w:after="0"/>
              <w:rPr>
                <w:sz w:val="20"/>
                <w:szCs w:val="20"/>
                <w:color w:val="auto"/>
              </w:rPr>
            </w:pPr>
            <w:r>
              <w:rPr>
                <w:rFonts w:ascii="Arial" w:cs="Arial" w:eastAsia="Arial" w:hAnsi="Arial"/>
                <w:sz w:val="14"/>
                <w:szCs w:val="14"/>
                <w:color w:val="auto"/>
                <w:w w:val="93"/>
              </w:rPr>
              <w:t>9/27/2018</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580,360</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10,002,666</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12,832,208</w:t>
            </w: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4.25 %</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60" w:type="dxa"/>
            <w:vAlign w:val="bottom"/>
            <w:gridSpan w:val="13"/>
          </w:tcPr>
          <w:p>
            <w:pPr>
              <w:spacing w:after="0" w:line="149" w:lineRule="exact"/>
              <w:rPr>
                <w:sz w:val="20"/>
                <w:szCs w:val="20"/>
                <w:color w:val="auto"/>
              </w:rPr>
            </w:pPr>
            <w:r>
              <w:rPr>
                <w:rFonts w:ascii="Arial" w:cs="Arial" w:eastAsia="Arial" w:hAnsi="Arial"/>
                <w:sz w:val="14"/>
                <w:szCs w:val="14"/>
                <w:b w:val="1"/>
                <w:bCs w:val="1"/>
                <w:color w:val="auto"/>
              </w:rPr>
              <w:t>Blink Health, Inc.</w:t>
            </w:r>
          </w:p>
        </w:tc>
        <w:tc>
          <w:tcPr>
            <w:tcW w:w="1980" w:type="dxa"/>
            <w:vAlign w:val="bottom"/>
          </w:tcPr>
          <w:p>
            <w:pPr>
              <w:jc w:val="center"/>
              <w:spacing w:after="0" w:line="149" w:lineRule="exact"/>
              <w:rPr>
                <w:sz w:val="20"/>
                <w:szCs w:val="20"/>
                <w:color w:val="auto"/>
              </w:rPr>
            </w:pPr>
            <w:r>
              <w:rPr>
                <w:rFonts w:ascii="Arial" w:cs="Arial" w:eastAsia="Arial" w:hAnsi="Arial"/>
                <w:sz w:val="14"/>
                <w:szCs w:val="14"/>
                <w:color w:val="auto"/>
                <w:w w:val="97"/>
              </w:rPr>
              <w:t>New York, NY</w:t>
            </w: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3660" w:type="dxa"/>
            <w:vAlign w:val="bottom"/>
            <w:gridSpan w:val="13"/>
            <w:shd w:val="clear" w:color="auto" w:fill="CCEEFF"/>
          </w:tcPr>
          <w:p>
            <w:pPr>
              <w:spacing w:after="0"/>
              <w:rPr>
                <w:sz w:val="20"/>
                <w:szCs w:val="20"/>
                <w:color w:val="auto"/>
              </w:rPr>
            </w:pPr>
            <w:r>
              <w:rPr>
                <w:rFonts w:ascii="Arial" w:cs="Arial" w:eastAsia="Arial" w:hAnsi="Arial"/>
                <w:sz w:val="14"/>
                <w:szCs w:val="14"/>
                <w:color w:val="auto"/>
              </w:rPr>
              <w:t>Preferred shares, Series A</w:t>
            </w:r>
          </w:p>
        </w:tc>
        <w:tc>
          <w:tcPr>
            <w:tcW w:w="19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2"/>
              </w:rPr>
              <w:t>Pharmaceutical Technology</w:t>
            </w:r>
          </w:p>
        </w:tc>
        <w:tc>
          <w:tcPr>
            <w:tcW w:w="1080" w:type="dxa"/>
            <w:vAlign w:val="bottom"/>
            <w:gridSpan w:val="2"/>
            <w:shd w:val="clear" w:color="auto" w:fill="CCEEFF"/>
          </w:tcPr>
          <w:p>
            <w:pPr>
              <w:jc w:val="center"/>
              <w:ind w:left="28"/>
              <w:spacing w:after="0"/>
              <w:rPr>
                <w:sz w:val="20"/>
                <w:szCs w:val="20"/>
                <w:color w:val="auto"/>
              </w:rPr>
            </w:pPr>
            <w:r>
              <w:rPr>
                <w:rFonts w:ascii="Arial" w:cs="Arial" w:eastAsia="Arial" w:hAnsi="Arial"/>
                <w:sz w:val="14"/>
                <w:szCs w:val="14"/>
                <w:color w:val="auto"/>
                <w:w w:val="94"/>
              </w:rPr>
              <w:t>10/27/2020</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238,095</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5,000,423</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4,999,995</w:t>
            </w: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1.66 %</w:t>
            </w:r>
          </w:p>
        </w:tc>
        <w:tc>
          <w:tcPr>
            <w:tcW w:w="0" w:type="dxa"/>
            <w:vAlign w:val="bottom"/>
          </w:tcPr>
          <w:p>
            <w:pPr>
              <w:spacing w:after="0"/>
              <w:rPr>
                <w:sz w:val="1"/>
                <w:szCs w:val="1"/>
                <w:color w:val="auto"/>
              </w:rPr>
            </w:pPr>
          </w:p>
        </w:tc>
      </w:tr>
      <w:tr>
        <w:trPr>
          <w:trHeight w:val="166"/>
        </w:trPr>
        <w:tc>
          <w:tcPr>
            <w:tcW w:w="20" w:type="dxa"/>
            <w:vAlign w:val="bottom"/>
            <w:tcBorders>
              <w:bottom w:val="single" w:sz="8" w:color="CCEEFF"/>
            </w:tcBorders>
          </w:tcPr>
          <w:p>
            <w:pPr>
              <w:spacing w:after="0"/>
              <w:rPr>
                <w:sz w:val="14"/>
                <w:szCs w:val="14"/>
                <w:color w:val="auto"/>
              </w:rPr>
            </w:pPr>
          </w:p>
        </w:tc>
        <w:tc>
          <w:tcPr>
            <w:tcW w:w="3660" w:type="dxa"/>
            <w:vAlign w:val="bottom"/>
            <w:tcBorders>
              <w:bottom w:val="single" w:sz="8" w:color="CCEEFF"/>
            </w:tcBorders>
            <w:gridSpan w:val="13"/>
          </w:tcPr>
          <w:p>
            <w:pPr>
              <w:spacing w:after="0"/>
              <w:rPr>
                <w:sz w:val="20"/>
                <w:szCs w:val="20"/>
                <w:color w:val="auto"/>
              </w:rPr>
            </w:pPr>
            <w:r>
              <w:rPr>
                <w:rFonts w:ascii="Arial" w:cs="Arial" w:eastAsia="Arial" w:hAnsi="Arial"/>
                <w:sz w:val="14"/>
                <w:szCs w:val="14"/>
                <w:color w:val="auto"/>
              </w:rPr>
              <w:t>Preferred shares, Series C</w:t>
            </w:r>
          </w:p>
        </w:tc>
        <w:tc>
          <w:tcPr>
            <w:tcW w:w="1980" w:type="dxa"/>
            <w:vAlign w:val="bottom"/>
            <w:tcBorders>
              <w:bottom w:val="single" w:sz="8" w:color="CCEEFF"/>
            </w:tcBorders>
          </w:tcPr>
          <w:p>
            <w:pPr>
              <w:spacing w:after="0"/>
              <w:rPr>
                <w:sz w:val="14"/>
                <w:szCs w:val="14"/>
                <w:color w:val="auto"/>
              </w:rPr>
            </w:pPr>
          </w:p>
        </w:tc>
        <w:tc>
          <w:tcPr>
            <w:tcW w:w="1080" w:type="dxa"/>
            <w:vAlign w:val="bottom"/>
            <w:tcBorders>
              <w:bottom w:val="single" w:sz="8" w:color="CCEEFF"/>
            </w:tcBorders>
            <w:gridSpan w:val="2"/>
          </w:tcPr>
          <w:p>
            <w:pPr>
              <w:jc w:val="center"/>
              <w:ind w:left="28"/>
              <w:spacing w:after="0"/>
              <w:rPr>
                <w:sz w:val="20"/>
                <w:szCs w:val="20"/>
                <w:color w:val="auto"/>
              </w:rPr>
            </w:pPr>
            <w:r>
              <w:rPr>
                <w:rFonts w:ascii="Arial" w:cs="Arial" w:eastAsia="Arial" w:hAnsi="Arial"/>
                <w:sz w:val="14"/>
                <w:szCs w:val="14"/>
                <w:color w:val="auto"/>
                <w:w w:val="94"/>
              </w:rPr>
              <w:t>10/27/2020</w:t>
            </w: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840" w:type="dxa"/>
            <w:vAlign w:val="bottom"/>
            <w:tcBorders>
              <w:bottom w:val="single" w:sz="8" w:color="CCEEFF"/>
            </w:tcBorders>
          </w:tcPr>
          <w:p>
            <w:pPr>
              <w:jc w:val="right"/>
              <w:ind w:right="8"/>
              <w:spacing w:after="0"/>
              <w:rPr>
                <w:sz w:val="20"/>
                <w:szCs w:val="20"/>
                <w:color w:val="auto"/>
              </w:rPr>
            </w:pPr>
            <w:r>
              <w:rPr>
                <w:rFonts w:ascii="Arial" w:cs="Arial" w:eastAsia="Arial" w:hAnsi="Arial"/>
                <w:sz w:val="14"/>
                <w:szCs w:val="14"/>
                <w:color w:val="auto"/>
              </w:rPr>
              <w:t>130,972</w:t>
            </w: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5,002,932</w:t>
            </w: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4,999,987</w:t>
            </w:r>
          </w:p>
        </w:tc>
        <w:tc>
          <w:tcPr>
            <w:tcW w:w="10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1.66 %</w:t>
            </w:r>
          </w:p>
        </w:tc>
        <w:tc>
          <w:tcPr>
            <w:tcW w:w="0" w:type="dxa"/>
            <w:vAlign w:val="bottom"/>
          </w:tcPr>
          <w:p>
            <w:pPr>
              <w:spacing w:after="0"/>
              <w:rPr>
                <w:sz w:val="1"/>
                <w:szCs w:val="1"/>
                <w:color w:val="auto"/>
              </w:rPr>
            </w:pPr>
          </w:p>
        </w:tc>
      </w:tr>
      <w:tr>
        <w:trPr>
          <w:trHeight w:val="186"/>
        </w:trPr>
        <w:tc>
          <w:tcPr>
            <w:tcW w:w="20" w:type="dxa"/>
            <w:vAlign w:val="bottom"/>
            <w:tcBorders>
              <w:bottom w:val="single" w:sz="8" w:color="CCEEFF"/>
            </w:tcBorders>
            <w:shd w:val="clear" w:color="auto" w:fill="CCEEFF"/>
          </w:tcPr>
          <w:p>
            <w:pPr>
              <w:spacing w:after="0"/>
              <w:rPr>
                <w:sz w:val="16"/>
                <w:szCs w:val="16"/>
                <w:color w:val="auto"/>
              </w:rPr>
            </w:pPr>
          </w:p>
        </w:tc>
        <w:tc>
          <w:tcPr>
            <w:tcW w:w="3560" w:type="dxa"/>
            <w:vAlign w:val="bottom"/>
            <w:tcBorders>
              <w:bottom w:val="single" w:sz="8" w:color="CCEEFF"/>
            </w:tcBorders>
            <w:gridSpan w:val="12"/>
            <w:shd w:val="clear" w:color="auto" w:fill="CCEEFF"/>
          </w:tcPr>
          <w:p>
            <w:pPr>
              <w:ind w:left="120"/>
              <w:spacing w:after="0"/>
              <w:rPr>
                <w:sz w:val="20"/>
                <w:szCs w:val="20"/>
                <w:color w:val="auto"/>
              </w:rPr>
            </w:pPr>
            <w:r>
              <w:rPr>
                <w:rFonts w:ascii="Arial" w:cs="Arial" w:eastAsia="Arial" w:hAnsi="Arial"/>
                <w:sz w:val="14"/>
                <w:szCs w:val="14"/>
                <w:color w:val="auto"/>
              </w:rPr>
              <w:t>Total</w:t>
            </w:r>
          </w:p>
        </w:tc>
        <w:tc>
          <w:tcPr>
            <w:tcW w:w="100" w:type="dxa"/>
            <w:vAlign w:val="bottom"/>
            <w:shd w:val="clear" w:color="auto" w:fill="CCEEFF"/>
          </w:tcPr>
          <w:p>
            <w:pPr>
              <w:spacing w:after="0"/>
              <w:rPr>
                <w:sz w:val="16"/>
                <w:szCs w:val="16"/>
                <w:color w:val="auto"/>
              </w:rPr>
            </w:pPr>
          </w:p>
        </w:tc>
        <w:tc>
          <w:tcPr>
            <w:tcW w:w="1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10,003,355</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9,999,982</w:t>
            </w:r>
          </w:p>
        </w:tc>
        <w:tc>
          <w:tcPr>
            <w:tcW w:w="100" w:type="dxa"/>
            <w:vAlign w:val="bottom"/>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3.32 %</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560" w:type="dxa"/>
            <w:vAlign w:val="bottom"/>
            <w:gridSpan w:val="12"/>
          </w:tcPr>
          <w:p>
            <w:pPr>
              <w:spacing w:after="0" w:line="142" w:lineRule="exact"/>
              <w:rPr>
                <w:sz w:val="20"/>
                <w:szCs w:val="20"/>
                <w:color w:val="auto"/>
              </w:rPr>
            </w:pPr>
            <w:r>
              <w:rPr>
                <w:rFonts w:ascii="Arial" w:cs="Arial" w:eastAsia="Arial" w:hAnsi="Arial"/>
                <w:sz w:val="13"/>
                <w:szCs w:val="13"/>
                <w:b w:val="1"/>
                <w:bCs w:val="1"/>
                <w:color w:val="auto"/>
              </w:rPr>
              <w:t>Forge Global, Inc.</w:t>
            </w:r>
            <w:r>
              <w:rPr>
                <w:rFonts w:ascii="Arial" w:cs="Arial" w:eastAsia="Arial" w:hAnsi="Arial"/>
                <w:sz w:val="16"/>
                <w:szCs w:val="16"/>
                <w:b w:val="1"/>
                <w:bCs w:val="1"/>
                <w:color w:val="auto"/>
                <w:vertAlign w:val="superscript"/>
              </w:rPr>
              <w:t>(15)</w:t>
            </w:r>
          </w:p>
        </w:tc>
        <w:tc>
          <w:tcPr>
            <w:tcW w:w="100" w:type="dxa"/>
            <w:vAlign w:val="bottom"/>
          </w:tcPr>
          <w:p>
            <w:pPr>
              <w:spacing w:after="0"/>
              <w:rPr>
                <w:sz w:val="12"/>
                <w:szCs w:val="12"/>
                <w:color w:val="auto"/>
              </w:rPr>
            </w:pPr>
          </w:p>
        </w:tc>
        <w:tc>
          <w:tcPr>
            <w:tcW w:w="1980" w:type="dxa"/>
            <w:vAlign w:val="bottom"/>
          </w:tcPr>
          <w:p>
            <w:pPr>
              <w:jc w:val="center"/>
              <w:spacing w:after="0" w:line="142" w:lineRule="exact"/>
              <w:rPr>
                <w:sz w:val="20"/>
                <w:szCs w:val="20"/>
                <w:color w:val="auto"/>
              </w:rPr>
            </w:pPr>
            <w:r>
              <w:rPr>
                <w:rFonts w:ascii="Arial" w:cs="Arial" w:eastAsia="Arial" w:hAnsi="Arial"/>
                <w:sz w:val="14"/>
                <w:szCs w:val="14"/>
                <w:color w:val="auto"/>
                <w:w w:val="92"/>
              </w:rPr>
              <w:t>San Francisco, CA</w:t>
            </w: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8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3560" w:type="dxa"/>
            <w:vAlign w:val="bottom"/>
            <w:gridSpan w:val="12"/>
            <w:shd w:val="clear" w:color="auto" w:fill="CCEEFF"/>
          </w:tcPr>
          <w:p>
            <w:pPr>
              <w:spacing w:after="0"/>
              <w:rPr>
                <w:sz w:val="20"/>
                <w:szCs w:val="20"/>
                <w:color w:val="auto"/>
              </w:rPr>
            </w:pPr>
            <w:r>
              <w:rPr>
                <w:rFonts w:ascii="Arial" w:cs="Arial" w:eastAsia="Arial" w:hAnsi="Arial"/>
                <w:sz w:val="14"/>
                <w:szCs w:val="14"/>
                <w:color w:val="auto"/>
              </w:rPr>
              <w:t>Common shares, Class AA</w:t>
            </w:r>
          </w:p>
        </w:tc>
        <w:tc>
          <w:tcPr>
            <w:tcW w:w="100" w:type="dxa"/>
            <w:vAlign w:val="bottom"/>
            <w:shd w:val="clear" w:color="auto" w:fill="CCEEFF"/>
          </w:tcPr>
          <w:p>
            <w:pPr>
              <w:spacing w:after="0"/>
              <w:rPr>
                <w:sz w:val="17"/>
                <w:szCs w:val="17"/>
                <w:color w:val="auto"/>
              </w:rPr>
            </w:pPr>
          </w:p>
        </w:tc>
        <w:tc>
          <w:tcPr>
            <w:tcW w:w="19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Online Marketplace Finance</w:t>
            </w:r>
          </w:p>
        </w:tc>
        <w:tc>
          <w:tcPr>
            <w:tcW w:w="1080" w:type="dxa"/>
            <w:vAlign w:val="bottom"/>
            <w:gridSpan w:val="2"/>
            <w:shd w:val="clear" w:color="auto" w:fill="CCEEFF"/>
          </w:tcPr>
          <w:p>
            <w:pPr>
              <w:jc w:val="center"/>
              <w:ind w:left="28"/>
              <w:spacing w:after="0"/>
              <w:rPr>
                <w:sz w:val="20"/>
                <w:szCs w:val="20"/>
                <w:color w:val="auto"/>
              </w:rPr>
            </w:pPr>
            <w:r>
              <w:rPr>
                <w:rFonts w:ascii="Arial" w:cs="Arial" w:eastAsia="Arial" w:hAnsi="Arial"/>
                <w:sz w:val="14"/>
                <w:szCs w:val="14"/>
                <w:color w:val="auto"/>
                <w:w w:val="93"/>
              </w:rPr>
              <w:t>7/20/2011</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614,042</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123,987</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7,624,437</w:t>
            </w: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2.53 %</w:t>
            </w:r>
          </w:p>
        </w:tc>
        <w:tc>
          <w:tcPr>
            <w:tcW w:w="0" w:type="dxa"/>
            <w:vAlign w:val="bottom"/>
          </w:tcPr>
          <w:p>
            <w:pPr>
              <w:spacing w:after="0"/>
              <w:rPr>
                <w:sz w:val="1"/>
                <w:szCs w:val="1"/>
                <w:color w:val="auto"/>
              </w:rPr>
            </w:pPr>
          </w:p>
        </w:tc>
      </w:tr>
      <w:tr>
        <w:trPr>
          <w:trHeight w:val="179"/>
        </w:trPr>
        <w:tc>
          <w:tcPr>
            <w:tcW w:w="20" w:type="dxa"/>
            <w:vAlign w:val="bottom"/>
            <w:tcBorders>
              <w:top w:val="single" w:sz="8" w:color="CCEEFF"/>
            </w:tcBorders>
          </w:tcPr>
          <w:p>
            <w:pPr>
              <w:spacing w:after="0"/>
              <w:rPr>
                <w:sz w:val="15"/>
                <w:szCs w:val="15"/>
                <w:color w:val="auto"/>
              </w:rPr>
            </w:pPr>
          </w:p>
        </w:tc>
        <w:tc>
          <w:tcPr>
            <w:tcW w:w="3560" w:type="dxa"/>
            <w:vAlign w:val="bottom"/>
            <w:tcBorders>
              <w:top w:val="single" w:sz="8" w:color="CCEEFF"/>
            </w:tcBorders>
            <w:gridSpan w:val="12"/>
          </w:tcPr>
          <w:p>
            <w:pPr>
              <w:spacing w:after="0"/>
              <w:rPr>
                <w:sz w:val="20"/>
                <w:szCs w:val="20"/>
                <w:color w:val="auto"/>
              </w:rPr>
            </w:pPr>
            <w:r>
              <w:rPr>
                <w:rFonts w:ascii="Arial" w:cs="Arial" w:eastAsia="Arial" w:hAnsi="Arial"/>
                <w:sz w:val="14"/>
                <w:szCs w:val="14"/>
                <w:color w:val="auto"/>
              </w:rPr>
              <w:t>Junior Preferred shares</w:t>
            </w:r>
          </w:p>
        </w:tc>
        <w:tc>
          <w:tcPr>
            <w:tcW w:w="100" w:type="dxa"/>
            <w:vAlign w:val="bottom"/>
            <w:tcBorders>
              <w:top w:val="single" w:sz="8" w:color="CCEEFF"/>
            </w:tcBorders>
          </w:tcPr>
          <w:p>
            <w:pPr>
              <w:spacing w:after="0"/>
              <w:rPr>
                <w:sz w:val="15"/>
                <w:szCs w:val="15"/>
                <w:color w:val="auto"/>
              </w:rPr>
            </w:pPr>
          </w:p>
        </w:tc>
        <w:tc>
          <w:tcPr>
            <w:tcW w:w="1980" w:type="dxa"/>
            <w:vAlign w:val="bottom"/>
            <w:tcBorders>
              <w:top w:val="single" w:sz="8" w:color="CCEEFF"/>
            </w:tcBorders>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Borders>
              <w:top w:val="single" w:sz="8" w:color="CCEEFF"/>
            </w:tcBorders>
          </w:tcPr>
          <w:p>
            <w:pPr>
              <w:jc w:val="center"/>
              <w:spacing w:after="0"/>
              <w:rPr>
                <w:sz w:val="20"/>
                <w:szCs w:val="20"/>
                <w:color w:val="auto"/>
              </w:rPr>
            </w:pPr>
            <w:r>
              <w:rPr>
                <w:rFonts w:ascii="Arial" w:cs="Arial" w:eastAsia="Arial" w:hAnsi="Arial"/>
                <w:sz w:val="14"/>
                <w:szCs w:val="14"/>
                <w:color w:val="auto"/>
                <w:w w:val="93"/>
              </w:rPr>
              <w:t>7/19/2011</w:t>
            </w:r>
          </w:p>
        </w:tc>
        <w:tc>
          <w:tcPr>
            <w:tcW w:w="100" w:type="dxa"/>
            <w:vAlign w:val="bottom"/>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840" w:type="dxa"/>
            <w:vAlign w:val="bottom"/>
            <w:tcBorders>
              <w:top w:val="single" w:sz="8" w:color="CCEEFF"/>
            </w:tcBorders>
          </w:tcPr>
          <w:p>
            <w:pPr>
              <w:jc w:val="right"/>
              <w:ind w:right="8"/>
              <w:spacing w:after="0"/>
              <w:rPr>
                <w:sz w:val="20"/>
                <w:szCs w:val="20"/>
                <w:color w:val="auto"/>
              </w:rPr>
            </w:pPr>
            <w:r>
              <w:rPr>
                <w:rFonts w:ascii="Arial" w:cs="Arial" w:eastAsia="Arial" w:hAnsi="Arial"/>
                <w:sz w:val="14"/>
                <w:szCs w:val="14"/>
                <w:color w:val="auto"/>
              </w:rPr>
              <w:t>160,534</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2,259,716</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1,993,319</w:t>
            </w:r>
          </w:p>
        </w:tc>
        <w:tc>
          <w:tcPr>
            <w:tcW w:w="1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0.66 %</w:t>
            </w:r>
          </w:p>
        </w:tc>
        <w:tc>
          <w:tcPr>
            <w:tcW w:w="0" w:type="dxa"/>
            <w:vAlign w:val="bottom"/>
          </w:tcPr>
          <w:p>
            <w:pPr>
              <w:spacing w:after="0"/>
              <w:rPr>
                <w:sz w:val="1"/>
                <w:szCs w:val="1"/>
                <w:color w:val="auto"/>
              </w:rPr>
            </w:pPr>
          </w:p>
        </w:tc>
      </w:tr>
      <w:tr>
        <w:trPr>
          <w:trHeight w:val="152"/>
        </w:trPr>
        <w:tc>
          <w:tcPr>
            <w:tcW w:w="20" w:type="dxa"/>
            <w:vAlign w:val="bottom"/>
            <w:shd w:val="clear" w:color="auto" w:fill="CCEEFF"/>
          </w:tcPr>
          <w:p>
            <w:pPr>
              <w:spacing w:after="0"/>
              <w:rPr>
                <w:sz w:val="13"/>
                <w:szCs w:val="13"/>
                <w:color w:val="auto"/>
              </w:rPr>
            </w:pPr>
          </w:p>
        </w:tc>
        <w:tc>
          <w:tcPr>
            <w:tcW w:w="3560" w:type="dxa"/>
            <w:vAlign w:val="bottom"/>
            <w:gridSpan w:val="12"/>
            <w:shd w:val="clear" w:color="auto" w:fill="CCEEFF"/>
          </w:tcPr>
          <w:p>
            <w:pPr>
              <w:spacing w:after="0" w:line="152" w:lineRule="exact"/>
              <w:rPr>
                <w:sz w:val="20"/>
                <w:szCs w:val="20"/>
                <w:color w:val="auto"/>
              </w:rPr>
            </w:pPr>
            <w:r>
              <w:rPr>
                <w:rFonts w:ascii="Arial" w:cs="Arial" w:eastAsia="Arial" w:hAnsi="Arial"/>
                <w:sz w:val="14"/>
                <w:szCs w:val="14"/>
                <w:color w:val="auto"/>
                <w:w w:val="99"/>
              </w:rPr>
              <w:t>Junior Preferred warrants, Strike Price $12.42, Expiration</w:t>
            </w:r>
          </w:p>
        </w:tc>
        <w:tc>
          <w:tcPr>
            <w:tcW w:w="100" w:type="dxa"/>
            <w:vAlign w:val="bottom"/>
            <w:shd w:val="clear" w:color="auto" w:fill="CCEEFF"/>
          </w:tcPr>
          <w:p>
            <w:pPr>
              <w:spacing w:after="0"/>
              <w:rPr>
                <w:sz w:val="13"/>
                <w:szCs w:val="13"/>
                <w:color w:val="auto"/>
              </w:rPr>
            </w:pPr>
          </w:p>
        </w:tc>
        <w:tc>
          <w:tcPr>
            <w:tcW w:w="1980" w:type="dxa"/>
            <w:vAlign w:val="bottom"/>
            <w:shd w:val="clear" w:color="auto" w:fill="CCEEFF"/>
          </w:tcPr>
          <w:p>
            <w:pPr>
              <w:spacing w:after="0"/>
              <w:rPr>
                <w:sz w:val="13"/>
                <w:szCs w:val="13"/>
                <w:color w:val="auto"/>
              </w:rPr>
            </w:pPr>
          </w:p>
        </w:tc>
        <w:tc>
          <w:tcPr>
            <w:tcW w:w="1080" w:type="dxa"/>
            <w:vAlign w:val="bottom"/>
            <w:gridSpan w:val="2"/>
            <w:vMerge w:val="restart"/>
            <w:shd w:val="clear" w:color="auto" w:fill="CCEEFF"/>
          </w:tcPr>
          <w:p>
            <w:pPr>
              <w:jc w:val="center"/>
              <w:ind w:left="28"/>
              <w:spacing w:after="0"/>
              <w:rPr>
                <w:sz w:val="20"/>
                <w:szCs w:val="20"/>
                <w:color w:val="auto"/>
              </w:rPr>
            </w:pPr>
            <w:r>
              <w:rPr>
                <w:rFonts w:ascii="Arial" w:cs="Arial" w:eastAsia="Arial" w:hAnsi="Arial"/>
                <w:sz w:val="14"/>
                <w:szCs w:val="14"/>
                <w:color w:val="auto"/>
                <w:w w:val="93"/>
              </w:rPr>
              <w:t>7/19/2011</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4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73,695</w:t>
            </w: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279,303</w:t>
            </w:r>
          </w:p>
        </w:tc>
        <w:tc>
          <w:tcPr>
            <w:tcW w:w="100" w:type="dxa"/>
            <w:vAlign w:val="bottom"/>
            <w:shd w:val="clear" w:color="auto" w:fill="CCEEFF"/>
          </w:tcPr>
          <w:p>
            <w:pPr>
              <w:spacing w:after="0"/>
              <w:rPr>
                <w:sz w:val="13"/>
                <w:szCs w:val="13"/>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0.09 %</w:t>
            </w: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3660" w:type="dxa"/>
            <w:vAlign w:val="bottom"/>
            <w:gridSpan w:val="13"/>
            <w:shd w:val="clear" w:color="auto" w:fill="CCEEFF"/>
          </w:tcPr>
          <w:p>
            <w:pPr>
              <w:spacing w:after="0"/>
              <w:rPr>
                <w:sz w:val="20"/>
                <w:szCs w:val="20"/>
                <w:color w:val="auto"/>
              </w:rPr>
            </w:pPr>
            <w:r>
              <w:rPr>
                <w:rFonts w:ascii="Arial" w:cs="Arial" w:eastAsia="Arial" w:hAnsi="Arial"/>
                <w:sz w:val="14"/>
                <w:szCs w:val="14"/>
                <w:color w:val="auto"/>
              </w:rPr>
              <w:t>Date 11/9/2025</w:t>
            </w:r>
          </w:p>
        </w:tc>
        <w:tc>
          <w:tcPr>
            <w:tcW w:w="1980" w:type="dxa"/>
            <w:vAlign w:val="bottom"/>
            <w:shd w:val="clear" w:color="auto" w:fill="CCEEFF"/>
          </w:tcPr>
          <w:p>
            <w:pPr>
              <w:spacing w:after="0"/>
              <w:rPr>
                <w:sz w:val="16"/>
                <w:szCs w:val="16"/>
                <w:color w:val="auto"/>
              </w:rPr>
            </w:pPr>
          </w:p>
        </w:tc>
        <w:tc>
          <w:tcPr>
            <w:tcW w:w="108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6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20" w:type="dxa"/>
            <w:vAlign w:val="bottom"/>
            <w:tcBorders>
              <w:bottom w:val="single" w:sz="8" w:color="CCEEFF"/>
            </w:tcBorders>
          </w:tcPr>
          <w:p>
            <w:pPr>
              <w:spacing w:after="0"/>
              <w:rPr>
                <w:sz w:val="15"/>
                <w:szCs w:val="15"/>
                <w:color w:val="auto"/>
              </w:rPr>
            </w:pPr>
          </w:p>
        </w:tc>
        <w:tc>
          <w:tcPr>
            <w:tcW w:w="3660" w:type="dxa"/>
            <w:vAlign w:val="bottom"/>
            <w:tcBorders>
              <w:bottom w:val="single" w:sz="8" w:color="CCEEFF"/>
            </w:tcBorders>
            <w:gridSpan w:val="13"/>
          </w:tcPr>
          <w:p>
            <w:pPr>
              <w:ind w:left="120"/>
              <w:spacing w:after="0"/>
              <w:rPr>
                <w:sz w:val="20"/>
                <w:szCs w:val="20"/>
                <w:color w:val="auto"/>
              </w:rPr>
            </w:pPr>
            <w:r>
              <w:rPr>
                <w:rFonts w:ascii="Arial" w:cs="Arial" w:eastAsia="Arial" w:hAnsi="Arial"/>
                <w:sz w:val="14"/>
                <w:szCs w:val="14"/>
                <w:color w:val="auto"/>
              </w:rPr>
              <w:t>Total</w:t>
            </w:r>
          </w:p>
        </w:tc>
        <w:tc>
          <w:tcPr>
            <w:tcW w:w="198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98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40" w:type="dxa"/>
            <w:vAlign w:val="bottom"/>
            <w:tcBorders>
              <w:top w:val="single" w:sz="8" w:color="CCEEFF"/>
              <w:bottom w:val="single" w:sz="8" w:color="CCEEFF"/>
            </w:tcBorders>
          </w:tcPr>
          <w:p>
            <w:pPr>
              <w:spacing w:after="0"/>
              <w:rPr>
                <w:sz w:val="15"/>
                <w:szCs w:val="15"/>
                <w:color w:val="auto"/>
              </w:rPr>
            </w:pPr>
          </w:p>
        </w:tc>
        <w:tc>
          <w:tcPr>
            <w:tcW w:w="840" w:type="dxa"/>
            <w:vAlign w:val="bottom"/>
            <w:tcBorders>
              <w:top w:val="single" w:sz="8" w:color="CCEEFF"/>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8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2,383,703</w:t>
            </w:r>
          </w:p>
        </w:tc>
        <w:tc>
          <w:tcPr>
            <w:tcW w:w="100" w:type="dxa"/>
            <w:vAlign w:val="bottom"/>
            <w:tcBorders>
              <w:bottom w:val="single" w:sz="8" w:color="CCEEFF"/>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9,897,059</w:t>
            </w:r>
          </w:p>
        </w:tc>
        <w:tc>
          <w:tcPr>
            <w:tcW w:w="100" w:type="dxa"/>
            <w:vAlign w:val="bottom"/>
            <w:tcBorders>
              <w:bottom w:val="single" w:sz="8" w:color="CCEEFF"/>
            </w:tcBorders>
          </w:tcPr>
          <w:p>
            <w:pPr>
              <w:spacing w:after="0"/>
              <w:rPr>
                <w:sz w:val="15"/>
                <w:szCs w:val="15"/>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3.28 %</w:t>
            </w:r>
          </w:p>
        </w:tc>
        <w:tc>
          <w:tcPr>
            <w:tcW w:w="0" w:type="dxa"/>
            <w:vAlign w:val="bottom"/>
          </w:tcPr>
          <w:p>
            <w:pPr>
              <w:spacing w:after="0"/>
              <w:rPr>
                <w:sz w:val="1"/>
                <w:szCs w:val="1"/>
                <w:color w:val="auto"/>
              </w:rPr>
            </w:pPr>
          </w:p>
        </w:tc>
      </w:tr>
      <w:tr>
        <w:trPr>
          <w:trHeight w:val="145"/>
        </w:trPr>
        <w:tc>
          <w:tcPr>
            <w:tcW w:w="20" w:type="dxa"/>
            <w:vAlign w:val="bottom"/>
            <w:shd w:val="clear" w:color="auto" w:fill="CCEEFF"/>
          </w:tcPr>
          <w:p>
            <w:pPr>
              <w:spacing w:after="0"/>
              <w:rPr>
                <w:sz w:val="12"/>
                <w:szCs w:val="12"/>
                <w:color w:val="auto"/>
              </w:rPr>
            </w:pPr>
          </w:p>
        </w:tc>
        <w:tc>
          <w:tcPr>
            <w:tcW w:w="3660" w:type="dxa"/>
            <w:vAlign w:val="bottom"/>
            <w:gridSpan w:val="13"/>
            <w:shd w:val="clear" w:color="auto" w:fill="CCEEFF"/>
          </w:tcPr>
          <w:p>
            <w:pPr>
              <w:spacing w:after="0" w:line="145" w:lineRule="exact"/>
              <w:rPr>
                <w:sz w:val="20"/>
                <w:szCs w:val="20"/>
                <w:color w:val="auto"/>
              </w:rPr>
            </w:pPr>
            <w:r>
              <w:rPr>
                <w:rFonts w:ascii="Arial" w:cs="Arial" w:eastAsia="Arial" w:hAnsi="Arial"/>
                <w:sz w:val="14"/>
                <w:szCs w:val="14"/>
                <w:b w:val="1"/>
                <w:bCs w:val="1"/>
                <w:color w:val="auto"/>
              </w:rPr>
              <w:t>Enjoy Technology, Inc.</w:t>
            </w:r>
          </w:p>
        </w:tc>
        <w:tc>
          <w:tcPr>
            <w:tcW w:w="1980" w:type="dxa"/>
            <w:vAlign w:val="bottom"/>
            <w:shd w:val="clear" w:color="auto" w:fill="CCEEFF"/>
          </w:tcPr>
          <w:p>
            <w:pPr>
              <w:jc w:val="center"/>
              <w:spacing w:after="0" w:line="145" w:lineRule="exact"/>
              <w:rPr>
                <w:sz w:val="20"/>
                <w:szCs w:val="20"/>
                <w:color w:val="auto"/>
              </w:rPr>
            </w:pPr>
            <w:r>
              <w:rPr>
                <w:rFonts w:ascii="Arial" w:cs="Arial" w:eastAsia="Arial" w:hAnsi="Arial"/>
                <w:sz w:val="14"/>
                <w:szCs w:val="14"/>
                <w:color w:val="auto"/>
                <w:w w:val="95"/>
              </w:rPr>
              <w:t>Menlo Park, CA</w:t>
            </w: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auto"/>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9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bottom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bottom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3660" w:type="dxa"/>
            <w:vAlign w:val="bottom"/>
            <w:gridSpan w:val="13"/>
          </w:tcPr>
          <w:p>
            <w:pPr>
              <w:spacing w:after="0"/>
              <w:rPr>
                <w:sz w:val="20"/>
                <w:szCs w:val="20"/>
                <w:color w:val="auto"/>
              </w:rPr>
            </w:pPr>
            <w:r>
              <w:rPr>
                <w:rFonts w:ascii="Arial" w:cs="Arial" w:eastAsia="Arial" w:hAnsi="Arial"/>
                <w:sz w:val="14"/>
                <w:szCs w:val="14"/>
                <w:color w:val="auto"/>
              </w:rPr>
              <w:t>Preferred shares, Series B 6%</w:t>
            </w:r>
          </w:p>
        </w:tc>
        <w:tc>
          <w:tcPr>
            <w:tcW w:w="1980" w:type="dxa"/>
            <w:vAlign w:val="bottom"/>
          </w:tcPr>
          <w:p>
            <w:pPr>
              <w:jc w:val="center"/>
              <w:spacing w:after="0"/>
              <w:rPr>
                <w:sz w:val="20"/>
                <w:szCs w:val="20"/>
                <w:color w:val="auto"/>
              </w:rPr>
            </w:pPr>
            <w:r>
              <w:rPr>
                <w:rFonts w:ascii="Arial" w:cs="Arial" w:eastAsia="Arial" w:hAnsi="Arial"/>
                <w:sz w:val="14"/>
                <w:szCs w:val="14"/>
                <w:color w:val="auto"/>
                <w:w w:val="92"/>
              </w:rPr>
              <w:t>On-Demand Commerce</w:t>
            </w:r>
          </w:p>
        </w:tc>
        <w:tc>
          <w:tcPr>
            <w:tcW w:w="1080" w:type="dxa"/>
            <w:vAlign w:val="bottom"/>
            <w:gridSpan w:val="2"/>
          </w:tcPr>
          <w:p>
            <w:pPr>
              <w:jc w:val="center"/>
              <w:ind w:left="28"/>
              <w:spacing w:after="0"/>
              <w:rPr>
                <w:sz w:val="20"/>
                <w:szCs w:val="20"/>
                <w:color w:val="auto"/>
              </w:rPr>
            </w:pPr>
            <w:r>
              <w:rPr>
                <w:rFonts w:ascii="Arial" w:cs="Arial" w:eastAsia="Arial" w:hAnsi="Arial"/>
                <w:sz w:val="14"/>
                <w:szCs w:val="14"/>
                <w:color w:val="auto"/>
                <w:w w:val="93"/>
              </w:rPr>
              <w:t>7/29/2015</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1,681,520</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4,000,280</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5,032,724</w:t>
            </w:r>
          </w:p>
        </w:tc>
        <w:tc>
          <w:tcPr>
            <w:tcW w:w="1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1.67 %</w:t>
            </w:r>
          </w:p>
        </w:tc>
        <w:tc>
          <w:tcPr>
            <w:tcW w:w="0" w:type="dxa"/>
            <w:vAlign w:val="bottom"/>
          </w:tcPr>
          <w:p>
            <w:pPr>
              <w:spacing w:after="0"/>
              <w:rPr>
                <w:sz w:val="1"/>
                <w:szCs w:val="1"/>
                <w:color w:val="auto"/>
              </w:rPr>
            </w:pPr>
          </w:p>
        </w:tc>
      </w:tr>
      <w:tr>
        <w:trPr>
          <w:trHeight w:val="206"/>
        </w:trPr>
        <w:tc>
          <w:tcPr>
            <w:tcW w:w="20" w:type="dxa"/>
            <w:vAlign w:val="bottom"/>
            <w:shd w:val="clear" w:color="auto" w:fill="CCEEFF"/>
          </w:tcPr>
          <w:p>
            <w:pPr>
              <w:spacing w:after="0"/>
              <w:rPr>
                <w:sz w:val="17"/>
                <w:szCs w:val="17"/>
                <w:color w:val="auto"/>
              </w:rPr>
            </w:pPr>
          </w:p>
        </w:tc>
        <w:tc>
          <w:tcPr>
            <w:tcW w:w="3660" w:type="dxa"/>
            <w:vAlign w:val="bottom"/>
            <w:gridSpan w:val="13"/>
            <w:shd w:val="clear" w:color="auto" w:fill="CCEEFF"/>
          </w:tcPr>
          <w:p>
            <w:pPr>
              <w:spacing w:after="0"/>
              <w:rPr>
                <w:sz w:val="20"/>
                <w:szCs w:val="20"/>
                <w:color w:val="auto"/>
              </w:rPr>
            </w:pPr>
            <w:r>
              <w:rPr>
                <w:rFonts w:ascii="Arial" w:cs="Arial" w:eastAsia="Arial" w:hAnsi="Arial"/>
                <w:sz w:val="14"/>
                <w:szCs w:val="14"/>
                <w:color w:val="auto"/>
              </w:rPr>
              <w:t>Preferred shares, Series A 6%</w:t>
            </w:r>
          </w:p>
        </w:tc>
        <w:tc>
          <w:tcPr>
            <w:tcW w:w="19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center"/>
              <w:ind w:left="28"/>
              <w:spacing w:after="0"/>
              <w:rPr>
                <w:sz w:val="20"/>
                <w:szCs w:val="20"/>
                <w:color w:val="auto"/>
              </w:rPr>
            </w:pPr>
            <w:r>
              <w:rPr>
                <w:rFonts w:ascii="Arial" w:cs="Arial" w:eastAsia="Arial" w:hAnsi="Arial"/>
                <w:sz w:val="14"/>
                <w:szCs w:val="14"/>
                <w:color w:val="auto"/>
                <w:w w:val="94"/>
              </w:rPr>
              <w:t>10/16/2014</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879,198</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1,002,440</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1,536,980</w:t>
            </w: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0.51 %</w:t>
            </w:r>
          </w:p>
        </w:tc>
        <w:tc>
          <w:tcPr>
            <w:tcW w:w="0" w:type="dxa"/>
            <w:vAlign w:val="bottom"/>
          </w:tcPr>
          <w:p>
            <w:pPr>
              <w:spacing w:after="0"/>
              <w:rPr>
                <w:sz w:val="1"/>
                <w:szCs w:val="1"/>
                <w:color w:val="auto"/>
              </w:rPr>
            </w:pPr>
          </w:p>
        </w:tc>
      </w:tr>
      <w:tr>
        <w:trPr>
          <w:trHeight w:val="179"/>
        </w:trPr>
        <w:tc>
          <w:tcPr>
            <w:tcW w:w="20" w:type="dxa"/>
            <w:vAlign w:val="bottom"/>
            <w:tcBorders>
              <w:bottom w:val="single" w:sz="8" w:color="CCEEFF"/>
            </w:tcBorders>
          </w:tcPr>
          <w:p>
            <w:pPr>
              <w:spacing w:after="0"/>
              <w:rPr>
                <w:sz w:val="15"/>
                <w:szCs w:val="15"/>
                <w:color w:val="auto"/>
              </w:rPr>
            </w:pPr>
          </w:p>
        </w:tc>
        <w:tc>
          <w:tcPr>
            <w:tcW w:w="3660" w:type="dxa"/>
            <w:vAlign w:val="bottom"/>
            <w:tcBorders>
              <w:bottom w:val="single" w:sz="8" w:color="CCEEFF"/>
            </w:tcBorders>
            <w:gridSpan w:val="13"/>
          </w:tcPr>
          <w:p>
            <w:pPr>
              <w:spacing w:after="0"/>
              <w:rPr>
                <w:sz w:val="20"/>
                <w:szCs w:val="20"/>
                <w:color w:val="auto"/>
              </w:rPr>
            </w:pPr>
            <w:r>
              <w:rPr>
                <w:rFonts w:ascii="Arial" w:cs="Arial" w:eastAsia="Arial" w:hAnsi="Arial"/>
                <w:sz w:val="14"/>
                <w:szCs w:val="14"/>
                <w:color w:val="auto"/>
              </w:rPr>
              <w:t>Convertible Promissory Note 14% Due 1/30/2024***</w:t>
            </w:r>
          </w:p>
        </w:tc>
        <w:tc>
          <w:tcPr>
            <w:tcW w:w="1980" w:type="dxa"/>
            <w:vAlign w:val="bottom"/>
            <w:tcBorders>
              <w:bottom w:val="single" w:sz="8" w:color="CCEEFF"/>
            </w:tcBorders>
          </w:tcPr>
          <w:p>
            <w:pPr>
              <w:spacing w:after="0"/>
              <w:rPr>
                <w:sz w:val="15"/>
                <w:szCs w:val="15"/>
                <w:color w:val="auto"/>
              </w:rPr>
            </w:pPr>
          </w:p>
        </w:tc>
        <w:tc>
          <w:tcPr>
            <w:tcW w:w="1080" w:type="dxa"/>
            <w:vAlign w:val="bottom"/>
            <w:tcBorders>
              <w:bottom w:val="single" w:sz="8" w:color="CCEEFF"/>
            </w:tcBorders>
            <w:gridSpan w:val="2"/>
          </w:tcPr>
          <w:p>
            <w:pPr>
              <w:jc w:val="center"/>
              <w:ind w:left="28"/>
              <w:spacing w:after="0"/>
              <w:rPr>
                <w:sz w:val="20"/>
                <w:szCs w:val="20"/>
                <w:color w:val="auto"/>
              </w:rPr>
            </w:pPr>
            <w:r>
              <w:rPr>
                <w:rFonts w:ascii="Arial" w:cs="Arial" w:eastAsia="Arial" w:hAnsi="Arial"/>
                <w:sz w:val="14"/>
                <w:szCs w:val="14"/>
                <w:color w:val="auto"/>
                <w:w w:val="94"/>
              </w:rPr>
              <w:t>11/30/2020</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CCEEFF"/>
            </w:tcBorders>
          </w:tcPr>
          <w:p>
            <w:pPr>
              <w:jc w:val="right"/>
              <w:ind w:right="8"/>
              <w:spacing w:after="0"/>
              <w:rPr>
                <w:sz w:val="20"/>
                <w:szCs w:val="20"/>
                <w:color w:val="auto"/>
              </w:rPr>
            </w:pPr>
            <w:r>
              <w:rPr>
                <w:rFonts w:ascii="Arial" w:cs="Arial" w:eastAsia="Arial" w:hAnsi="Arial"/>
                <w:sz w:val="14"/>
                <w:szCs w:val="14"/>
                <w:color w:val="auto"/>
              </w:rPr>
              <w:t>521,112</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524,057</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521,112</w:t>
            </w:r>
          </w:p>
        </w:tc>
        <w:tc>
          <w:tcPr>
            <w:tcW w:w="100" w:type="dxa"/>
            <w:vAlign w:val="bottom"/>
            <w:tcBorders>
              <w:bottom w:val="single" w:sz="8" w:color="CCEEFF"/>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0.17 %</w:t>
            </w:r>
          </w:p>
        </w:tc>
        <w:tc>
          <w:tcPr>
            <w:tcW w:w="0" w:type="dxa"/>
            <w:vAlign w:val="bottom"/>
          </w:tcPr>
          <w:p>
            <w:pPr>
              <w:spacing w:after="0"/>
              <w:rPr>
                <w:sz w:val="1"/>
                <w:szCs w:val="1"/>
                <w:color w:val="auto"/>
              </w:rPr>
            </w:pPr>
          </w:p>
        </w:tc>
      </w:tr>
      <w:tr>
        <w:trPr>
          <w:trHeight w:val="186"/>
        </w:trPr>
        <w:tc>
          <w:tcPr>
            <w:tcW w:w="20" w:type="dxa"/>
            <w:vAlign w:val="bottom"/>
            <w:tcBorders>
              <w:bottom w:val="single" w:sz="8" w:color="CCEEFF"/>
            </w:tcBorders>
            <w:shd w:val="clear" w:color="auto" w:fill="CCEEFF"/>
          </w:tcPr>
          <w:p>
            <w:pPr>
              <w:spacing w:after="0"/>
              <w:rPr>
                <w:sz w:val="16"/>
                <w:szCs w:val="16"/>
                <w:color w:val="auto"/>
              </w:rPr>
            </w:pPr>
          </w:p>
        </w:tc>
        <w:tc>
          <w:tcPr>
            <w:tcW w:w="3560" w:type="dxa"/>
            <w:vAlign w:val="bottom"/>
            <w:tcBorders>
              <w:bottom w:val="single" w:sz="8" w:color="CCEEFF"/>
            </w:tcBorders>
            <w:gridSpan w:val="12"/>
            <w:shd w:val="clear" w:color="auto" w:fill="CCEEFF"/>
          </w:tcPr>
          <w:p>
            <w:pPr>
              <w:ind w:left="120"/>
              <w:spacing w:after="0"/>
              <w:rPr>
                <w:sz w:val="20"/>
                <w:szCs w:val="20"/>
                <w:color w:val="auto"/>
              </w:rPr>
            </w:pPr>
            <w:r>
              <w:rPr>
                <w:rFonts w:ascii="Arial" w:cs="Arial" w:eastAsia="Arial" w:hAnsi="Arial"/>
                <w:sz w:val="14"/>
                <w:szCs w:val="14"/>
                <w:color w:val="auto"/>
              </w:rPr>
              <w:t>Total</w:t>
            </w:r>
          </w:p>
        </w:tc>
        <w:tc>
          <w:tcPr>
            <w:tcW w:w="100" w:type="dxa"/>
            <w:vAlign w:val="bottom"/>
            <w:shd w:val="clear" w:color="auto" w:fill="CCEEFF"/>
          </w:tcPr>
          <w:p>
            <w:pPr>
              <w:spacing w:after="0"/>
              <w:rPr>
                <w:sz w:val="16"/>
                <w:szCs w:val="16"/>
                <w:color w:val="auto"/>
              </w:rPr>
            </w:pPr>
          </w:p>
        </w:tc>
        <w:tc>
          <w:tcPr>
            <w:tcW w:w="1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5,526,777</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7,090,816</w:t>
            </w:r>
          </w:p>
        </w:tc>
        <w:tc>
          <w:tcPr>
            <w:tcW w:w="100" w:type="dxa"/>
            <w:vAlign w:val="bottom"/>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2.35 %</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560" w:type="dxa"/>
            <w:vAlign w:val="bottom"/>
            <w:gridSpan w:val="12"/>
          </w:tcPr>
          <w:p>
            <w:pPr>
              <w:spacing w:after="0" w:line="142" w:lineRule="exact"/>
              <w:rPr>
                <w:sz w:val="20"/>
                <w:szCs w:val="20"/>
                <w:color w:val="auto"/>
              </w:rPr>
            </w:pPr>
            <w:r>
              <w:rPr>
                <w:rFonts w:ascii="Arial" w:cs="Arial" w:eastAsia="Arial" w:hAnsi="Arial"/>
                <w:sz w:val="14"/>
                <w:szCs w:val="14"/>
                <w:b w:val="1"/>
                <w:bCs w:val="1"/>
                <w:color w:val="auto"/>
              </w:rPr>
              <w:t>Rent the Runway, Inc.</w:t>
            </w:r>
          </w:p>
        </w:tc>
        <w:tc>
          <w:tcPr>
            <w:tcW w:w="100" w:type="dxa"/>
            <w:vAlign w:val="bottom"/>
          </w:tcPr>
          <w:p>
            <w:pPr>
              <w:spacing w:after="0"/>
              <w:rPr>
                <w:sz w:val="12"/>
                <w:szCs w:val="12"/>
                <w:color w:val="auto"/>
              </w:rPr>
            </w:pPr>
          </w:p>
        </w:tc>
        <w:tc>
          <w:tcPr>
            <w:tcW w:w="1980" w:type="dxa"/>
            <w:vAlign w:val="bottom"/>
          </w:tcPr>
          <w:p>
            <w:pPr>
              <w:jc w:val="center"/>
              <w:spacing w:after="0" w:line="142" w:lineRule="exact"/>
              <w:rPr>
                <w:sz w:val="20"/>
                <w:szCs w:val="20"/>
                <w:color w:val="auto"/>
              </w:rPr>
            </w:pPr>
            <w:r>
              <w:rPr>
                <w:rFonts w:ascii="Arial" w:cs="Arial" w:eastAsia="Arial" w:hAnsi="Arial"/>
                <w:sz w:val="14"/>
                <w:szCs w:val="14"/>
                <w:color w:val="auto"/>
                <w:w w:val="97"/>
              </w:rPr>
              <w:t>New York, NY</w:t>
            </w: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3660" w:type="dxa"/>
            <w:vAlign w:val="bottom"/>
            <w:gridSpan w:val="13"/>
            <w:shd w:val="clear" w:color="auto" w:fill="CCEEFF"/>
          </w:tcPr>
          <w:p>
            <w:pPr>
              <w:spacing w:after="0"/>
              <w:rPr>
                <w:sz w:val="20"/>
                <w:szCs w:val="20"/>
                <w:color w:val="auto"/>
              </w:rPr>
            </w:pPr>
            <w:r>
              <w:rPr>
                <w:rFonts w:ascii="Arial" w:cs="Arial" w:eastAsia="Arial" w:hAnsi="Arial"/>
                <w:sz w:val="14"/>
                <w:szCs w:val="14"/>
                <w:color w:val="auto"/>
              </w:rPr>
              <w:t>Preferred shares, Series G</w:t>
            </w:r>
          </w:p>
        </w:tc>
        <w:tc>
          <w:tcPr>
            <w:tcW w:w="19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Subscription Fashion Rental</w:t>
            </w:r>
          </w:p>
        </w:tc>
        <w:tc>
          <w:tcPr>
            <w:tcW w:w="1080" w:type="dxa"/>
            <w:vAlign w:val="bottom"/>
            <w:gridSpan w:val="2"/>
            <w:shd w:val="clear" w:color="auto" w:fill="CCEEFF"/>
          </w:tcPr>
          <w:p>
            <w:pPr>
              <w:jc w:val="center"/>
              <w:ind w:left="28"/>
              <w:spacing w:after="0"/>
              <w:rPr>
                <w:sz w:val="20"/>
                <w:szCs w:val="20"/>
                <w:color w:val="auto"/>
              </w:rPr>
            </w:pPr>
            <w:r>
              <w:rPr>
                <w:rFonts w:ascii="Arial" w:cs="Arial" w:eastAsia="Arial" w:hAnsi="Arial"/>
                <w:sz w:val="14"/>
                <w:szCs w:val="14"/>
                <w:color w:val="auto"/>
                <w:w w:val="93"/>
              </w:rPr>
              <w:t>6/17/2020</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339,191</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5,153,945</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5,000,001</w:t>
            </w: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1.66 %</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660" w:type="dxa"/>
            <w:vAlign w:val="bottom"/>
            <w:gridSpan w:val="13"/>
          </w:tcPr>
          <w:p>
            <w:pPr>
              <w:spacing w:after="0" w:line="135" w:lineRule="exact"/>
              <w:rPr>
                <w:sz w:val="20"/>
                <w:szCs w:val="20"/>
                <w:color w:val="auto"/>
              </w:rPr>
            </w:pPr>
            <w:r>
              <w:rPr>
                <w:rFonts w:ascii="Arial" w:cs="Arial" w:eastAsia="Arial" w:hAnsi="Arial"/>
                <w:sz w:val="14"/>
                <w:szCs w:val="14"/>
                <w:b w:val="1"/>
                <w:bCs w:val="1"/>
                <w:u w:val="single" w:color="auto"/>
                <w:color w:val="auto"/>
                <w:w w:val="97"/>
              </w:rPr>
              <w:t>Residential Homes for Rent, LLC (d/b/a Second Avenue)</w:t>
            </w:r>
          </w:p>
        </w:tc>
        <w:tc>
          <w:tcPr>
            <w:tcW w:w="1980" w:type="dxa"/>
            <w:vAlign w:val="bottom"/>
            <w:vMerge w:val="restart"/>
          </w:tcPr>
          <w:p>
            <w:pPr>
              <w:jc w:val="center"/>
              <w:spacing w:after="0"/>
              <w:rPr>
                <w:sz w:val="20"/>
                <w:szCs w:val="20"/>
                <w:color w:val="auto"/>
              </w:rPr>
            </w:pPr>
            <w:r>
              <w:rPr>
                <w:rFonts w:ascii="Arial" w:cs="Arial" w:eastAsia="Arial" w:hAnsi="Arial"/>
                <w:sz w:val="14"/>
                <w:szCs w:val="14"/>
                <w:color w:val="auto"/>
                <w:w w:val="95"/>
              </w:rPr>
              <w:t>Chicago, IL</w:t>
            </w: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80" w:type="dxa"/>
            <w:vAlign w:val="bottom"/>
          </w:tcPr>
          <w:p>
            <w:pPr>
              <w:spacing w:after="0"/>
              <w:rPr>
                <w:sz w:val="20"/>
                <w:szCs w:val="20"/>
                <w:color w:val="auto"/>
              </w:rPr>
            </w:pPr>
            <w:r>
              <w:rPr>
                <w:rFonts w:ascii="Arial" w:cs="Arial" w:eastAsia="Arial" w:hAnsi="Arial"/>
                <w:sz w:val="9"/>
                <w:szCs w:val="9"/>
                <w:b w:val="1"/>
                <w:bCs w:val="1"/>
                <w:color w:val="auto"/>
              </w:rPr>
              <w:t>(16)</w:t>
            </w: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9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3660" w:type="dxa"/>
            <w:vAlign w:val="bottom"/>
            <w:gridSpan w:val="13"/>
            <w:shd w:val="clear" w:color="auto" w:fill="CCEEFF"/>
          </w:tcPr>
          <w:p>
            <w:pPr>
              <w:spacing w:after="0"/>
              <w:rPr>
                <w:sz w:val="20"/>
                <w:szCs w:val="20"/>
                <w:color w:val="auto"/>
              </w:rPr>
            </w:pPr>
            <w:r>
              <w:rPr>
                <w:rFonts w:ascii="Arial" w:cs="Arial" w:eastAsia="Arial" w:hAnsi="Arial"/>
                <w:sz w:val="14"/>
                <w:szCs w:val="14"/>
                <w:color w:val="auto"/>
              </w:rPr>
              <w:t>Preferred shares, Series A</w:t>
            </w:r>
          </w:p>
        </w:tc>
        <w:tc>
          <w:tcPr>
            <w:tcW w:w="19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Real Estate Platform</w:t>
            </w:r>
          </w:p>
        </w:tc>
        <w:tc>
          <w:tcPr>
            <w:tcW w:w="1080" w:type="dxa"/>
            <w:vAlign w:val="bottom"/>
            <w:gridSpan w:val="2"/>
            <w:shd w:val="clear" w:color="auto" w:fill="CCEEFF"/>
          </w:tcPr>
          <w:p>
            <w:pPr>
              <w:jc w:val="center"/>
              <w:ind w:left="28"/>
              <w:spacing w:after="0"/>
              <w:rPr>
                <w:sz w:val="20"/>
                <w:szCs w:val="20"/>
                <w:color w:val="auto"/>
              </w:rPr>
            </w:pPr>
            <w:r>
              <w:rPr>
                <w:rFonts w:ascii="Arial" w:cs="Arial" w:eastAsia="Arial" w:hAnsi="Arial"/>
                <w:sz w:val="14"/>
                <w:szCs w:val="14"/>
                <w:color w:val="auto"/>
                <w:w w:val="94"/>
              </w:rPr>
              <w:t>12/23/2020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150,000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1,500,000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1,500,000</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0.50 %</w:t>
            </w:r>
          </w:p>
        </w:tc>
        <w:tc>
          <w:tcPr>
            <w:tcW w:w="0" w:type="dxa"/>
            <w:vAlign w:val="bottom"/>
          </w:tcPr>
          <w:p>
            <w:pPr>
              <w:spacing w:after="0"/>
              <w:rPr>
                <w:sz w:val="1"/>
                <w:szCs w:val="1"/>
                <w:color w:val="auto"/>
              </w:rPr>
            </w:pPr>
          </w:p>
        </w:tc>
      </w:tr>
      <w:tr>
        <w:trPr>
          <w:trHeight w:val="179"/>
        </w:trPr>
        <w:tc>
          <w:tcPr>
            <w:tcW w:w="20" w:type="dxa"/>
            <w:vAlign w:val="bottom"/>
            <w:tcBorders>
              <w:bottom w:val="single" w:sz="8" w:color="CCEEFF"/>
            </w:tcBorders>
          </w:tcPr>
          <w:p>
            <w:pPr>
              <w:spacing w:after="0"/>
              <w:rPr>
                <w:sz w:val="15"/>
                <w:szCs w:val="15"/>
                <w:color w:val="auto"/>
              </w:rPr>
            </w:pPr>
          </w:p>
        </w:tc>
        <w:tc>
          <w:tcPr>
            <w:tcW w:w="3660" w:type="dxa"/>
            <w:vAlign w:val="bottom"/>
            <w:tcBorders>
              <w:bottom w:val="single" w:sz="8" w:color="CCEEFF"/>
            </w:tcBorders>
            <w:gridSpan w:val="13"/>
          </w:tcPr>
          <w:p>
            <w:pPr>
              <w:spacing w:after="0"/>
              <w:rPr>
                <w:sz w:val="20"/>
                <w:szCs w:val="20"/>
                <w:color w:val="auto"/>
              </w:rPr>
            </w:pPr>
            <w:r>
              <w:rPr>
                <w:rFonts w:ascii="Arial" w:cs="Arial" w:eastAsia="Arial" w:hAnsi="Arial"/>
                <w:sz w:val="14"/>
                <w:szCs w:val="14"/>
                <w:color w:val="auto"/>
              </w:rPr>
              <w:t>Term loan 15%, Due 12/23/2023***</w:t>
            </w:r>
          </w:p>
        </w:tc>
        <w:tc>
          <w:tcPr>
            <w:tcW w:w="198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980" w:type="dxa"/>
            <w:vAlign w:val="bottom"/>
            <w:tcBorders>
              <w:top w:val="single" w:sz="8" w:color="CCEEFF"/>
              <w:bottom w:val="single" w:sz="8" w:color="CCEEFF"/>
            </w:tcBorders>
          </w:tcPr>
          <w:p>
            <w:pPr>
              <w:jc w:val="center"/>
              <w:spacing w:after="0"/>
              <w:rPr>
                <w:sz w:val="20"/>
                <w:szCs w:val="20"/>
                <w:color w:val="auto"/>
              </w:rPr>
            </w:pPr>
            <w:r>
              <w:rPr>
                <w:rFonts w:ascii="Arial" w:cs="Arial" w:eastAsia="Arial" w:hAnsi="Arial"/>
                <w:sz w:val="14"/>
                <w:szCs w:val="14"/>
                <w:color w:val="auto"/>
                <w:w w:val="94"/>
              </w:rPr>
              <w:t>12/23/2020</w:t>
            </w:r>
          </w:p>
        </w:tc>
        <w:tc>
          <w:tcPr>
            <w:tcW w:w="100" w:type="dxa"/>
            <w:vAlign w:val="bottom"/>
            <w:tcBorders>
              <w:bottom w:val="single" w:sz="8" w:color="CCEEFF"/>
            </w:tcBorders>
          </w:tcPr>
          <w:p>
            <w:pPr>
              <w:spacing w:after="0"/>
              <w:rPr>
                <w:sz w:val="15"/>
                <w:szCs w:val="15"/>
                <w:color w:val="auto"/>
              </w:rPr>
            </w:pPr>
          </w:p>
        </w:tc>
        <w:tc>
          <w:tcPr>
            <w:tcW w:w="140" w:type="dxa"/>
            <w:vAlign w:val="bottom"/>
            <w:tcBorders>
              <w:top w:val="single" w:sz="8" w:color="CCEEFF"/>
              <w:bottom w:val="single" w:sz="8" w:color="CCEEFF"/>
            </w:tcBorders>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CCEEFF"/>
              <w:bottom w:val="single" w:sz="8" w:color="CCEEFF"/>
            </w:tcBorders>
          </w:tcPr>
          <w:p>
            <w:pPr>
              <w:jc w:val="right"/>
              <w:ind w:right="8"/>
              <w:spacing w:after="0"/>
              <w:rPr>
                <w:sz w:val="20"/>
                <w:szCs w:val="20"/>
                <w:color w:val="auto"/>
              </w:rPr>
            </w:pPr>
            <w:r>
              <w:rPr>
                <w:rFonts w:ascii="Arial" w:cs="Arial" w:eastAsia="Arial" w:hAnsi="Arial"/>
                <w:sz w:val="14"/>
                <w:szCs w:val="14"/>
                <w:color w:val="auto"/>
              </w:rPr>
              <w:t>3,000,000</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3,000,000</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3,000,000</w:t>
            </w:r>
          </w:p>
        </w:tc>
        <w:tc>
          <w:tcPr>
            <w:tcW w:w="100" w:type="dxa"/>
            <w:vAlign w:val="bottom"/>
            <w:tcBorders>
              <w:bottom w:val="single" w:sz="8" w:color="CCEEFF"/>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0.99 %</w:t>
            </w:r>
          </w:p>
        </w:tc>
        <w:tc>
          <w:tcPr>
            <w:tcW w:w="0" w:type="dxa"/>
            <w:vAlign w:val="bottom"/>
          </w:tcPr>
          <w:p>
            <w:pPr>
              <w:spacing w:after="0"/>
              <w:rPr>
                <w:sz w:val="1"/>
                <w:szCs w:val="1"/>
                <w:color w:val="auto"/>
              </w:rPr>
            </w:pPr>
          </w:p>
        </w:tc>
      </w:tr>
      <w:tr>
        <w:trPr>
          <w:trHeight w:val="186"/>
        </w:trPr>
        <w:tc>
          <w:tcPr>
            <w:tcW w:w="20" w:type="dxa"/>
            <w:vAlign w:val="bottom"/>
            <w:shd w:val="clear" w:color="auto" w:fill="CCEEFF"/>
          </w:tcPr>
          <w:p>
            <w:pPr>
              <w:spacing w:after="0"/>
              <w:rPr>
                <w:sz w:val="16"/>
                <w:szCs w:val="16"/>
                <w:color w:val="auto"/>
              </w:rPr>
            </w:pPr>
          </w:p>
        </w:tc>
        <w:tc>
          <w:tcPr>
            <w:tcW w:w="3660" w:type="dxa"/>
            <w:vAlign w:val="bottom"/>
            <w:gridSpan w:val="13"/>
            <w:shd w:val="clear" w:color="auto" w:fill="CCEEFF"/>
          </w:tcPr>
          <w:p>
            <w:pPr>
              <w:ind w:left="120"/>
              <w:spacing w:after="0"/>
              <w:rPr>
                <w:sz w:val="20"/>
                <w:szCs w:val="20"/>
                <w:color w:val="auto"/>
              </w:rPr>
            </w:pPr>
            <w:r>
              <w:rPr>
                <w:rFonts w:ascii="Arial" w:cs="Arial" w:eastAsia="Arial" w:hAnsi="Arial"/>
                <w:sz w:val="14"/>
                <w:szCs w:val="14"/>
                <w:color w:val="auto"/>
              </w:rPr>
              <w:t>Total</w:t>
            </w:r>
          </w:p>
        </w:tc>
        <w:tc>
          <w:tcPr>
            <w:tcW w:w="1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4,500,000</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4,500,000</w:t>
            </w:r>
          </w:p>
        </w:tc>
        <w:tc>
          <w:tcPr>
            <w:tcW w:w="100" w:type="dxa"/>
            <w:vAlign w:val="bottom"/>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1.49 %</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3660" w:type="dxa"/>
            <w:vAlign w:val="bottom"/>
            <w:gridSpan w:val="13"/>
          </w:tcPr>
          <w:p>
            <w:pPr>
              <w:spacing w:after="0" w:line="129" w:lineRule="exact"/>
              <w:rPr>
                <w:sz w:val="20"/>
                <w:szCs w:val="20"/>
                <w:color w:val="auto"/>
              </w:rPr>
            </w:pPr>
            <w:r>
              <w:rPr>
                <w:rFonts w:ascii="Arial" w:cs="Arial" w:eastAsia="Arial" w:hAnsi="Arial"/>
                <w:sz w:val="14"/>
                <w:szCs w:val="14"/>
                <w:b w:val="1"/>
                <w:bCs w:val="1"/>
                <w:color w:val="auto"/>
              </w:rPr>
              <w:t>Neutron Holdings, Inc. (d/b/a/ Lime)</w:t>
            </w:r>
          </w:p>
        </w:tc>
        <w:tc>
          <w:tcPr>
            <w:tcW w:w="1980" w:type="dxa"/>
            <w:vAlign w:val="bottom"/>
          </w:tcPr>
          <w:p>
            <w:pPr>
              <w:jc w:val="center"/>
              <w:spacing w:after="0" w:line="129" w:lineRule="exact"/>
              <w:rPr>
                <w:sz w:val="20"/>
                <w:szCs w:val="20"/>
                <w:color w:val="auto"/>
              </w:rPr>
            </w:pPr>
            <w:r>
              <w:rPr>
                <w:rFonts w:ascii="Arial" w:cs="Arial" w:eastAsia="Arial" w:hAnsi="Arial"/>
                <w:sz w:val="14"/>
                <w:szCs w:val="14"/>
                <w:color w:val="auto"/>
                <w:w w:val="92"/>
              </w:rPr>
              <w:t>San Francisco, CA</w:t>
            </w: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3660" w:type="dxa"/>
            <w:vAlign w:val="bottom"/>
            <w:gridSpan w:val="13"/>
            <w:shd w:val="clear" w:color="auto" w:fill="CCEEFF"/>
          </w:tcPr>
          <w:p>
            <w:pPr>
              <w:spacing w:after="0" w:line="202" w:lineRule="exact"/>
              <w:rPr>
                <w:sz w:val="20"/>
                <w:szCs w:val="20"/>
                <w:color w:val="auto"/>
              </w:rPr>
            </w:pPr>
            <w:r>
              <w:rPr>
                <w:rFonts w:ascii="Arial" w:cs="Arial" w:eastAsia="Arial" w:hAnsi="Arial"/>
                <w:sz w:val="14"/>
                <w:szCs w:val="14"/>
                <w:color w:val="auto"/>
              </w:rPr>
              <w:t>Junior Preferred shares, Series 1-D</w:t>
            </w:r>
            <w:r>
              <w:rPr>
                <w:rFonts w:ascii="Arial" w:cs="Arial" w:eastAsia="Arial" w:hAnsi="Arial"/>
                <w:sz w:val="18"/>
                <w:szCs w:val="18"/>
                <w:color w:val="auto"/>
                <w:vertAlign w:val="superscript"/>
              </w:rPr>
              <w:t>(11)</w:t>
            </w:r>
          </w:p>
        </w:tc>
        <w:tc>
          <w:tcPr>
            <w:tcW w:w="198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Micromobility</w:t>
            </w:r>
          </w:p>
        </w:tc>
        <w:tc>
          <w:tcPr>
            <w:tcW w:w="1080" w:type="dxa"/>
            <w:vAlign w:val="bottom"/>
            <w:gridSpan w:val="2"/>
            <w:shd w:val="clear" w:color="auto" w:fill="CCEEFF"/>
          </w:tcPr>
          <w:p>
            <w:pPr>
              <w:jc w:val="center"/>
              <w:ind w:left="28"/>
              <w:spacing w:after="0"/>
              <w:rPr>
                <w:sz w:val="20"/>
                <w:szCs w:val="20"/>
                <w:color w:val="auto"/>
              </w:rPr>
            </w:pPr>
            <w:r>
              <w:rPr>
                <w:rFonts w:ascii="Arial" w:cs="Arial" w:eastAsia="Arial" w:hAnsi="Arial"/>
                <w:sz w:val="14"/>
                <w:szCs w:val="14"/>
                <w:color w:val="auto"/>
                <w:w w:val="93"/>
              </w:rPr>
              <w:t>1/25/2019</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41,237,113</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10,007,322</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3,485,014</w:t>
            </w: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1.16 %</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660" w:type="dxa"/>
            <w:vAlign w:val="bottom"/>
            <w:gridSpan w:val="13"/>
          </w:tcPr>
          <w:p>
            <w:pPr>
              <w:spacing w:after="0"/>
              <w:rPr>
                <w:sz w:val="20"/>
                <w:szCs w:val="20"/>
                <w:color w:val="auto"/>
              </w:rPr>
            </w:pPr>
            <w:r>
              <w:rPr>
                <w:rFonts w:ascii="Arial" w:cs="Arial" w:eastAsia="Arial" w:hAnsi="Arial"/>
                <w:sz w:val="14"/>
                <w:szCs w:val="14"/>
                <w:color w:val="auto"/>
              </w:rPr>
              <w:t>Junior Preferred Convertible Note 4% Due 5/11/2027***</w:t>
            </w:r>
          </w:p>
        </w:tc>
        <w:tc>
          <w:tcPr>
            <w:tcW w:w="1980" w:type="dxa"/>
            <w:vAlign w:val="bottom"/>
          </w:tcPr>
          <w:p>
            <w:pPr>
              <w:spacing w:after="0"/>
              <w:rPr>
                <w:sz w:val="16"/>
                <w:szCs w:val="16"/>
                <w:color w:val="auto"/>
              </w:rPr>
            </w:pPr>
          </w:p>
        </w:tc>
        <w:tc>
          <w:tcPr>
            <w:tcW w:w="1080" w:type="dxa"/>
            <w:vAlign w:val="bottom"/>
            <w:gridSpan w:val="2"/>
          </w:tcPr>
          <w:p>
            <w:pPr>
              <w:jc w:val="center"/>
              <w:ind w:left="28"/>
              <w:spacing w:after="0"/>
              <w:rPr>
                <w:sz w:val="20"/>
                <w:szCs w:val="20"/>
                <w:color w:val="auto"/>
              </w:rPr>
            </w:pPr>
            <w:r>
              <w:rPr>
                <w:rFonts w:ascii="Arial" w:cs="Arial" w:eastAsia="Arial" w:hAnsi="Arial"/>
                <w:sz w:val="14"/>
                <w:szCs w:val="14"/>
                <w:color w:val="auto"/>
                <w:w w:val="93"/>
              </w:rPr>
              <w:t>5/11/2020</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506,339</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506,339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506,339</w:t>
            </w: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0.17 %</w:t>
            </w:r>
          </w:p>
        </w:tc>
        <w:tc>
          <w:tcPr>
            <w:tcW w:w="0" w:type="dxa"/>
            <w:vAlign w:val="bottom"/>
          </w:tcPr>
          <w:p>
            <w:pPr>
              <w:spacing w:after="0"/>
              <w:rPr>
                <w:sz w:val="1"/>
                <w:szCs w:val="1"/>
                <w:color w:val="auto"/>
              </w:rPr>
            </w:pPr>
          </w:p>
        </w:tc>
      </w:tr>
      <w:tr>
        <w:trPr>
          <w:trHeight w:val="152"/>
        </w:trPr>
        <w:tc>
          <w:tcPr>
            <w:tcW w:w="20" w:type="dxa"/>
            <w:vAlign w:val="bottom"/>
            <w:shd w:val="clear" w:color="auto" w:fill="CCEEFF"/>
          </w:tcPr>
          <w:p>
            <w:pPr>
              <w:spacing w:after="0"/>
              <w:rPr>
                <w:sz w:val="13"/>
                <w:szCs w:val="13"/>
                <w:color w:val="auto"/>
              </w:rPr>
            </w:pPr>
          </w:p>
        </w:tc>
        <w:tc>
          <w:tcPr>
            <w:tcW w:w="3660" w:type="dxa"/>
            <w:vAlign w:val="bottom"/>
            <w:gridSpan w:val="13"/>
            <w:shd w:val="clear" w:color="auto" w:fill="CCEEFF"/>
          </w:tcPr>
          <w:p>
            <w:pPr>
              <w:ind w:left="20"/>
              <w:spacing w:after="0" w:line="152" w:lineRule="exact"/>
              <w:rPr>
                <w:sz w:val="20"/>
                <w:szCs w:val="20"/>
                <w:color w:val="auto"/>
              </w:rPr>
            </w:pPr>
            <w:r>
              <w:rPr>
                <w:rFonts w:ascii="Arial" w:cs="Arial" w:eastAsia="Arial" w:hAnsi="Arial"/>
                <w:sz w:val="14"/>
                <w:szCs w:val="14"/>
                <w:color w:val="auto"/>
              </w:rPr>
              <w:t>Common Warrants, Strike Price $0.01, Expiration Date</w:t>
            </w:r>
          </w:p>
        </w:tc>
        <w:tc>
          <w:tcPr>
            <w:tcW w:w="1980" w:type="dxa"/>
            <w:vAlign w:val="bottom"/>
            <w:shd w:val="clear" w:color="auto" w:fill="CCEEFF"/>
          </w:tcPr>
          <w:p>
            <w:pPr>
              <w:spacing w:after="0"/>
              <w:rPr>
                <w:sz w:val="13"/>
                <w:szCs w:val="13"/>
                <w:color w:val="auto"/>
              </w:rPr>
            </w:pPr>
          </w:p>
        </w:tc>
        <w:tc>
          <w:tcPr>
            <w:tcW w:w="1080" w:type="dxa"/>
            <w:vAlign w:val="bottom"/>
            <w:gridSpan w:val="2"/>
            <w:vMerge w:val="restart"/>
            <w:shd w:val="clear" w:color="auto" w:fill="CCEEFF"/>
          </w:tcPr>
          <w:p>
            <w:pPr>
              <w:jc w:val="center"/>
              <w:ind w:left="28"/>
              <w:spacing w:after="0"/>
              <w:rPr>
                <w:sz w:val="20"/>
                <w:szCs w:val="20"/>
                <w:color w:val="auto"/>
              </w:rPr>
            </w:pPr>
            <w:r>
              <w:rPr>
                <w:rFonts w:ascii="Arial" w:cs="Arial" w:eastAsia="Arial" w:hAnsi="Arial"/>
                <w:sz w:val="14"/>
                <w:szCs w:val="14"/>
                <w:color w:val="auto"/>
                <w:w w:val="93"/>
              </w:rPr>
              <w:t>5/11/2020</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4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2,032,967</w:t>
            </w: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10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189"/>
        </w:trPr>
        <w:tc>
          <w:tcPr>
            <w:tcW w:w="900" w:type="dxa"/>
            <w:vAlign w:val="bottom"/>
            <w:gridSpan w:val="2"/>
            <w:shd w:val="clear" w:color="auto" w:fill="CCEEFF"/>
          </w:tcPr>
          <w:p>
            <w:pPr>
              <w:ind w:left="40"/>
              <w:spacing w:after="0" w:line="189" w:lineRule="exact"/>
              <w:rPr>
                <w:sz w:val="20"/>
                <w:szCs w:val="20"/>
                <w:color w:val="auto"/>
              </w:rPr>
            </w:pPr>
            <w:r>
              <w:rPr>
                <w:rFonts w:ascii="Arial" w:cs="Arial" w:eastAsia="Arial" w:hAnsi="Arial"/>
                <w:sz w:val="14"/>
                <w:szCs w:val="14"/>
                <w:color w:val="auto"/>
              </w:rPr>
              <w:t>5/11/2027</w:t>
            </w:r>
            <w:r>
              <w:rPr>
                <w:rFonts w:ascii="Arial" w:cs="Arial" w:eastAsia="Arial" w:hAnsi="Arial"/>
                <w:sz w:val="18"/>
                <w:szCs w:val="18"/>
                <w:color w:val="auto"/>
                <w:vertAlign w:val="superscript"/>
              </w:rPr>
              <w:t>(11)</w:t>
            </w:r>
          </w:p>
        </w:tc>
        <w:tc>
          <w:tcPr>
            <w:tcW w:w="2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980" w:type="dxa"/>
            <w:vAlign w:val="bottom"/>
            <w:shd w:val="clear" w:color="auto" w:fill="CCEEFF"/>
          </w:tcPr>
          <w:p>
            <w:pPr>
              <w:spacing w:after="0"/>
              <w:rPr>
                <w:sz w:val="16"/>
                <w:szCs w:val="16"/>
                <w:color w:val="auto"/>
              </w:rPr>
            </w:pPr>
          </w:p>
        </w:tc>
        <w:tc>
          <w:tcPr>
            <w:tcW w:w="108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6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40" w:type="dxa"/>
            <w:vAlign w:val="bottom"/>
            <w:gridSpan w:val="2"/>
            <w:vMerge w:val="continue"/>
            <w:shd w:val="clear" w:color="auto" w:fill="CCEEFF"/>
          </w:tcPr>
          <w:p>
            <w:pPr>
              <w:spacing w:after="0"/>
              <w:rPr>
                <w:sz w:val="16"/>
                <w:szCs w:val="16"/>
                <w:color w:val="auto"/>
              </w:rPr>
            </w:pPr>
          </w:p>
        </w:tc>
        <w:tc>
          <w:tcPr>
            <w:tcW w:w="9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20" w:type="dxa"/>
            <w:vAlign w:val="bottom"/>
            <w:tcBorders>
              <w:bottom w:val="single" w:sz="8" w:color="CCEEFF"/>
            </w:tcBorders>
          </w:tcPr>
          <w:p>
            <w:pPr>
              <w:spacing w:after="0"/>
              <w:rPr>
                <w:sz w:val="15"/>
                <w:szCs w:val="15"/>
                <w:color w:val="auto"/>
              </w:rPr>
            </w:pPr>
          </w:p>
        </w:tc>
        <w:tc>
          <w:tcPr>
            <w:tcW w:w="3660" w:type="dxa"/>
            <w:vAlign w:val="bottom"/>
            <w:tcBorders>
              <w:bottom w:val="single" w:sz="8" w:color="CCEEFF"/>
            </w:tcBorders>
            <w:gridSpan w:val="13"/>
          </w:tcPr>
          <w:p>
            <w:pPr>
              <w:ind w:left="120"/>
              <w:spacing w:after="0"/>
              <w:rPr>
                <w:sz w:val="20"/>
                <w:szCs w:val="20"/>
                <w:color w:val="auto"/>
              </w:rPr>
            </w:pPr>
            <w:r>
              <w:rPr>
                <w:rFonts w:ascii="Arial" w:cs="Arial" w:eastAsia="Arial" w:hAnsi="Arial"/>
                <w:sz w:val="14"/>
                <w:szCs w:val="14"/>
                <w:color w:val="auto"/>
              </w:rPr>
              <w:t>Total</w:t>
            </w:r>
          </w:p>
        </w:tc>
        <w:tc>
          <w:tcPr>
            <w:tcW w:w="198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98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84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8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10,513,661</w:t>
            </w:r>
          </w:p>
        </w:tc>
        <w:tc>
          <w:tcPr>
            <w:tcW w:w="100" w:type="dxa"/>
            <w:vAlign w:val="bottom"/>
            <w:tcBorders>
              <w:bottom w:val="single" w:sz="8" w:color="CCEEFF"/>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3,991,353</w:t>
            </w:r>
          </w:p>
        </w:tc>
        <w:tc>
          <w:tcPr>
            <w:tcW w:w="100" w:type="dxa"/>
            <w:vAlign w:val="bottom"/>
            <w:tcBorders>
              <w:bottom w:val="single" w:sz="8" w:color="CCEEFF"/>
            </w:tcBorders>
          </w:tcPr>
          <w:p>
            <w:pPr>
              <w:spacing w:after="0"/>
              <w:rPr>
                <w:sz w:val="15"/>
                <w:szCs w:val="15"/>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1.33 %</w:t>
            </w:r>
          </w:p>
        </w:tc>
        <w:tc>
          <w:tcPr>
            <w:tcW w:w="0" w:type="dxa"/>
            <w:vAlign w:val="bottom"/>
          </w:tcPr>
          <w:p>
            <w:pPr>
              <w:spacing w:after="0"/>
              <w:rPr>
                <w:sz w:val="1"/>
                <w:szCs w:val="1"/>
                <w:color w:val="auto"/>
              </w:rPr>
            </w:pPr>
          </w:p>
        </w:tc>
      </w:tr>
      <w:tr>
        <w:trPr>
          <w:trHeight w:val="186"/>
        </w:trPr>
        <w:tc>
          <w:tcPr>
            <w:tcW w:w="20" w:type="dxa"/>
            <w:vAlign w:val="bottom"/>
            <w:shd w:val="clear" w:color="auto" w:fill="CCEEFF"/>
          </w:tcPr>
          <w:p>
            <w:pPr>
              <w:spacing w:after="0"/>
              <w:rPr>
                <w:sz w:val="16"/>
                <w:szCs w:val="16"/>
                <w:color w:val="auto"/>
              </w:rPr>
            </w:pPr>
          </w:p>
        </w:tc>
        <w:tc>
          <w:tcPr>
            <w:tcW w:w="3560" w:type="dxa"/>
            <w:vAlign w:val="bottom"/>
            <w:gridSpan w:val="12"/>
            <w:shd w:val="clear" w:color="auto" w:fill="CCEEFF"/>
          </w:tcPr>
          <w:p>
            <w:pPr>
              <w:spacing w:after="0" w:line="145" w:lineRule="exact"/>
              <w:rPr>
                <w:sz w:val="20"/>
                <w:szCs w:val="20"/>
                <w:color w:val="auto"/>
              </w:rPr>
            </w:pPr>
            <w:r>
              <w:rPr>
                <w:rFonts w:ascii="Arial" w:cs="Arial" w:eastAsia="Arial" w:hAnsi="Arial"/>
                <w:sz w:val="14"/>
                <w:szCs w:val="14"/>
                <w:b w:val="1"/>
                <w:bCs w:val="1"/>
                <w:color w:val="auto"/>
              </w:rPr>
              <w:t>Aspiration Partners, Inc.</w:t>
            </w:r>
          </w:p>
        </w:tc>
        <w:tc>
          <w:tcPr>
            <w:tcW w:w="100" w:type="dxa"/>
            <w:vAlign w:val="bottom"/>
            <w:shd w:val="clear" w:color="auto" w:fill="CCEEFF"/>
          </w:tcPr>
          <w:p>
            <w:pPr>
              <w:spacing w:after="0"/>
              <w:rPr>
                <w:sz w:val="16"/>
                <w:szCs w:val="16"/>
                <w:color w:val="auto"/>
              </w:rPr>
            </w:pPr>
          </w:p>
        </w:tc>
        <w:tc>
          <w:tcPr>
            <w:tcW w:w="1980" w:type="dxa"/>
            <w:vAlign w:val="bottom"/>
            <w:shd w:val="clear" w:color="auto" w:fill="CCEEFF"/>
          </w:tcPr>
          <w:p>
            <w:pPr>
              <w:jc w:val="center"/>
              <w:spacing w:after="0" w:line="145" w:lineRule="exact"/>
              <w:rPr>
                <w:sz w:val="20"/>
                <w:szCs w:val="20"/>
                <w:color w:val="auto"/>
              </w:rPr>
            </w:pPr>
            <w:r>
              <w:rPr>
                <w:rFonts w:ascii="Arial" w:cs="Arial" w:eastAsia="Arial" w:hAnsi="Arial"/>
                <w:sz w:val="14"/>
                <w:szCs w:val="14"/>
                <w:color w:val="auto"/>
                <w:w w:val="95"/>
              </w:rPr>
              <w:t>Marina Del Rey, CA</w:t>
            </w: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20" w:type="dxa"/>
            <w:vAlign w:val="bottom"/>
            <w:tcBorders>
              <w:top w:val="single" w:sz="8" w:color="CCEEFF"/>
            </w:tcBorders>
          </w:tcPr>
          <w:p>
            <w:pPr>
              <w:spacing w:after="0"/>
              <w:rPr>
                <w:sz w:val="15"/>
                <w:szCs w:val="15"/>
                <w:color w:val="auto"/>
              </w:rPr>
            </w:pPr>
          </w:p>
        </w:tc>
        <w:tc>
          <w:tcPr>
            <w:tcW w:w="1540" w:type="dxa"/>
            <w:vAlign w:val="bottom"/>
            <w:tcBorders>
              <w:top w:val="single" w:sz="8" w:color="auto"/>
            </w:tcBorders>
            <w:gridSpan w:val="7"/>
          </w:tcPr>
          <w:p>
            <w:pPr>
              <w:spacing w:after="0"/>
              <w:rPr>
                <w:sz w:val="20"/>
                <w:szCs w:val="20"/>
                <w:color w:val="auto"/>
              </w:rPr>
            </w:pPr>
            <w:r>
              <w:rPr>
                <w:rFonts w:ascii="Arial" w:cs="Arial" w:eastAsia="Arial" w:hAnsi="Arial"/>
                <w:sz w:val="14"/>
                <w:szCs w:val="14"/>
                <w:color w:val="auto"/>
                <w:w w:val="92"/>
              </w:rPr>
              <w:t>Preferred shares, Series A</w:t>
            </w:r>
          </w:p>
        </w:tc>
        <w:tc>
          <w:tcPr>
            <w:tcW w:w="2020" w:type="dxa"/>
            <w:vAlign w:val="bottom"/>
            <w:tcBorders>
              <w:top w:val="single" w:sz="8" w:color="CCEEFF"/>
            </w:tcBorders>
            <w:gridSpan w:val="5"/>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1980" w:type="dxa"/>
            <w:vAlign w:val="bottom"/>
            <w:tcBorders>
              <w:top w:val="single" w:sz="8" w:color="CCEEFF"/>
            </w:tcBorders>
          </w:tcPr>
          <w:p>
            <w:pPr>
              <w:jc w:val="center"/>
              <w:spacing w:after="0"/>
              <w:rPr>
                <w:sz w:val="20"/>
                <w:szCs w:val="20"/>
                <w:color w:val="auto"/>
              </w:rPr>
            </w:pPr>
            <w:r>
              <w:rPr>
                <w:rFonts w:ascii="Arial" w:cs="Arial" w:eastAsia="Arial" w:hAnsi="Arial"/>
                <w:sz w:val="14"/>
                <w:szCs w:val="14"/>
                <w:color w:val="auto"/>
                <w:w w:val="93"/>
              </w:rPr>
              <w:t>Financial Services</w:t>
            </w:r>
          </w:p>
        </w:tc>
        <w:tc>
          <w:tcPr>
            <w:tcW w:w="100" w:type="dxa"/>
            <w:vAlign w:val="bottom"/>
            <w:tcBorders>
              <w:top w:val="single" w:sz="8" w:color="CCEEFF"/>
            </w:tcBorders>
          </w:tcPr>
          <w:p>
            <w:pPr>
              <w:spacing w:after="0"/>
              <w:rPr>
                <w:sz w:val="15"/>
                <w:szCs w:val="15"/>
                <w:color w:val="auto"/>
              </w:rPr>
            </w:pPr>
          </w:p>
        </w:tc>
        <w:tc>
          <w:tcPr>
            <w:tcW w:w="980" w:type="dxa"/>
            <w:vAlign w:val="bottom"/>
            <w:tcBorders>
              <w:top w:val="single" w:sz="8" w:color="CCEEFF"/>
            </w:tcBorders>
          </w:tcPr>
          <w:p>
            <w:pPr>
              <w:jc w:val="center"/>
              <w:spacing w:after="0"/>
              <w:rPr>
                <w:sz w:val="20"/>
                <w:szCs w:val="20"/>
                <w:color w:val="auto"/>
              </w:rPr>
            </w:pPr>
            <w:r>
              <w:rPr>
                <w:rFonts w:ascii="Arial" w:cs="Arial" w:eastAsia="Arial" w:hAnsi="Arial"/>
                <w:sz w:val="14"/>
                <w:szCs w:val="14"/>
                <w:color w:val="auto"/>
                <w:w w:val="93"/>
              </w:rPr>
              <w:t>8/11/2015</w:t>
            </w:r>
          </w:p>
        </w:tc>
        <w:tc>
          <w:tcPr>
            <w:tcW w:w="100" w:type="dxa"/>
            <w:vAlign w:val="bottom"/>
            <w:tcBorders>
              <w:top w:val="single" w:sz="8" w:color="CCEEFF"/>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840" w:type="dxa"/>
            <w:vAlign w:val="bottom"/>
            <w:tcBorders>
              <w:top w:val="single" w:sz="8" w:color="CCEEFF"/>
            </w:tcBorders>
          </w:tcPr>
          <w:p>
            <w:pPr>
              <w:jc w:val="right"/>
              <w:ind w:right="8"/>
              <w:spacing w:after="0"/>
              <w:rPr>
                <w:sz w:val="20"/>
                <w:szCs w:val="20"/>
                <w:color w:val="auto"/>
              </w:rPr>
            </w:pPr>
            <w:r>
              <w:rPr>
                <w:rFonts w:ascii="Arial" w:cs="Arial" w:eastAsia="Arial" w:hAnsi="Arial"/>
                <w:sz w:val="14"/>
                <w:szCs w:val="14"/>
                <w:color w:val="auto"/>
              </w:rPr>
              <w:t>540,270</w:t>
            </w:r>
          </w:p>
        </w:tc>
        <w:tc>
          <w:tcPr>
            <w:tcW w:w="100" w:type="dxa"/>
            <w:vAlign w:val="bottom"/>
            <w:tcBorders>
              <w:top w:val="single" w:sz="8" w:color="CCEEFF"/>
            </w:tcBorders>
          </w:tcPr>
          <w:p>
            <w:pPr>
              <w:spacing w:after="0"/>
              <w:rPr>
                <w:sz w:val="15"/>
                <w:szCs w:val="15"/>
                <w:color w:val="auto"/>
              </w:rPr>
            </w:pPr>
          </w:p>
        </w:tc>
        <w:tc>
          <w:tcPr>
            <w:tcW w:w="240" w:type="dxa"/>
            <w:vAlign w:val="bottom"/>
            <w:tcBorders>
              <w:top w:val="single" w:sz="8" w:color="CCEEFF"/>
            </w:tcBorders>
          </w:tcPr>
          <w:p>
            <w:pPr>
              <w:spacing w:after="0"/>
              <w:rPr>
                <w:sz w:val="15"/>
                <w:szCs w:val="15"/>
                <w:color w:val="auto"/>
              </w:rPr>
            </w:pPr>
          </w:p>
        </w:tc>
        <w:tc>
          <w:tcPr>
            <w:tcW w:w="860" w:type="dxa"/>
            <w:vAlign w:val="bottom"/>
            <w:tcBorders>
              <w:top w:val="single" w:sz="8" w:color="CCEEFF"/>
            </w:tcBorders>
          </w:tcPr>
          <w:p>
            <w:pPr>
              <w:jc w:val="right"/>
              <w:ind w:right="8"/>
              <w:spacing w:after="0"/>
              <w:rPr>
                <w:sz w:val="20"/>
                <w:szCs w:val="20"/>
                <w:color w:val="auto"/>
              </w:rPr>
            </w:pPr>
            <w:r>
              <w:rPr>
                <w:rFonts w:ascii="Arial" w:cs="Arial" w:eastAsia="Arial" w:hAnsi="Arial"/>
                <w:sz w:val="14"/>
                <w:szCs w:val="14"/>
                <w:color w:val="auto"/>
              </w:rPr>
              <w:t>1,001,815</w:t>
            </w:r>
          </w:p>
        </w:tc>
        <w:tc>
          <w:tcPr>
            <w:tcW w:w="100" w:type="dxa"/>
            <w:vAlign w:val="bottom"/>
            <w:tcBorders>
              <w:top w:val="single" w:sz="8" w:color="CCEEFF"/>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940" w:type="dxa"/>
            <w:vAlign w:val="bottom"/>
            <w:tcBorders>
              <w:top w:val="single" w:sz="8" w:color="CCEEFF"/>
            </w:tcBorders>
          </w:tcPr>
          <w:p>
            <w:pPr>
              <w:jc w:val="right"/>
              <w:spacing w:after="0"/>
              <w:rPr>
                <w:sz w:val="20"/>
                <w:szCs w:val="20"/>
                <w:color w:val="auto"/>
              </w:rPr>
            </w:pPr>
            <w:r>
              <w:rPr>
                <w:rFonts w:ascii="Arial" w:cs="Arial" w:eastAsia="Arial" w:hAnsi="Arial"/>
                <w:sz w:val="14"/>
                <w:szCs w:val="14"/>
                <w:color w:val="auto"/>
              </w:rPr>
              <w:t>3,288,548</w:t>
            </w:r>
          </w:p>
        </w:tc>
        <w:tc>
          <w:tcPr>
            <w:tcW w:w="100" w:type="dxa"/>
            <w:vAlign w:val="bottom"/>
            <w:tcBorders>
              <w:top w:val="single" w:sz="8" w:color="CCEEFF"/>
            </w:tcBorders>
          </w:tcPr>
          <w:p>
            <w:pPr>
              <w:spacing w:after="0"/>
              <w:rPr>
                <w:sz w:val="15"/>
                <w:szCs w:val="15"/>
                <w:color w:val="auto"/>
              </w:rPr>
            </w:pPr>
          </w:p>
        </w:tc>
        <w:tc>
          <w:tcPr>
            <w:tcW w:w="920" w:type="dxa"/>
            <w:vAlign w:val="bottom"/>
            <w:tcBorders>
              <w:top w:val="single" w:sz="8" w:color="CCEEFF"/>
            </w:tcBorders>
          </w:tcPr>
          <w:p>
            <w:pPr>
              <w:jc w:val="right"/>
              <w:spacing w:after="0"/>
              <w:rPr>
                <w:sz w:val="20"/>
                <w:szCs w:val="20"/>
                <w:color w:val="auto"/>
              </w:rPr>
            </w:pPr>
            <w:r>
              <w:rPr>
                <w:rFonts w:ascii="Arial" w:cs="Arial" w:eastAsia="Arial" w:hAnsi="Arial"/>
                <w:sz w:val="14"/>
                <w:szCs w:val="14"/>
                <w:color w:val="auto"/>
              </w:rPr>
              <w:t>1.09 %</w:t>
            </w:r>
          </w:p>
        </w:tc>
        <w:tc>
          <w:tcPr>
            <w:tcW w:w="0" w:type="dxa"/>
            <w:vAlign w:val="bottom"/>
          </w:tcPr>
          <w:p>
            <w:pPr>
              <w:spacing w:after="0"/>
              <w:rPr>
                <w:sz w:val="1"/>
                <w:szCs w:val="1"/>
                <w:color w:val="auto"/>
              </w:rPr>
            </w:pPr>
          </w:p>
        </w:tc>
      </w:tr>
      <w:tr>
        <w:trPr>
          <w:trHeight w:val="206"/>
        </w:trPr>
        <w:tc>
          <w:tcPr>
            <w:tcW w:w="20" w:type="dxa"/>
            <w:vAlign w:val="bottom"/>
            <w:shd w:val="clear" w:color="auto" w:fill="CCEEFF"/>
          </w:tcPr>
          <w:p>
            <w:pPr>
              <w:spacing w:after="0"/>
              <w:rPr>
                <w:sz w:val="17"/>
                <w:szCs w:val="17"/>
                <w:color w:val="auto"/>
              </w:rPr>
            </w:pPr>
          </w:p>
        </w:tc>
        <w:tc>
          <w:tcPr>
            <w:tcW w:w="3560" w:type="dxa"/>
            <w:vAlign w:val="bottom"/>
            <w:gridSpan w:val="12"/>
            <w:shd w:val="clear" w:color="auto" w:fill="CCEEFF"/>
          </w:tcPr>
          <w:p>
            <w:pPr>
              <w:spacing w:after="0" w:line="206" w:lineRule="exact"/>
              <w:rPr>
                <w:sz w:val="20"/>
                <w:szCs w:val="20"/>
                <w:color w:val="auto"/>
              </w:rPr>
            </w:pPr>
            <w:r>
              <w:rPr>
                <w:rFonts w:ascii="Arial" w:cs="Arial" w:eastAsia="Arial" w:hAnsi="Arial"/>
                <w:sz w:val="14"/>
                <w:szCs w:val="14"/>
                <w:color w:val="auto"/>
              </w:rPr>
              <w:t xml:space="preserve">Preferred shares, Series C-3 </w:t>
            </w:r>
            <w:r>
              <w:rPr>
                <w:rFonts w:ascii="Arial" w:cs="Arial" w:eastAsia="Arial" w:hAnsi="Arial"/>
                <w:sz w:val="18"/>
                <w:szCs w:val="18"/>
                <w:color w:val="auto"/>
                <w:vertAlign w:val="superscript"/>
              </w:rPr>
              <w:t>(12)</w:t>
            </w:r>
          </w:p>
        </w:tc>
        <w:tc>
          <w:tcPr>
            <w:tcW w:w="100" w:type="dxa"/>
            <w:vAlign w:val="bottom"/>
            <w:shd w:val="clear" w:color="auto" w:fill="CCEEFF"/>
          </w:tcPr>
          <w:p>
            <w:pPr>
              <w:spacing w:after="0"/>
              <w:rPr>
                <w:sz w:val="17"/>
                <w:szCs w:val="17"/>
                <w:color w:val="auto"/>
              </w:rPr>
            </w:pPr>
          </w:p>
        </w:tc>
        <w:tc>
          <w:tcPr>
            <w:tcW w:w="1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8/12/2019</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24,912</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281,190</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169,599</w:t>
            </w:r>
          </w:p>
        </w:tc>
        <w:tc>
          <w:tcPr>
            <w:tcW w:w="100" w:type="dxa"/>
            <w:vAlign w:val="bottom"/>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0.06 %</w:t>
            </w:r>
          </w:p>
        </w:tc>
        <w:tc>
          <w:tcPr>
            <w:tcW w:w="0" w:type="dxa"/>
            <w:vAlign w:val="bottom"/>
          </w:tcPr>
          <w:p>
            <w:pPr>
              <w:spacing w:after="0"/>
              <w:rPr>
                <w:sz w:val="1"/>
                <w:szCs w:val="1"/>
                <w:color w:val="auto"/>
              </w:rPr>
            </w:pPr>
          </w:p>
        </w:tc>
      </w:tr>
      <w:tr>
        <w:trPr>
          <w:trHeight w:val="179"/>
        </w:trPr>
        <w:tc>
          <w:tcPr>
            <w:tcW w:w="20" w:type="dxa"/>
            <w:vAlign w:val="bottom"/>
            <w:tcBorders>
              <w:bottom w:val="single" w:sz="8" w:color="CCEEFF"/>
            </w:tcBorders>
          </w:tcPr>
          <w:p>
            <w:pPr>
              <w:spacing w:after="0"/>
              <w:rPr>
                <w:sz w:val="15"/>
                <w:szCs w:val="15"/>
                <w:color w:val="auto"/>
              </w:rPr>
            </w:pPr>
          </w:p>
        </w:tc>
        <w:tc>
          <w:tcPr>
            <w:tcW w:w="3660" w:type="dxa"/>
            <w:vAlign w:val="bottom"/>
            <w:tcBorders>
              <w:bottom w:val="single" w:sz="8" w:color="CCEEFF"/>
            </w:tcBorders>
            <w:gridSpan w:val="13"/>
          </w:tcPr>
          <w:p>
            <w:pPr>
              <w:ind w:left="120"/>
              <w:spacing w:after="0"/>
              <w:rPr>
                <w:sz w:val="20"/>
                <w:szCs w:val="20"/>
                <w:color w:val="auto"/>
              </w:rPr>
            </w:pPr>
            <w:r>
              <w:rPr>
                <w:rFonts w:ascii="Arial" w:cs="Arial" w:eastAsia="Arial" w:hAnsi="Arial"/>
                <w:sz w:val="14"/>
                <w:szCs w:val="14"/>
                <w:color w:val="auto"/>
              </w:rPr>
              <w:t>Total</w:t>
            </w:r>
          </w:p>
        </w:tc>
        <w:tc>
          <w:tcPr>
            <w:tcW w:w="198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98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84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1,283,005</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3,458,147</w:t>
            </w:r>
          </w:p>
        </w:tc>
        <w:tc>
          <w:tcPr>
            <w:tcW w:w="100" w:type="dxa"/>
            <w:vAlign w:val="bottom"/>
            <w:tcBorders>
              <w:bottom w:val="single" w:sz="8" w:color="CCEEFF"/>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1.15 %</w:t>
            </w:r>
          </w:p>
        </w:tc>
        <w:tc>
          <w:tcPr>
            <w:tcW w:w="0" w:type="dxa"/>
            <w:vAlign w:val="bottom"/>
          </w:tcPr>
          <w:p>
            <w:pPr>
              <w:spacing w:after="0"/>
              <w:rPr>
                <w:sz w:val="1"/>
                <w:szCs w:val="1"/>
                <w:color w:val="auto"/>
              </w:rPr>
            </w:pPr>
          </w:p>
        </w:tc>
      </w:tr>
      <w:tr>
        <w:trPr>
          <w:trHeight w:val="166"/>
        </w:trPr>
        <w:tc>
          <w:tcPr>
            <w:tcW w:w="20" w:type="dxa"/>
            <w:vAlign w:val="bottom"/>
            <w:shd w:val="clear" w:color="auto" w:fill="CCEEFF"/>
          </w:tcPr>
          <w:p>
            <w:pPr>
              <w:spacing w:after="0"/>
              <w:rPr>
                <w:sz w:val="14"/>
                <w:szCs w:val="14"/>
                <w:color w:val="auto"/>
              </w:rPr>
            </w:pPr>
          </w:p>
        </w:tc>
        <w:tc>
          <w:tcPr>
            <w:tcW w:w="3660" w:type="dxa"/>
            <w:vAlign w:val="bottom"/>
            <w:gridSpan w:val="13"/>
            <w:shd w:val="clear" w:color="auto" w:fill="CCEEFF"/>
          </w:tcPr>
          <w:p>
            <w:pPr>
              <w:spacing w:after="0" w:line="145" w:lineRule="exact"/>
              <w:rPr>
                <w:sz w:val="20"/>
                <w:szCs w:val="20"/>
                <w:color w:val="auto"/>
              </w:rPr>
            </w:pPr>
            <w:r>
              <w:rPr>
                <w:rFonts w:ascii="Arial" w:cs="Arial" w:eastAsia="Arial" w:hAnsi="Arial"/>
                <w:sz w:val="14"/>
                <w:szCs w:val="14"/>
                <w:b w:val="1"/>
                <w:bCs w:val="1"/>
                <w:color w:val="auto"/>
              </w:rPr>
              <w:t>Treehouse Real Estate Investment Trust, Inc.</w:t>
            </w:r>
          </w:p>
        </w:tc>
        <w:tc>
          <w:tcPr>
            <w:tcW w:w="1980" w:type="dxa"/>
            <w:vAlign w:val="bottom"/>
            <w:shd w:val="clear" w:color="auto" w:fill="CCEEFF"/>
          </w:tcPr>
          <w:p>
            <w:pPr>
              <w:jc w:val="center"/>
              <w:spacing w:after="0" w:line="145" w:lineRule="exact"/>
              <w:rPr>
                <w:sz w:val="20"/>
                <w:szCs w:val="20"/>
                <w:color w:val="auto"/>
              </w:rPr>
            </w:pPr>
            <w:r>
              <w:rPr>
                <w:rFonts w:ascii="Arial" w:cs="Arial" w:eastAsia="Arial" w:hAnsi="Arial"/>
                <w:sz w:val="14"/>
                <w:szCs w:val="14"/>
                <w:color w:val="auto"/>
                <w:w w:val="95"/>
              </w:rPr>
              <w:t>Chicago, IL</w:t>
            </w: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tcBorders>
              <w:top w:val="single" w:sz="8" w:color="CCEEFF"/>
            </w:tcBorders>
          </w:tcPr>
          <w:p>
            <w:pPr>
              <w:spacing w:after="0"/>
              <w:rPr>
                <w:sz w:val="16"/>
                <w:szCs w:val="16"/>
                <w:color w:val="auto"/>
              </w:rPr>
            </w:pPr>
          </w:p>
        </w:tc>
        <w:tc>
          <w:tcPr>
            <w:tcW w:w="2760" w:type="dxa"/>
            <w:vAlign w:val="bottom"/>
            <w:tcBorders>
              <w:top w:val="single" w:sz="8" w:color="auto"/>
            </w:tcBorders>
            <w:gridSpan w:val="11"/>
          </w:tcPr>
          <w:p>
            <w:pPr>
              <w:spacing w:after="0" w:line="189" w:lineRule="exact"/>
              <w:rPr>
                <w:sz w:val="20"/>
                <w:szCs w:val="20"/>
                <w:color w:val="auto"/>
              </w:rPr>
            </w:pPr>
            <w:r>
              <w:rPr>
                <w:rFonts w:ascii="Arial" w:cs="Arial" w:eastAsia="Arial" w:hAnsi="Arial"/>
                <w:sz w:val="14"/>
                <w:szCs w:val="14"/>
                <w:color w:val="auto"/>
              </w:rPr>
              <w:t>Common shares***</w:t>
            </w:r>
            <w:r>
              <w:rPr>
                <w:rFonts w:ascii="Arial" w:cs="Arial" w:eastAsia="Arial" w:hAnsi="Arial"/>
                <w:sz w:val="18"/>
                <w:szCs w:val="18"/>
                <w:color w:val="auto"/>
                <w:vertAlign w:val="superscript"/>
              </w:rPr>
              <w:t>(8)</w:t>
            </w:r>
          </w:p>
        </w:tc>
        <w:tc>
          <w:tcPr>
            <w:tcW w:w="900" w:type="dxa"/>
            <w:vAlign w:val="bottom"/>
            <w:tcBorders>
              <w:top w:val="single" w:sz="8" w:color="CCEEFF"/>
            </w:tcBorders>
            <w:gridSpan w:val="2"/>
          </w:tcPr>
          <w:p>
            <w:pPr>
              <w:spacing w:after="0"/>
              <w:rPr>
                <w:sz w:val="16"/>
                <w:szCs w:val="16"/>
                <w:color w:val="auto"/>
              </w:rPr>
            </w:pPr>
          </w:p>
        </w:tc>
        <w:tc>
          <w:tcPr>
            <w:tcW w:w="1980" w:type="dxa"/>
            <w:vAlign w:val="bottom"/>
            <w:tcBorders>
              <w:top w:val="single" w:sz="8" w:color="CCEEFF"/>
            </w:tcBorders>
          </w:tcPr>
          <w:p>
            <w:pPr>
              <w:jc w:val="center"/>
              <w:spacing w:after="0"/>
              <w:rPr>
                <w:sz w:val="20"/>
                <w:szCs w:val="20"/>
                <w:color w:val="auto"/>
              </w:rPr>
            </w:pPr>
            <w:r>
              <w:rPr>
                <w:rFonts w:ascii="Arial" w:cs="Arial" w:eastAsia="Arial" w:hAnsi="Arial"/>
                <w:sz w:val="14"/>
                <w:szCs w:val="14"/>
                <w:color w:val="auto"/>
                <w:w w:val="94"/>
              </w:rPr>
              <w:t>Cannabis REIT</w:t>
            </w:r>
          </w:p>
        </w:tc>
        <w:tc>
          <w:tcPr>
            <w:tcW w:w="1080" w:type="dxa"/>
            <w:vAlign w:val="bottom"/>
            <w:tcBorders>
              <w:top w:val="single" w:sz="8" w:color="CCEEFF"/>
            </w:tcBorders>
            <w:gridSpan w:val="2"/>
          </w:tcPr>
          <w:p>
            <w:pPr>
              <w:jc w:val="center"/>
              <w:ind w:left="28"/>
              <w:spacing w:after="0"/>
              <w:rPr>
                <w:sz w:val="20"/>
                <w:szCs w:val="20"/>
                <w:color w:val="auto"/>
              </w:rPr>
            </w:pPr>
            <w:r>
              <w:rPr>
                <w:rFonts w:ascii="Arial" w:cs="Arial" w:eastAsia="Arial" w:hAnsi="Arial"/>
                <w:sz w:val="14"/>
                <w:szCs w:val="14"/>
                <w:color w:val="auto"/>
                <w:w w:val="93"/>
              </w:rPr>
              <w:t>9/11/2019</w:t>
            </w:r>
          </w:p>
        </w:tc>
        <w:tc>
          <w:tcPr>
            <w:tcW w:w="10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840" w:type="dxa"/>
            <w:vAlign w:val="bottom"/>
            <w:tcBorders>
              <w:top w:val="single" w:sz="8" w:color="CCEEFF"/>
            </w:tcBorders>
          </w:tcPr>
          <w:p>
            <w:pPr>
              <w:jc w:val="right"/>
              <w:ind w:right="8"/>
              <w:spacing w:after="0"/>
              <w:rPr>
                <w:sz w:val="20"/>
                <w:szCs w:val="20"/>
                <w:color w:val="auto"/>
              </w:rPr>
            </w:pPr>
            <w:r>
              <w:rPr>
                <w:rFonts w:ascii="Arial" w:cs="Arial" w:eastAsia="Arial" w:hAnsi="Arial"/>
                <w:sz w:val="14"/>
                <w:szCs w:val="14"/>
                <w:color w:val="auto"/>
              </w:rPr>
              <w:t>312,500</w:t>
            </w:r>
          </w:p>
        </w:tc>
        <w:tc>
          <w:tcPr>
            <w:tcW w:w="100" w:type="dxa"/>
            <w:vAlign w:val="bottom"/>
            <w:tcBorders>
              <w:top w:val="single" w:sz="8" w:color="CCEEFF"/>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860" w:type="dxa"/>
            <w:vAlign w:val="bottom"/>
            <w:tcBorders>
              <w:top w:val="single" w:sz="8" w:color="CCEEFF"/>
            </w:tcBorders>
          </w:tcPr>
          <w:p>
            <w:pPr>
              <w:jc w:val="right"/>
              <w:ind w:right="8"/>
              <w:spacing w:after="0"/>
              <w:rPr>
                <w:sz w:val="20"/>
                <w:szCs w:val="20"/>
                <w:color w:val="auto"/>
              </w:rPr>
            </w:pPr>
            <w:r>
              <w:rPr>
                <w:rFonts w:ascii="Arial" w:cs="Arial" w:eastAsia="Arial" w:hAnsi="Arial"/>
                <w:sz w:val="14"/>
                <w:szCs w:val="14"/>
                <w:color w:val="auto"/>
              </w:rPr>
              <w:t>7,500,000</w:t>
            </w:r>
          </w:p>
        </w:tc>
        <w:tc>
          <w:tcPr>
            <w:tcW w:w="10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940" w:type="dxa"/>
            <w:vAlign w:val="bottom"/>
            <w:tcBorders>
              <w:top w:val="single" w:sz="8" w:color="CCEEFF"/>
            </w:tcBorders>
          </w:tcPr>
          <w:p>
            <w:pPr>
              <w:jc w:val="right"/>
              <w:spacing w:after="0"/>
              <w:rPr>
                <w:sz w:val="20"/>
                <w:szCs w:val="20"/>
                <w:color w:val="auto"/>
              </w:rPr>
            </w:pPr>
            <w:r>
              <w:rPr>
                <w:rFonts w:ascii="Arial" w:cs="Arial" w:eastAsia="Arial" w:hAnsi="Arial"/>
                <w:sz w:val="14"/>
                <w:szCs w:val="14"/>
                <w:color w:val="auto"/>
              </w:rPr>
              <w:t>3,321,626</w:t>
            </w:r>
          </w:p>
        </w:tc>
        <w:tc>
          <w:tcPr>
            <w:tcW w:w="100" w:type="dxa"/>
            <w:vAlign w:val="bottom"/>
            <w:tcBorders>
              <w:top w:val="single" w:sz="8" w:color="CCEEFF"/>
            </w:tcBorders>
          </w:tcPr>
          <w:p>
            <w:pPr>
              <w:spacing w:after="0"/>
              <w:rPr>
                <w:sz w:val="16"/>
                <w:szCs w:val="16"/>
                <w:color w:val="auto"/>
              </w:rPr>
            </w:pPr>
          </w:p>
        </w:tc>
        <w:tc>
          <w:tcPr>
            <w:tcW w:w="920" w:type="dxa"/>
            <w:vAlign w:val="bottom"/>
            <w:tcBorders>
              <w:top w:val="single" w:sz="8" w:color="CCEEFF"/>
            </w:tcBorders>
          </w:tcPr>
          <w:p>
            <w:pPr>
              <w:jc w:val="right"/>
              <w:spacing w:after="0"/>
              <w:rPr>
                <w:sz w:val="20"/>
                <w:szCs w:val="20"/>
                <w:color w:val="auto"/>
              </w:rPr>
            </w:pPr>
            <w:r>
              <w:rPr>
                <w:rFonts w:ascii="Arial" w:cs="Arial" w:eastAsia="Arial" w:hAnsi="Arial"/>
                <w:sz w:val="14"/>
                <w:szCs w:val="14"/>
                <w:color w:val="auto"/>
              </w:rPr>
              <w:t>1.10 %</w:t>
            </w:r>
          </w:p>
        </w:tc>
        <w:tc>
          <w:tcPr>
            <w:tcW w:w="0" w:type="dxa"/>
            <w:vAlign w:val="bottom"/>
          </w:tcPr>
          <w:p>
            <w:pPr>
              <w:spacing w:after="0"/>
              <w:rPr>
                <w:sz w:val="1"/>
                <w:szCs w:val="1"/>
                <w:color w:val="auto"/>
              </w:rPr>
            </w:pPr>
          </w:p>
        </w:tc>
      </w:tr>
      <w:tr>
        <w:trPr>
          <w:trHeight w:val="169"/>
        </w:trPr>
        <w:tc>
          <w:tcPr>
            <w:tcW w:w="20" w:type="dxa"/>
            <w:vAlign w:val="bottom"/>
            <w:shd w:val="clear" w:color="auto" w:fill="CCEEFF"/>
          </w:tcPr>
          <w:p>
            <w:pPr>
              <w:spacing w:after="0"/>
              <w:rPr>
                <w:sz w:val="14"/>
                <w:szCs w:val="14"/>
                <w:color w:val="auto"/>
              </w:rPr>
            </w:pPr>
          </w:p>
        </w:tc>
        <w:tc>
          <w:tcPr>
            <w:tcW w:w="3560" w:type="dxa"/>
            <w:vAlign w:val="bottom"/>
            <w:gridSpan w:val="1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Palantir Lending Trust SPV I **</w:t>
            </w:r>
            <w:r>
              <w:rPr>
                <w:rFonts w:ascii="Arial" w:cs="Arial" w:eastAsia="Arial" w:hAnsi="Arial"/>
                <w:sz w:val="17"/>
                <w:szCs w:val="17"/>
                <w:color w:val="auto"/>
                <w:vertAlign w:val="superscript"/>
              </w:rPr>
              <w:t>(10)</w:t>
            </w:r>
          </w:p>
        </w:tc>
        <w:tc>
          <w:tcPr>
            <w:tcW w:w="100" w:type="dxa"/>
            <w:vAlign w:val="bottom"/>
            <w:shd w:val="clear" w:color="auto" w:fill="CCEEFF"/>
          </w:tcPr>
          <w:p>
            <w:pPr>
              <w:spacing w:after="0"/>
              <w:rPr>
                <w:sz w:val="14"/>
                <w:szCs w:val="14"/>
                <w:color w:val="auto"/>
              </w:rPr>
            </w:pPr>
          </w:p>
        </w:tc>
        <w:tc>
          <w:tcPr>
            <w:tcW w:w="19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8"/>
              </w:rPr>
              <w:t>Palo Alto, CA</w:t>
            </w: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auto"/>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980" w:type="dxa"/>
            <w:vAlign w:val="bottom"/>
            <w:tcBorders>
              <w:top w:val="single" w:sz="8" w:color="CCEEFF"/>
            </w:tcBorders>
            <w:vMerge w:val="restart"/>
          </w:tcPr>
          <w:p>
            <w:pPr>
              <w:jc w:val="center"/>
              <w:spacing w:after="0"/>
              <w:rPr>
                <w:sz w:val="20"/>
                <w:szCs w:val="20"/>
                <w:color w:val="auto"/>
              </w:rPr>
            </w:pPr>
            <w:r>
              <w:rPr>
                <w:rFonts w:ascii="Arial" w:cs="Arial" w:eastAsia="Arial" w:hAnsi="Arial"/>
                <w:sz w:val="14"/>
                <w:szCs w:val="14"/>
                <w:color w:val="auto"/>
                <w:w w:val="95"/>
              </w:rPr>
              <w:t>Data Analysis</w:t>
            </w:r>
          </w:p>
        </w:tc>
        <w:tc>
          <w:tcPr>
            <w:tcW w:w="100" w:type="dxa"/>
            <w:vAlign w:val="bottom"/>
            <w:tcBorders>
              <w:top w:val="single" w:sz="8" w:color="CCEEFF"/>
            </w:tcBorders>
            <w:vMerge w:val="restart"/>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vMerge w:val="restart"/>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vMerge w:val="restart"/>
          </w:tcPr>
          <w:p>
            <w:pPr>
              <w:jc w:val="right"/>
              <w:spacing w:after="0"/>
              <w:rPr>
                <w:sz w:val="20"/>
                <w:szCs w:val="20"/>
                <w:color w:val="auto"/>
              </w:rPr>
            </w:pPr>
            <w:r>
              <w:rPr>
                <w:rFonts w:ascii="Arial" w:cs="Arial" w:eastAsia="Arial" w:hAnsi="Arial"/>
                <w:sz w:val="14"/>
                <w:szCs w:val="14"/>
                <w:color w:val="auto"/>
              </w:rPr>
              <w:t>2,550,764</w:t>
            </w:r>
          </w:p>
        </w:tc>
        <w:tc>
          <w:tcPr>
            <w:tcW w:w="100" w:type="dxa"/>
            <w:vAlign w:val="bottom"/>
            <w:tcBorders>
              <w:top w:val="single" w:sz="8" w:color="CCEEFF"/>
            </w:tcBorders>
            <w:vMerge w:val="restart"/>
          </w:tcPr>
          <w:p>
            <w:pPr>
              <w:spacing w:after="0" w:line="20" w:lineRule="exact"/>
              <w:rPr>
                <w:sz w:val="1"/>
                <w:szCs w:val="1"/>
                <w:color w:val="auto"/>
              </w:rPr>
            </w:pPr>
          </w:p>
        </w:tc>
        <w:tc>
          <w:tcPr>
            <w:tcW w:w="920" w:type="dxa"/>
            <w:vAlign w:val="bottom"/>
            <w:tcBorders>
              <w:top w:val="single" w:sz="8" w:color="CCEEFF"/>
            </w:tcBorders>
            <w:vMerge w:val="restart"/>
          </w:tcPr>
          <w:p>
            <w:pPr>
              <w:jc w:val="right"/>
              <w:spacing w:after="0"/>
              <w:rPr>
                <w:sz w:val="20"/>
                <w:szCs w:val="20"/>
                <w:color w:val="auto"/>
              </w:rPr>
            </w:pPr>
            <w:r>
              <w:rPr>
                <w:rFonts w:ascii="Arial" w:cs="Arial" w:eastAsia="Arial" w:hAnsi="Arial"/>
                <w:sz w:val="14"/>
                <w:szCs w:val="14"/>
                <w:color w:val="auto"/>
              </w:rPr>
              <w:t>0.85 %</w:t>
            </w:r>
          </w:p>
        </w:tc>
        <w:tc>
          <w:tcPr>
            <w:tcW w:w="0" w:type="dxa"/>
            <w:vAlign w:val="bottom"/>
          </w:tcPr>
          <w:p>
            <w:pPr>
              <w:spacing w:after="0" w:line="20" w:lineRule="exact"/>
              <w:rPr>
                <w:sz w:val="1"/>
                <w:szCs w:val="1"/>
                <w:color w:val="auto"/>
              </w:rPr>
            </w:pPr>
          </w:p>
        </w:tc>
      </w:tr>
      <w:tr>
        <w:trPr>
          <w:trHeight w:val="184"/>
        </w:trPr>
        <w:tc>
          <w:tcPr>
            <w:tcW w:w="20" w:type="dxa"/>
            <w:vAlign w:val="bottom"/>
          </w:tcPr>
          <w:p>
            <w:pPr>
              <w:spacing w:after="0"/>
              <w:rPr>
                <w:sz w:val="15"/>
                <w:szCs w:val="15"/>
                <w:color w:val="auto"/>
              </w:rPr>
            </w:pPr>
          </w:p>
        </w:tc>
        <w:tc>
          <w:tcPr>
            <w:tcW w:w="3560" w:type="dxa"/>
            <w:vAlign w:val="bottom"/>
            <w:gridSpan w:val="12"/>
          </w:tcPr>
          <w:p>
            <w:pPr>
              <w:spacing w:after="0"/>
              <w:rPr>
                <w:sz w:val="20"/>
                <w:szCs w:val="20"/>
                <w:color w:val="auto"/>
              </w:rPr>
            </w:pPr>
            <w:r>
              <w:rPr>
                <w:rFonts w:ascii="Arial" w:cs="Arial" w:eastAsia="Arial" w:hAnsi="Arial"/>
                <w:sz w:val="14"/>
                <w:szCs w:val="14"/>
                <w:color w:val="auto"/>
              </w:rPr>
              <w:t>Equity Participation in Underlying Collateral</w:t>
            </w:r>
          </w:p>
        </w:tc>
        <w:tc>
          <w:tcPr>
            <w:tcW w:w="100" w:type="dxa"/>
            <w:vAlign w:val="bottom"/>
          </w:tcPr>
          <w:p>
            <w:pPr>
              <w:spacing w:after="0"/>
              <w:rPr>
                <w:sz w:val="15"/>
                <w:szCs w:val="15"/>
                <w:color w:val="auto"/>
              </w:rPr>
            </w:pPr>
          </w:p>
        </w:tc>
        <w:tc>
          <w:tcPr>
            <w:tcW w:w="1980" w:type="dxa"/>
            <w:vAlign w:val="bottom"/>
            <w:tcBorders>
              <w:bottom w:val="single" w:sz="8" w:color="CCEEFF"/>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980" w:type="dxa"/>
            <w:vAlign w:val="bottom"/>
          </w:tcPr>
          <w:p>
            <w:pPr>
              <w:jc w:val="center"/>
              <w:spacing w:after="0"/>
              <w:rPr>
                <w:sz w:val="20"/>
                <w:szCs w:val="20"/>
                <w:color w:val="auto"/>
              </w:rPr>
            </w:pPr>
            <w:r>
              <w:rPr>
                <w:rFonts w:ascii="Arial" w:cs="Arial" w:eastAsia="Arial" w:hAnsi="Arial"/>
                <w:sz w:val="14"/>
                <w:szCs w:val="14"/>
                <w:color w:val="auto"/>
                <w:w w:val="93"/>
              </w:rPr>
              <w:t>6/19/2020</w:t>
            </w:r>
          </w:p>
        </w:tc>
        <w:tc>
          <w:tcPr>
            <w:tcW w:w="10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-1482090</wp:posOffset>
            </wp:positionV>
            <wp:extent cx="35833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583305"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-2802255</wp:posOffset>
            </wp:positionV>
            <wp:extent cx="4269105" cy="137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269105"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-4165600</wp:posOffset>
            </wp:positionV>
            <wp:extent cx="2263140"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26314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-5142865</wp:posOffset>
            </wp:positionV>
            <wp:extent cx="42691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269105" cy="128905"/>
                    </a:xfrm>
                    <a:prstGeom prst="rect">
                      <a:avLst/>
                    </a:prstGeom>
                    <a:noFill/>
                  </pic:spPr>
                </pic:pic>
              </a:graphicData>
            </a:graphic>
          </wp:anchor>
        </w:drawing>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See accompanying notes to condensed consolidated financial statements.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40"/>
          </w:cols>
          <w:pgMar w:left="320" w:top="122" w:right="339" w:bottom="1440" w:gutter="0" w:footer="0" w:header="0"/>
        </w:sectPr>
      </w:pPr>
    </w:p>
    <w:bookmarkStart w:id="12" w:name="page13"/>
    <w:bookmarkEnd w:id="12"/>
    <w:p>
      <w:pPr>
        <w:spacing w:after="0"/>
        <w:rPr>
          <w:rFonts w:ascii="Arial" w:cs="Arial" w:eastAsia="Arial" w:hAnsi="Arial"/>
          <w:sz w:val="14"/>
          <w:szCs w:val="14"/>
          <w:color w:val="0000FF"/>
        </w:rPr>
      </w:pPr>
      <w:hyperlink w:anchor="page1">
        <w:r>
          <w:rPr>
            <w:rFonts w:ascii="Arial" w:cs="Arial" w:eastAsia="Arial" w:hAnsi="Arial"/>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left="340" w:right="2500"/>
        <w:spacing w:after="0" w:line="266" w:lineRule="auto"/>
        <w:rPr>
          <w:sz w:val="20"/>
          <w:szCs w:val="20"/>
          <w:color w:val="auto"/>
        </w:rPr>
      </w:pPr>
      <w:r>
        <w:rPr>
          <w:rFonts w:ascii="Arial" w:cs="Arial" w:eastAsia="Arial" w:hAnsi="Arial"/>
          <w:sz w:val="18"/>
          <w:szCs w:val="18"/>
          <w:b w:val="1"/>
          <w:bCs w:val="1"/>
          <w:color w:val="auto"/>
        </w:rPr>
        <w:t>SURO CAPITAL CORP. AND SUBSIDIARIES CONDENSED CONSOLIDATED SCHEDULE OF INVESTMENTS - continued December 31, 2020</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60" w:type="dxa"/>
            <w:vAlign w:val="bottom"/>
            <w:gridSpan w:val="11"/>
            <w:vMerge w:val="restart"/>
          </w:tcPr>
          <w:p>
            <w:pPr>
              <w:spacing w:after="0"/>
              <w:rPr>
                <w:sz w:val="20"/>
                <w:szCs w:val="20"/>
                <w:color w:val="auto"/>
              </w:rPr>
            </w:pPr>
            <w:r>
              <w:rPr>
                <w:rFonts w:ascii="Arial" w:cs="Arial" w:eastAsia="Arial" w:hAnsi="Arial"/>
                <w:sz w:val="14"/>
                <w:szCs w:val="14"/>
                <w:b w:val="1"/>
                <w:bCs w:val="1"/>
                <w:color w:val="auto"/>
              </w:rPr>
              <w:t>Portfolio Investments*</w:t>
            </w:r>
          </w:p>
        </w:tc>
        <w:tc>
          <w:tcPr>
            <w:tcW w:w="120" w:type="dxa"/>
            <w:vAlign w:val="bottom"/>
          </w:tcPr>
          <w:p>
            <w:pPr>
              <w:spacing w:after="0"/>
              <w:rPr>
                <w:sz w:val="14"/>
                <w:szCs w:val="14"/>
                <w:color w:val="auto"/>
              </w:rPr>
            </w:pPr>
          </w:p>
        </w:tc>
        <w:tc>
          <w:tcPr>
            <w:tcW w:w="20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Headquarters/</w:t>
            </w:r>
          </w:p>
        </w:tc>
        <w:tc>
          <w:tcPr>
            <w:tcW w:w="10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Date of Initial</w:t>
            </w:r>
          </w:p>
        </w:tc>
        <w:tc>
          <w:tcPr>
            <w:tcW w:w="140" w:type="dxa"/>
            <w:vAlign w:val="bottom"/>
          </w:tcPr>
          <w:p>
            <w:pPr>
              <w:spacing w:after="0"/>
              <w:rPr>
                <w:sz w:val="14"/>
                <w:szCs w:val="14"/>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Shares/</w:t>
            </w:r>
          </w:p>
        </w:tc>
        <w:tc>
          <w:tcPr>
            <w:tcW w:w="200" w:type="dxa"/>
            <w:vAlign w:val="bottom"/>
          </w:tcPr>
          <w:p>
            <w:pPr>
              <w:spacing w:after="0"/>
              <w:rPr>
                <w:sz w:val="14"/>
                <w:szCs w:val="14"/>
                <w:color w:val="auto"/>
              </w:rPr>
            </w:pPr>
          </w:p>
        </w:tc>
        <w:tc>
          <w:tcPr>
            <w:tcW w:w="100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Cost</w:t>
            </w:r>
          </w:p>
        </w:tc>
        <w:tc>
          <w:tcPr>
            <w:tcW w:w="160" w:type="dxa"/>
            <w:vAlign w:val="bottom"/>
          </w:tcPr>
          <w:p>
            <w:pPr>
              <w:spacing w:after="0"/>
              <w:rPr>
                <w:sz w:val="14"/>
                <w:szCs w:val="14"/>
                <w:color w:val="auto"/>
              </w:rPr>
            </w:pPr>
          </w:p>
        </w:tc>
        <w:tc>
          <w:tcPr>
            <w:tcW w:w="10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Fair Value</w:t>
            </w: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 of Net</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560" w:type="dxa"/>
            <w:vAlign w:val="bottom"/>
            <w:gridSpan w:val="11"/>
            <w:vMerge w:val="continue"/>
          </w:tcPr>
          <w:p>
            <w:pPr>
              <w:spacing w:after="0"/>
              <w:rPr>
                <w:sz w:val="16"/>
                <w:szCs w:val="16"/>
                <w:color w:val="auto"/>
              </w:rPr>
            </w:pPr>
          </w:p>
        </w:tc>
        <w:tc>
          <w:tcPr>
            <w:tcW w:w="120" w:type="dxa"/>
            <w:vAlign w:val="bottom"/>
          </w:tcPr>
          <w:p>
            <w:pPr>
              <w:spacing w:after="0"/>
              <w:rPr>
                <w:sz w:val="16"/>
                <w:szCs w:val="16"/>
                <w:color w:val="auto"/>
              </w:rPr>
            </w:pPr>
          </w:p>
        </w:tc>
        <w:tc>
          <w:tcPr>
            <w:tcW w:w="20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7"/>
              </w:rPr>
              <w:t>Industry</w:t>
            </w:r>
          </w:p>
        </w:tc>
        <w:tc>
          <w:tcPr>
            <w:tcW w:w="10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Investment</w:t>
            </w:r>
          </w:p>
        </w:tc>
        <w:tc>
          <w:tcPr>
            <w:tcW w:w="140" w:type="dxa"/>
            <w:vAlign w:val="bottom"/>
          </w:tcPr>
          <w:p>
            <w:pPr>
              <w:spacing w:after="0"/>
              <w:rPr>
                <w:sz w:val="16"/>
                <w:szCs w:val="16"/>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Principal</w:t>
            </w:r>
          </w:p>
        </w:tc>
        <w:tc>
          <w:tcPr>
            <w:tcW w:w="20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b w:val="1"/>
                <w:bCs w:val="1"/>
                <w:color w:val="auto"/>
              </w:rPr>
              <w:t>Assets</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4"/>
        </w:trPr>
        <w:tc>
          <w:tcPr>
            <w:tcW w:w="20" w:type="dxa"/>
            <w:vAlign w:val="bottom"/>
            <w:tcBorders>
              <w:top w:val="single" w:sz="8" w:color="auto"/>
            </w:tcBorders>
            <w:shd w:val="clear" w:color="auto" w:fill="CCEEFF"/>
          </w:tcPr>
          <w:p>
            <w:pPr>
              <w:spacing w:after="0"/>
              <w:rPr>
                <w:sz w:val="14"/>
                <w:szCs w:val="14"/>
                <w:color w:val="auto"/>
              </w:rPr>
            </w:pPr>
          </w:p>
        </w:tc>
        <w:tc>
          <w:tcPr>
            <w:tcW w:w="3560" w:type="dxa"/>
            <w:vAlign w:val="bottom"/>
            <w:tcBorders>
              <w:top w:val="single" w:sz="8" w:color="auto"/>
            </w:tcBorders>
            <w:gridSpan w:val="11"/>
            <w:shd w:val="clear" w:color="auto" w:fill="CCEEFF"/>
          </w:tcPr>
          <w:p>
            <w:pPr>
              <w:spacing w:after="0" w:line="143" w:lineRule="exact"/>
              <w:rPr>
                <w:sz w:val="20"/>
                <w:szCs w:val="20"/>
                <w:color w:val="auto"/>
              </w:rPr>
            </w:pPr>
            <w:r>
              <w:rPr>
                <w:rFonts w:ascii="Arial" w:cs="Arial" w:eastAsia="Arial" w:hAnsi="Arial"/>
                <w:sz w:val="14"/>
                <w:szCs w:val="14"/>
                <w:b w:val="1"/>
                <w:bCs w:val="1"/>
                <w:color w:val="auto"/>
              </w:rPr>
              <w:t>Clever, Inc.</w:t>
            </w:r>
          </w:p>
        </w:tc>
        <w:tc>
          <w:tcPr>
            <w:tcW w:w="120" w:type="dxa"/>
            <w:vAlign w:val="bottom"/>
            <w:tcBorders>
              <w:top w:val="single" w:sz="8" w:color="CCEEFF"/>
            </w:tcBorders>
            <w:shd w:val="clear" w:color="auto" w:fill="CCEEFF"/>
          </w:tcPr>
          <w:p>
            <w:pPr>
              <w:spacing w:after="0"/>
              <w:rPr>
                <w:sz w:val="14"/>
                <w:szCs w:val="14"/>
                <w:color w:val="auto"/>
              </w:rPr>
            </w:pPr>
          </w:p>
        </w:tc>
        <w:tc>
          <w:tcPr>
            <w:tcW w:w="1960" w:type="dxa"/>
            <w:vAlign w:val="bottom"/>
            <w:tcBorders>
              <w:top w:val="single" w:sz="8" w:color="auto"/>
            </w:tcBorders>
            <w:shd w:val="clear" w:color="auto" w:fill="CCEEFF"/>
          </w:tcPr>
          <w:p>
            <w:pPr>
              <w:jc w:val="center"/>
              <w:spacing w:after="0" w:line="143" w:lineRule="exact"/>
              <w:rPr>
                <w:sz w:val="20"/>
                <w:szCs w:val="20"/>
                <w:color w:val="auto"/>
              </w:rPr>
            </w:pPr>
            <w:r>
              <w:rPr>
                <w:rFonts w:ascii="Arial" w:cs="Arial" w:eastAsia="Arial" w:hAnsi="Arial"/>
                <w:sz w:val="14"/>
                <w:szCs w:val="14"/>
                <w:color w:val="auto"/>
                <w:w w:val="92"/>
              </w:rPr>
              <w:t>San Francisco, CA</w:t>
            </w:r>
          </w:p>
        </w:tc>
        <w:tc>
          <w:tcPr>
            <w:tcW w:w="100" w:type="dxa"/>
            <w:vAlign w:val="bottom"/>
            <w:tcBorders>
              <w:top w:val="single" w:sz="8" w:color="CCEEFF"/>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auto"/>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9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vMerge w:val="restart"/>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vMerge w:val="restart"/>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vMerge w:val="restart"/>
          </w:tcPr>
          <w:p>
            <w:pPr>
              <w:jc w:val="right"/>
              <w:ind w:right="48"/>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CCEEFF"/>
            </w:tcBorders>
            <w:vMerge w:val="restart"/>
          </w:tcPr>
          <w:p>
            <w:pPr>
              <w:jc w:val="right"/>
              <w:ind w:right="8"/>
              <w:spacing w:after="0"/>
              <w:rPr>
                <w:sz w:val="20"/>
                <w:szCs w:val="20"/>
                <w:color w:val="auto"/>
              </w:rPr>
            </w:pPr>
            <w:r>
              <w:rPr>
                <w:rFonts w:ascii="Arial" w:cs="Arial" w:eastAsia="Arial" w:hAnsi="Arial"/>
                <w:sz w:val="14"/>
                <w:szCs w:val="14"/>
                <w:color w:val="auto"/>
              </w:rPr>
              <w:t>2,000,601</w:t>
            </w: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vMerge w:val="restart"/>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CCEEFF"/>
            </w:tcBorders>
            <w:vMerge w:val="restart"/>
          </w:tcPr>
          <w:p>
            <w:pPr>
              <w:jc w:val="right"/>
              <w:spacing w:after="0"/>
              <w:rPr>
                <w:sz w:val="20"/>
                <w:szCs w:val="20"/>
                <w:color w:val="auto"/>
              </w:rPr>
            </w:pPr>
            <w:r>
              <w:rPr>
                <w:rFonts w:ascii="Arial" w:cs="Arial" w:eastAsia="Arial" w:hAnsi="Arial"/>
                <w:sz w:val="14"/>
                <w:szCs w:val="14"/>
                <w:color w:val="auto"/>
              </w:rPr>
              <w:t>2,000,001</w:t>
            </w: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vMerge w:val="restart"/>
          </w:tcPr>
          <w:p>
            <w:pPr>
              <w:jc w:val="right"/>
              <w:spacing w:after="0"/>
              <w:rPr>
                <w:sz w:val="20"/>
                <w:szCs w:val="20"/>
                <w:color w:val="auto"/>
              </w:rPr>
            </w:pPr>
            <w:r>
              <w:rPr>
                <w:rFonts w:ascii="Arial" w:cs="Arial" w:eastAsia="Arial" w:hAnsi="Arial"/>
                <w:sz w:val="14"/>
                <w:szCs w:val="14"/>
                <w:color w:val="auto"/>
              </w:rPr>
              <w:t>0.66</w:t>
            </w:r>
          </w:p>
        </w:tc>
        <w:tc>
          <w:tcPr>
            <w:tcW w:w="160" w:type="dxa"/>
            <w:vAlign w:val="bottom"/>
            <w:tcBorders>
              <w:top w:val="single" w:sz="8" w:color="CCEEFF"/>
            </w:tcBorders>
            <w:vMerge w:val="restart"/>
          </w:tcPr>
          <w:p>
            <w:pPr>
              <w:jc w:val="right"/>
              <w:spacing w:after="0"/>
              <w:rPr>
                <w:sz w:val="20"/>
                <w:szCs w:val="20"/>
                <w:color w:val="auto"/>
              </w:rPr>
            </w:pPr>
            <w:r>
              <w:rPr>
                <w:rFonts w:ascii="Arial" w:cs="Arial" w:eastAsia="Arial" w:hAnsi="Arial"/>
                <w:sz w:val="14"/>
                <w:szCs w:val="14"/>
                <w:color w:val="auto"/>
                <w:w w:val="96"/>
              </w:rPr>
              <w:t>%</w:t>
            </w:r>
          </w:p>
        </w:tc>
        <w:tc>
          <w:tcPr>
            <w:tcW w:w="0" w:type="dxa"/>
            <w:vAlign w:val="bottom"/>
          </w:tcPr>
          <w:p>
            <w:pPr>
              <w:spacing w:after="0" w:line="20" w:lineRule="exact"/>
              <w:rPr>
                <w:sz w:val="1"/>
                <w:szCs w:val="1"/>
                <w:color w:val="auto"/>
              </w:rPr>
            </w:pPr>
          </w:p>
        </w:tc>
      </w:tr>
      <w:tr>
        <w:trPr>
          <w:trHeight w:val="179"/>
        </w:trPr>
        <w:tc>
          <w:tcPr>
            <w:tcW w:w="20" w:type="dxa"/>
            <w:vAlign w:val="bottom"/>
          </w:tcPr>
          <w:p>
            <w:pPr>
              <w:spacing w:after="0"/>
              <w:rPr>
                <w:sz w:val="15"/>
                <w:szCs w:val="15"/>
                <w:color w:val="auto"/>
              </w:rPr>
            </w:pPr>
          </w:p>
        </w:tc>
        <w:tc>
          <w:tcPr>
            <w:tcW w:w="3560" w:type="dxa"/>
            <w:vAlign w:val="bottom"/>
            <w:gridSpan w:val="11"/>
          </w:tcPr>
          <w:p>
            <w:pPr>
              <w:spacing w:after="0"/>
              <w:rPr>
                <w:sz w:val="20"/>
                <w:szCs w:val="20"/>
                <w:color w:val="auto"/>
              </w:rPr>
            </w:pPr>
            <w:r>
              <w:rPr>
                <w:rFonts w:ascii="Arial" w:cs="Arial" w:eastAsia="Arial" w:hAnsi="Arial"/>
                <w:sz w:val="14"/>
                <w:szCs w:val="14"/>
                <w:color w:val="auto"/>
              </w:rPr>
              <w:t>Preferred shares, Series B 8%</w:t>
            </w:r>
          </w:p>
        </w:tc>
        <w:tc>
          <w:tcPr>
            <w:tcW w:w="120" w:type="dxa"/>
            <w:vAlign w:val="bottom"/>
          </w:tcPr>
          <w:p>
            <w:pPr>
              <w:spacing w:after="0"/>
              <w:rPr>
                <w:sz w:val="15"/>
                <w:szCs w:val="15"/>
                <w:color w:val="auto"/>
              </w:rPr>
            </w:pPr>
          </w:p>
        </w:tc>
        <w:tc>
          <w:tcPr>
            <w:tcW w:w="1960" w:type="dxa"/>
            <w:vAlign w:val="bottom"/>
          </w:tcPr>
          <w:p>
            <w:pPr>
              <w:jc w:val="center"/>
              <w:spacing w:after="0"/>
              <w:rPr>
                <w:sz w:val="20"/>
                <w:szCs w:val="20"/>
                <w:color w:val="auto"/>
              </w:rPr>
            </w:pPr>
            <w:r>
              <w:rPr>
                <w:rFonts w:ascii="Arial" w:cs="Arial" w:eastAsia="Arial" w:hAnsi="Arial"/>
                <w:sz w:val="14"/>
                <w:szCs w:val="14"/>
                <w:color w:val="auto"/>
                <w:w w:val="93"/>
              </w:rPr>
              <w:t>Education Software</w:t>
            </w:r>
          </w:p>
        </w:tc>
        <w:tc>
          <w:tcPr>
            <w:tcW w:w="100" w:type="dxa"/>
            <w:vAlign w:val="bottom"/>
            <w:vMerge w:val="continue"/>
          </w:tcPr>
          <w:p>
            <w:pPr>
              <w:spacing w:after="0"/>
              <w:rPr>
                <w:sz w:val="15"/>
                <w:szCs w:val="15"/>
                <w:color w:val="auto"/>
              </w:rPr>
            </w:pPr>
          </w:p>
        </w:tc>
        <w:tc>
          <w:tcPr>
            <w:tcW w:w="980" w:type="dxa"/>
            <w:vAlign w:val="bottom"/>
          </w:tcPr>
          <w:p>
            <w:pPr>
              <w:jc w:val="center"/>
              <w:spacing w:after="0"/>
              <w:rPr>
                <w:sz w:val="20"/>
                <w:szCs w:val="20"/>
                <w:color w:val="auto"/>
              </w:rPr>
            </w:pPr>
            <w:r>
              <w:rPr>
                <w:rFonts w:ascii="Arial" w:cs="Arial" w:eastAsia="Arial" w:hAnsi="Arial"/>
                <w:sz w:val="14"/>
                <w:szCs w:val="14"/>
                <w:color w:val="auto"/>
                <w:w w:val="93"/>
              </w:rPr>
              <w:t>12/5/2014</w:t>
            </w:r>
          </w:p>
        </w:tc>
        <w:tc>
          <w:tcPr>
            <w:tcW w:w="10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1,799,047</w:t>
            </w:r>
          </w:p>
        </w:tc>
        <w:tc>
          <w:tcPr>
            <w:tcW w:w="100" w:type="dxa"/>
            <w:vAlign w:val="bottom"/>
          </w:tcPr>
          <w:p>
            <w:pPr>
              <w:spacing w:after="0"/>
              <w:rPr>
                <w:sz w:val="15"/>
                <w:szCs w:val="15"/>
                <w:color w:val="auto"/>
              </w:rPr>
            </w:pPr>
          </w:p>
        </w:tc>
        <w:tc>
          <w:tcPr>
            <w:tcW w:w="200" w:type="dxa"/>
            <w:vAlign w:val="bottom"/>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1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20" w:type="dxa"/>
            <w:vAlign w:val="bottom"/>
            <w:shd w:val="clear" w:color="auto" w:fill="CCEEFF"/>
          </w:tcPr>
          <w:p>
            <w:pPr>
              <w:spacing w:after="0"/>
              <w:rPr>
                <w:sz w:val="14"/>
                <w:szCs w:val="14"/>
                <w:color w:val="auto"/>
              </w:rPr>
            </w:pPr>
          </w:p>
        </w:tc>
        <w:tc>
          <w:tcPr>
            <w:tcW w:w="3560" w:type="dxa"/>
            <w:vAlign w:val="bottom"/>
            <w:gridSpan w:val="11"/>
            <w:shd w:val="clear" w:color="auto" w:fill="CCEEFF"/>
          </w:tcPr>
          <w:p>
            <w:pPr>
              <w:spacing w:after="0" w:line="152" w:lineRule="exact"/>
              <w:rPr>
                <w:sz w:val="20"/>
                <w:szCs w:val="20"/>
                <w:color w:val="auto"/>
              </w:rPr>
            </w:pPr>
            <w:r>
              <w:rPr>
                <w:rFonts w:ascii="Arial" w:cs="Arial" w:eastAsia="Arial" w:hAnsi="Arial"/>
                <w:sz w:val="14"/>
                <w:szCs w:val="14"/>
                <w:b w:val="1"/>
                <w:bCs w:val="1"/>
                <w:color w:val="auto"/>
              </w:rPr>
              <w:t>A Place for Rover Inc. (f/k/a DogVacay, Inc.)</w:t>
            </w:r>
          </w:p>
        </w:tc>
        <w:tc>
          <w:tcPr>
            <w:tcW w:w="120" w:type="dxa"/>
            <w:vAlign w:val="bottom"/>
            <w:shd w:val="clear" w:color="auto" w:fill="CCEEFF"/>
          </w:tcPr>
          <w:p>
            <w:pPr>
              <w:spacing w:after="0"/>
              <w:rPr>
                <w:sz w:val="14"/>
                <w:szCs w:val="14"/>
                <w:color w:val="auto"/>
              </w:rPr>
            </w:pPr>
          </w:p>
        </w:tc>
        <w:tc>
          <w:tcPr>
            <w:tcW w:w="2060" w:type="dxa"/>
            <w:vAlign w:val="bottom"/>
            <w:gridSpan w:val="2"/>
            <w:shd w:val="clear" w:color="auto" w:fill="CCEEFF"/>
          </w:tcPr>
          <w:p>
            <w:pPr>
              <w:jc w:val="center"/>
              <w:ind w:right="120"/>
              <w:spacing w:after="0" w:line="152" w:lineRule="exact"/>
              <w:rPr>
                <w:sz w:val="20"/>
                <w:szCs w:val="20"/>
                <w:color w:val="auto"/>
              </w:rPr>
            </w:pPr>
            <w:r>
              <w:rPr>
                <w:rFonts w:ascii="Arial" w:cs="Arial" w:eastAsia="Arial" w:hAnsi="Arial"/>
                <w:sz w:val="14"/>
                <w:szCs w:val="14"/>
                <w:color w:val="auto"/>
                <w:w w:val="94"/>
              </w:rPr>
              <w:t>Seattle, WA</w:t>
            </w: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0" w:type="dxa"/>
            <w:vAlign w:val="bottom"/>
            <w:tcBorders>
              <w:top w:val="single" w:sz="8" w:color="CCEEFF"/>
            </w:tcBorders>
          </w:tcPr>
          <w:p>
            <w:pPr>
              <w:spacing w:after="0"/>
              <w:rPr>
                <w:sz w:val="16"/>
                <w:szCs w:val="16"/>
                <w:color w:val="auto"/>
              </w:rPr>
            </w:pPr>
          </w:p>
        </w:tc>
        <w:tc>
          <w:tcPr>
            <w:tcW w:w="2740" w:type="dxa"/>
            <w:vAlign w:val="bottom"/>
            <w:tcBorders>
              <w:top w:val="single" w:sz="8" w:color="auto"/>
            </w:tcBorders>
            <w:gridSpan w:val="10"/>
          </w:tcPr>
          <w:p>
            <w:pPr>
              <w:spacing w:after="0"/>
              <w:rPr>
                <w:sz w:val="20"/>
                <w:szCs w:val="20"/>
                <w:color w:val="auto"/>
              </w:rPr>
            </w:pPr>
            <w:r>
              <w:rPr>
                <w:rFonts w:ascii="Arial" w:cs="Arial" w:eastAsia="Arial" w:hAnsi="Arial"/>
                <w:sz w:val="14"/>
                <w:szCs w:val="14"/>
                <w:color w:val="auto"/>
              </w:rPr>
              <w:t>Common shares</w:t>
            </w:r>
          </w:p>
        </w:tc>
        <w:tc>
          <w:tcPr>
            <w:tcW w:w="82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2060" w:type="dxa"/>
            <w:vAlign w:val="bottom"/>
            <w:tcBorders>
              <w:top w:val="single" w:sz="8" w:color="CCEEFF"/>
            </w:tcBorders>
            <w:gridSpan w:val="2"/>
          </w:tcPr>
          <w:p>
            <w:pPr>
              <w:jc w:val="center"/>
              <w:ind w:right="120"/>
              <w:spacing w:after="0"/>
              <w:rPr>
                <w:sz w:val="20"/>
                <w:szCs w:val="20"/>
                <w:color w:val="auto"/>
              </w:rPr>
            </w:pPr>
            <w:r>
              <w:rPr>
                <w:rFonts w:ascii="Arial" w:cs="Arial" w:eastAsia="Arial" w:hAnsi="Arial"/>
                <w:sz w:val="14"/>
                <w:szCs w:val="14"/>
                <w:color w:val="auto"/>
                <w:w w:val="89"/>
              </w:rPr>
              <w:t>Peer-to-Peer Pet Services</w:t>
            </w:r>
          </w:p>
        </w:tc>
        <w:tc>
          <w:tcPr>
            <w:tcW w:w="980" w:type="dxa"/>
            <w:vAlign w:val="bottom"/>
            <w:tcBorders>
              <w:top w:val="single" w:sz="8" w:color="CCEEFF"/>
            </w:tcBorders>
          </w:tcPr>
          <w:p>
            <w:pPr>
              <w:jc w:val="center"/>
              <w:spacing w:after="0"/>
              <w:rPr>
                <w:sz w:val="20"/>
                <w:szCs w:val="20"/>
                <w:color w:val="auto"/>
              </w:rPr>
            </w:pPr>
            <w:r>
              <w:rPr>
                <w:rFonts w:ascii="Arial" w:cs="Arial" w:eastAsia="Arial" w:hAnsi="Arial"/>
                <w:sz w:val="14"/>
                <w:szCs w:val="14"/>
                <w:color w:val="auto"/>
                <w:w w:val="93"/>
              </w:rPr>
              <w:t>11/3/2014</w:t>
            </w:r>
          </w:p>
        </w:tc>
        <w:tc>
          <w:tcPr>
            <w:tcW w:w="10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840" w:type="dxa"/>
            <w:vAlign w:val="bottom"/>
            <w:tcBorders>
              <w:top w:val="single" w:sz="8" w:color="CCEEFF"/>
            </w:tcBorders>
          </w:tcPr>
          <w:p>
            <w:pPr>
              <w:jc w:val="right"/>
              <w:ind w:right="8"/>
              <w:spacing w:after="0"/>
              <w:rPr>
                <w:sz w:val="20"/>
                <w:szCs w:val="20"/>
                <w:color w:val="auto"/>
              </w:rPr>
            </w:pPr>
            <w:r>
              <w:rPr>
                <w:rFonts w:ascii="Arial" w:cs="Arial" w:eastAsia="Arial" w:hAnsi="Arial"/>
                <w:sz w:val="14"/>
                <w:szCs w:val="14"/>
                <w:color w:val="auto"/>
              </w:rPr>
              <w:t>707,991</w:t>
            </w:r>
          </w:p>
        </w:tc>
        <w:tc>
          <w:tcPr>
            <w:tcW w:w="100" w:type="dxa"/>
            <w:vAlign w:val="bottom"/>
            <w:tcBorders>
              <w:top w:val="single" w:sz="8" w:color="CCEEFF"/>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900" w:type="dxa"/>
            <w:vAlign w:val="bottom"/>
            <w:tcBorders>
              <w:top w:val="single" w:sz="8" w:color="CCEEFF"/>
            </w:tcBorders>
          </w:tcPr>
          <w:p>
            <w:pPr>
              <w:jc w:val="right"/>
              <w:ind w:right="8"/>
              <w:spacing w:after="0"/>
              <w:rPr>
                <w:sz w:val="20"/>
                <w:szCs w:val="20"/>
                <w:color w:val="auto"/>
              </w:rPr>
            </w:pPr>
            <w:r>
              <w:rPr>
                <w:rFonts w:ascii="Arial" w:cs="Arial" w:eastAsia="Arial" w:hAnsi="Arial"/>
                <w:sz w:val="14"/>
                <w:szCs w:val="14"/>
                <w:color w:val="auto"/>
              </w:rPr>
              <w:t>2,506,119</w:t>
            </w:r>
          </w:p>
        </w:tc>
        <w:tc>
          <w:tcPr>
            <w:tcW w:w="10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940" w:type="dxa"/>
            <w:vAlign w:val="bottom"/>
            <w:tcBorders>
              <w:top w:val="single" w:sz="8" w:color="CCEEFF"/>
            </w:tcBorders>
          </w:tcPr>
          <w:p>
            <w:pPr>
              <w:jc w:val="right"/>
              <w:spacing w:after="0"/>
              <w:rPr>
                <w:sz w:val="20"/>
                <w:szCs w:val="20"/>
                <w:color w:val="auto"/>
              </w:rPr>
            </w:pPr>
            <w:r>
              <w:rPr>
                <w:rFonts w:ascii="Arial" w:cs="Arial" w:eastAsia="Arial" w:hAnsi="Arial"/>
                <w:sz w:val="14"/>
                <w:szCs w:val="14"/>
                <w:color w:val="auto"/>
              </w:rPr>
              <w:t>1,474,878</w:t>
            </w:r>
          </w:p>
        </w:tc>
        <w:tc>
          <w:tcPr>
            <w:tcW w:w="100" w:type="dxa"/>
            <w:vAlign w:val="bottom"/>
            <w:tcBorders>
              <w:top w:val="single" w:sz="8" w:color="CCEEFF"/>
            </w:tcBorders>
          </w:tcPr>
          <w:p>
            <w:pPr>
              <w:spacing w:after="0"/>
              <w:rPr>
                <w:sz w:val="16"/>
                <w:szCs w:val="16"/>
                <w:color w:val="auto"/>
              </w:rPr>
            </w:pPr>
          </w:p>
        </w:tc>
        <w:tc>
          <w:tcPr>
            <w:tcW w:w="760" w:type="dxa"/>
            <w:vAlign w:val="bottom"/>
            <w:tcBorders>
              <w:top w:val="single" w:sz="8" w:color="CCEEFF"/>
            </w:tcBorders>
          </w:tcPr>
          <w:p>
            <w:pPr>
              <w:jc w:val="right"/>
              <w:spacing w:after="0"/>
              <w:rPr>
                <w:sz w:val="20"/>
                <w:szCs w:val="20"/>
                <w:color w:val="auto"/>
              </w:rPr>
            </w:pPr>
            <w:r>
              <w:rPr>
                <w:rFonts w:ascii="Arial" w:cs="Arial" w:eastAsia="Arial" w:hAnsi="Arial"/>
                <w:sz w:val="14"/>
                <w:szCs w:val="14"/>
                <w:color w:val="auto"/>
              </w:rPr>
              <w:t>0.49</w:t>
            </w:r>
          </w:p>
        </w:tc>
        <w:tc>
          <w:tcPr>
            <w:tcW w:w="160" w:type="dxa"/>
            <w:vAlign w:val="bottom"/>
            <w:tcBorders>
              <w:top w:val="single" w:sz="8" w:color="CCEEFF"/>
            </w:tcBorders>
          </w:tcPr>
          <w:p>
            <w:pPr>
              <w:jc w:val="right"/>
              <w:spacing w:after="0"/>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172"/>
        </w:trPr>
        <w:tc>
          <w:tcPr>
            <w:tcW w:w="20" w:type="dxa"/>
            <w:vAlign w:val="bottom"/>
            <w:tcBorders>
              <w:bottom w:val="single" w:sz="8" w:color="CCEEFF"/>
            </w:tcBorders>
            <w:shd w:val="clear" w:color="auto" w:fill="CCEEFF"/>
          </w:tcPr>
          <w:p>
            <w:pPr>
              <w:spacing w:after="0"/>
              <w:rPr>
                <w:sz w:val="14"/>
                <w:szCs w:val="14"/>
                <w:color w:val="auto"/>
              </w:rPr>
            </w:pPr>
          </w:p>
        </w:tc>
        <w:tc>
          <w:tcPr>
            <w:tcW w:w="1980" w:type="dxa"/>
            <w:vAlign w:val="bottom"/>
            <w:tcBorders>
              <w:bottom w:val="single" w:sz="8" w:color="auto"/>
            </w:tcBorders>
            <w:gridSpan w:val="7"/>
            <w:shd w:val="clear" w:color="auto" w:fill="CCEEFF"/>
          </w:tcPr>
          <w:p>
            <w:pPr>
              <w:spacing w:after="0" w:line="152" w:lineRule="exact"/>
              <w:rPr>
                <w:sz w:val="20"/>
                <w:szCs w:val="20"/>
                <w:color w:val="auto"/>
              </w:rPr>
            </w:pPr>
            <w:r>
              <w:rPr>
                <w:rFonts w:ascii="Arial" w:cs="Arial" w:eastAsia="Arial" w:hAnsi="Arial"/>
                <w:sz w:val="14"/>
                <w:szCs w:val="14"/>
                <w:b w:val="1"/>
                <w:bCs w:val="1"/>
                <w:color w:val="auto"/>
                <w:w w:val="95"/>
              </w:rPr>
              <w:t>Tynker (f/k/a Neuron Fuel, Inc.)</w:t>
            </w:r>
          </w:p>
        </w:tc>
        <w:tc>
          <w:tcPr>
            <w:tcW w:w="1580" w:type="dxa"/>
            <w:vAlign w:val="bottom"/>
            <w:tcBorders>
              <w:bottom w:val="single" w:sz="8" w:color="CCEEFF"/>
            </w:tcBorders>
            <w:gridSpan w:val="4"/>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2060" w:type="dxa"/>
            <w:vAlign w:val="bottom"/>
            <w:tcBorders>
              <w:bottom w:val="single" w:sz="8" w:color="CCEEFF"/>
            </w:tcBorders>
            <w:gridSpan w:val="2"/>
            <w:shd w:val="clear" w:color="auto" w:fill="CCEEFF"/>
          </w:tcPr>
          <w:p>
            <w:pPr>
              <w:jc w:val="center"/>
              <w:ind w:right="100"/>
              <w:spacing w:after="0" w:line="152" w:lineRule="exact"/>
              <w:rPr>
                <w:sz w:val="20"/>
                <w:szCs w:val="20"/>
                <w:color w:val="auto"/>
              </w:rPr>
            </w:pPr>
            <w:r>
              <w:rPr>
                <w:rFonts w:ascii="Arial" w:cs="Arial" w:eastAsia="Arial" w:hAnsi="Arial"/>
                <w:sz w:val="14"/>
                <w:szCs w:val="14"/>
                <w:color w:val="auto"/>
                <w:w w:val="97"/>
              </w:rPr>
              <w:t>Mountain View, CA</w:t>
            </w:r>
          </w:p>
        </w:tc>
        <w:tc>
          <w:tcPr>
            <w:tcW w:w="9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9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9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560" w:type="dxa"/>
            <w:vAlign w:val="bottom"/>
            <w:gridSpan w:val="11"/>
          </w:tcPr>
          <w:p>
            <w:pPr>
              <w:spacing w:after="0"/>
              <w:rPr>
                <w:sz w:val="20"/>
                <w:szCs w:val="20"/>
                <w:color w:val="auto"/>
              </w:rPr>
            </w:pPr>
            <w:r>
              <w:rPr>
                <w:rFonts w:ascii="Arial" w:cs="Arial" w:eastAsia="Arial" w:hAnsi="Arial"/>
                <w:sz w:val="14"/>
                <w:szCs w:val="14"/>
                <w:color w:val="auto"/>
              </w:rPr>
              <w:t>Preferred shares, Series A 8%</w:t>
            </w:r>
          </w:p>
        </w:tc>
        <w:tc>
          <w:tcPr>
            <w:tcW w:w="120" w:type="dxa"/>
            <w:vAlign w:val="bottom"/>
          </w:tcPr>
          <w:p>
            <w:pPr>
              <w:spacing w:after="0"/>
              <w:rPr>
                <w:sz w:val="16"/>
                <w:szCs w:val="16"/>
                <w:color w:val="auto"/>
              </w:rPr>
            </w:pPr>
          </w:p>
        </w:tc>
        <w:tc>
          <w:tcPr>
            <w:tcW w:w="2060" w:type="dxa"/>
            <w:vAlign w:val="bottom"/>
            <w:gridSpan w:val="2"/>
          </w:tcPr>
          <w:p>
            <w:pPr>
              <w:jc w:val="center"/>
              <w:ind w:right="120"/>
              <w:spacing w:after="0"/>
              <w:rPr>
                <w:sz w:val="20"/>
                <w:szCs w:val="20"/>
                <w:color w:val="auto"/>
              </w:rPr>
            </w:pPr>
            <w:r>
              <w:rPr>
                <w:rFonts w:ascii="Arial" w:cs="Arial" w:eastAsia="Arial" w:hAnsi="Arial"/>
                <w:sz w:val="14"/>
                <w:szCs w:val="14"/>
                <w:color w:val="auto"/>
                <w:w w:val="94"/>
              </w:rPr>
              <w:t>Computer Software</w:t>
            </w:r>
          </w:p>
        </w:tc>
        <w:tc>
          <w:tcPr>
            <w:tcW w:w="980" w:type="dxa"/>
            <w:vAlign w:val="bottom"/>
          </w:tcPr>
          <w:p>
            <w:pPr>
              <w:jc w:val="center"/>
              <w:spacing w:after="0"/>
              <w:rPr>
                <w:sz w:val="20"/>
                <w:szCs w:val="20"/>
                <w:color w:val="auto"/>
              </w:rPr>
            </w:pPr>
            <w:r>
              <w:rPr>
                <w:rFonts w:ascii="Arial" w:cs="Arial" w:eastAsia="Arial" w:hAnsi="Arial"/>
                <w:sz w:val="14"/>
                <w:szCs w:val="14"/>
                <w:color w:val="auto"/>
                <w:w w:val="95"/>
              </w:rPr>
              <w:t>8/8/2012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534,162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309,310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791,361</w:t>
            </w: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0.26</w:t>
            </w:r>
          </w:p>
        </w:tc>
        <w:tc>
          <w:tcPr>
            <w:tcW w:w="160" w:type="dxa"/>
            <w:vAlign w:val="bottom"/>
          </w:tcPr>
          <w:p>
            <w:pPr>
              <w:jc w:val="right"/>
              <w:spacing w:after="0"/>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172"/>
        </w:trPr>
        <w:tc>
          <w:tcPr>
            <w:tcW w:w="20" w:type="dxa"/>
            <w:vAlign w:val="bottom"/>
            <w:shd w:val="clear" w:color="auto" w:fill="CCEEFF"/>
          </w:tcPr>
          <w:p>
            <w:pPr>
              <w:spacing w:after="0"/>
              <w:rPr>
                <w:sz w:val="14"/>
                <w:szCs w:val="14"/>
                <w:color w:val="auto"/>
              </w:rPr>
            </w:pPr>
          </w:p>
        </w:tc>
        <w:tc>
          <w:tcPr>
            <w:tcW w:w="3560" w:type="dxa"/>
            <w:vAlign w:val="bottom"/>
            <w:gridSpan w:val="11"/>
            <w:shd w:val="clear" w:color="auto" w:fill="CCEEFF"/>
          </w:tcPr>
          <w:p>
            <w:pPr>
              <w:spacing w:after="0" w:line="152" w:lineRule="exact"/>
              <w:rPr>
                <w:sz w:val="20"/>
                <w:szCs w:val="20"/>
                <w:color w:val="auto"/>
              </w:rPr>
            </w:pPr>
            <w:r>
              <w:rPr>
                <w:rFonts w:ascii="Arial" w:cs="Arial" w:eastAsia="Arial" w:hAnsi="Arial"/>
                <w:sz w:val="14"/>
                <w:szCs w:val="14"/>
                <w:b w:val="1"/>
                <w:bCs w:val="1"/>
                <w:color w:val="auto"/>
              </w:rPr>
              <w:t>Fullbridge, Inc.</w:t>
            </w:r>
          </w:p>
        </w:tc>
        <w:tc>
          <w:tcPr>
            <w:tcW w:w="120" w:type="dxa"/>
            <w:vAlign w:val="bottom"/>
            <w:shd w:val="clear" w:color="auto" w:fill="CCEEFF"/>
          </w:tcPr>
          <w:p>
            <w:pPr>
              <w:spacing w:after="0"/>
              <w:rPr>
                <w:sz w:val="14"/>
                <w:szCs w:val="14"/>
                <w:color w:val="auto"/>
              </w:rPr>
            </w:pPr>
          </w:p>
        </w:tc>
        <w:tc>
          <w:tcPr>
            <w:tcW w:w="2060" w:type="dxa"/>
            <w:vAlign w:val="bottom"/>
            <w:gridSpan w:val="2"/>
            <w:shd w:val="clear" w:color="auto" w:fill="CCEEFF"/>
          </w:tcPr>
          <w:p>
            <w:pPr>
              <w:jc w:val="center"/>
              <w:ind w:right="120"/>
              <w:spacing w:after="0" w:line="152" w:lineRule="exact"/>
              <w:rPr>
                <w:sz w:val="20"/>
                <w:szCs w:val="20"/>
                <w:color w:val="auto"/>
              </w:rPr>
            </w:pPr>
            <w:r>
              <w:rPr>
                <w:rFonts w:ascii="Arial" w:cs="Arial" w:eastAsia="Arial" w:hAnsi="Arial"/>
                <w:sz w:val="14"/>
                <w:szCs w:val="14"/>
                <w:color w:val="auto"/>
                <w:w w:val="96"/>
              </w:rPr>
              <w:t>Cambridge, MA</w:t>
            </w: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0" w:type="dxa"/>
            <w:vAlign w:val="bottom"/>
            <w:tcBorders>
              <w:top w:val="single" w:sz="8" w:color="CCEEFF"/>
            </w:tcBorders>
          </w:tcPr>
          <w:p>
            <w:pPr>
              <w:spacing w:after="0"/>
              <w:rPr>
                <w:sz w:val="16"/>
                <w:szCs w:val="16"/>
                <w:color w:val="auto"/>
              </w:rPr>
            </w:pPr>
          </w:p>
        </w:tc>
        <w:tc>
          <w:tcPr>
            <w:tcW w:w="960" w:type="dxa"/>
            <w:vAlign w:val="bottom"/>
            <w:tcBorders>
              <w:top w:val="single" w:sz="8" w:color="auto"/>
            </w:tcBorders>
            <w:gridSpan w:val="2"/>
          </w:tcPr>
          <w:p>
            <w:pPr>
              <w:spacing w:after="0"/>
              <w:rPr>
                <w:sz w:val="20"/>
                <w:szCs w:val="20"/>
                <w:color w:val="auto"/>
              </w:rPr>
            </w:pPr>
            <w:r>
              <w:rPr>
                <w:rFonts w:ascii="Arial" w:cs="Arial" w:eastAsia="Arial" w:hAnsi="Arial"/>
                <w:sz w:val="14"/>
                <w:szCs w:val="14"/>
                <w:color w:val="auto"/>
                <w:w w:val="91"/>
              </w:rPr>
              <w:t>Common shares</w:t>
            </w:r>
          </w:p>
        </w:tc>
        <w:tc>
          <w:tcPr>
            <w:tcW w:w="2600" w:type="dxa"/>
            <w:vAlign w:val="bottom"/>
            <w:tcBorders>
              <w:top w:val="single" w:sz="8" w:color="CCEEFF"/>
            </w:tcBorders>
            <w:gridSpan w:val="9"/>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2060" w:type="dxa"/>
            <w:vAlign w:val="bottom"/>
            <w:tcBorders>
              <w:top w:val="single" w:sz="8" w:color="CCEEFF"/>
            </w:tcBorders>
            <w:gridSpan w:val="2"/>
          </w:tcPr>
          <w:p>
            <w:pPr>
              <w:jc w:val="center"/>
              <w:ind w:right="120"/>
              <w:spacing w:after="0"/>
              <w:rPr>
                <w:sz w:val="20"/>
                <w:szCs w:val="20"/>
                <w:color w:val="auto"/>
              </w:rPr>
            </w:pPr>
            <w:r>
              <w:rPr>
                <w:rFonts w:ascii="Arial" w:cs="Arial" w:eastAsia="Arial" w:hAnsi="Arial"/>
                <w:sz w:val="14"/>
                <w:szCs w:val="14"/>
                <w:color w:val="auto"/>
                <w:w w:val="92"/>
              </w:rPr>
              <w:t>Business Education</w:t>
            </w:r>
          </w:p>
        </w:tc>
        <w:tc>
          <w:tcPr>
            <w:tcW w:w="980" w:type="dxa"/>
            <w:vAlign w:val="bottom"/>
            <w:tcBorders>
              <w:top w:val="single" w:sz="8" w:color="CCEEFF"/>
            </w:tcBorders>
          </w:tcPr>
          <w:p>
            <w:pPr>
              <w:jc w:val="center"/>
              <w:spacing w:after="0"/>
              <w:rPr>
                <w:sz w:val="20"/>
                <w:szCs w:val="20"/>
                <w:color w:val="auto"/>
              </w:rPr>
            </w:pPr>
            <w:r>
              <w:rPr>
                <w:rFonts w:ascii="Arial" w:cs="Arial" w:eastAsia="Arial" w:hAnsi="Arial"/>
                <w:sz w:val="14"/>
                <w:szCs w:val="14"/>
                <w:color w:val="auto"/>
                <w:w w:val="93"/>
              </w:rPr>
              <w:t>5/13/2012</w:t>
            </w:r>
          </w:p>
        </w:tc>
        <w:tc>
          <w:tcPr>
            <w:tcW w:w="10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840" w:type="dxa"/>
            <w:vAlign w:val="bottom"/>
            <w:tcBorders>
              <w:top w:val="single" w:sz="8" w:color="CCEEFF"/>
            </w:tcBorders>
          </w:tcPr>
          <w:p>
            <w:pPr>
              <w:jc w:val="right"/>
              <w:ind w:right="8"/>
              <w:spacing w:after="0"/>
              <w:rPr>
                <w:sz w:val="20"/>
                <w:szCs w:val="20"/>
                <w:color w:val="auto"/>
              </w:rPr>
            </w:pPr>
            <w:r>
              <w:rPr>
                <w:rFonts w:ascii="Arial" w:cs="Arial" w:eastAsia="Arial" w:hAnsi="Arial"/>
                <w:sz w:val="14"/>
                <w:szCs w:val="14"/>
                <w:color w:val="auto"/>
              </w:rPr>
              <w:t>517,917</w:t>
            </w:r>
          </w:p>
        </w:tc>
        <w:tc>
          <w:tcPr>
            <w:tcW w:w="100" w:type="dxa"/>
            <w:vAlign w:val="bottom"/>
            <w:tcBorders>
              <w:top w:val="single" w:sz="8" w:color="CCEEFF"/>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900" w:type="dxa"/>
            <w:vAlign w:val="bottom"/>
            <w:tcBorders>
              <w:top w:val="single" w:sz="8" w:color="CCEEFF"/>
            </w:tcBorders>
          </w:tcPr>
          <w:p>
            <w:pPr>
              <w:jc w:val="right"/>
              <w:ind w:right="8"/>
              <w:spacing w:after="0"/>
              <w:rPr>
                <w:sz w:val="20"/>
                <w:szCs w:val="20"/>
                <w:color w:val="auto"/>
              </w:rPr>
            </w:pPr>
            <w:r>
              <w:rPr>
                <w:rFonts w:ascii="Arial" w:cs="Arial" w:eastAsia="Arial" w:hAnsi="Arial"/>
                <w:sz w:val="14"/>
                <w:szCs w:val="14"/>
                <w:color w:val="auto"/>
              </w:rPr>
              <w:t>6,150,506</w:t>
            </w:r>
          </w:p>
        </w:tc>
        <w:tc>
          <w:tcPr>
            <w:tcW w:w="10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1040" w:type="dxa"/>
            <w:vAlign w:val="bottom"/>
            <w:tcBorders>
              <w:top w:val="single" w:sz="8" w:color="CCEEFF"/>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CCEEFF"/>
            </w:tcBorders>
            <w:gridSpan w:val="2"/>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192"/>
        </w:trPr>
        <w:tc>
          <w:tcPr>
            <w:tcW w:w="20" w:type="dxa"/>
            <w:vAlign w:val="bottom"/>
            <w:shd w:val="clear" w:color="auto" w:fill="CCEEFF"/>
          </w:tcPr>
          <w:p>
            <w:pPr>
              <w:spacing w:after="0"/>
              <w:rPr>
                <w:sz w:val="16"/>
                <w:szCs w:val="16"/>
                <w:color w:val="auto"/>
              </w:rPr>
            </w:pPr>
          </w:p>
        </w:tc>
        <w:tc>
          <w:tcPr>
            <w:tcW w:w="3560" w:type="dxa"/>
            <w:vAlign w:val="bottom"/>
            <w:gridSpan w:val="11"/>
            <w:shd w:val="clear" w:color="auto" w:fill="CCEEFF"/>
          </w:tcPr>
          <w:p>
            <w:pPr>
              <w:spacing w:after="0" w:line="193" w:lineRule="exact"/>
              <w:rPr>
                <w:sz w:val="20"/>
                <w:szCs w:val="20"/>
                <w:color w:val="auto"/>
              </w:rPr>
            </w:pPr>
            <w:r>
              <w:rPr>
                <w:rFonts w:ascii="Arial" w:cs="Arial" w:eastAsia="Arial" w:hAnsi="Arial"/>
                <w:sz w:val="14"/>
                <w:szCs w:val="14"/>
                <w:color w:val="auto"/>
              </w:rPr>
              <w:t>Promissory Note 1.47%, Due 11/9/2021</w:t>
            </w:r>
            <w:r>
              <w:rPr>
                <w:rFonts w:ascii="Arial" w:cs="Arial" w:eastAsia="Arial" w:hAnsi="Arial"/>
                <w:sz w:val="18"/>
                <w:szCs w:val="18"/>
                <w:color w:val="auto"/>
                <w:vertAlign w:val="superscript"/>
              </w:rPr>
              <w:t>(4)</w:t>
            </w:r>
          </w:p>
        </w:tc>
        <w:tc>
          <w:tcPr>
            <w:tcW w:w="120" w:type="dxa"/>
            <w:vAlign w:val="bottom"/>
            <w:shd w:val="clear" w:color="auto" w:fill="CCEEFF"/>
          </w:tcPr>
          <w:p>
            <w:pPr>
              <w:spacing w:after="0"/>
              <w:rPr>
                <w:sz w:val="16"/>
                <w:szCs w:val="16"/>
                <w:color w:val="auto"/>
              </w:rPr>
            </w:pPr>
          </w:p>
        </w:tc>
        <w:tc>
          <w:tcPr>
            <w:tcW w:w="1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3/3/2016</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2,270,458</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2,270,858</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179"/>
        </w:trPr>
        <w:tc>
          <w:tcPr>
            <w:tcW w:w="20" w:type="dxa"/>
            <w:vAlign w:val="bottom"/>
            <w:tcBorders>
              <w:bottom w:val="single" w:sz="8" w:color="CCEEFF"/>
            </w:tcBorders>
          </w:tcPr>
          <w:p>
            <w:pPr>
              <w:spacing w:after="0"/>
              <w:rPr>
                <w:sz w:val="15"/>
                <w:szCs w:val="15"/>
                <w:color w:val="auto"/>
              </w:rPr>
            </w:pPr>
          </w:p>
        </w:tc>
        <w:tc>
          <w:tcPr>
            <w:tcW w:w="3560" w:type="dxa"/>
            <w:vAlign w:val="bottom"/>
            <w:tcBorders>
              <w:bottom w:val="single" w:sz="8" w:color="CCEEFF"/>
            </w:tcBorders>
            <w:gridSpan w:val="11"/>
          </w:tcPr>
          <w:p>
            <w:pPr>
              <w:ind w:left="120"/>
              <w:spacing w:after="0"/>
              <w:rPr>
                <w:sz w:val="20"/>
                <w:szCs w:val="20"/>
                <w:color w:val="auto"/>
              </w:rPr>
            </w:pPr>
            <w:r>
              <w:rPr>
                <w:rFonts w:ascii="Arial" w:cs="Arial" w:eastAsia="Arial" w:hAnsi="Arial"/>
                <w:sz w:val="14"/>
                <w:szCs w:val="14"/>
                <w:color w:val="auto"/>
              </w:rPr>
              <w:t>Total</w:t>
            </w:r>
          </w:p>
        </w:tc>
        <w:tc>
          <w:tcPr>
            <w:tcW w:w="120" w:type="dxa"/>
            <w:vAlign w:val="bottom"/>
            <w:tcBorders>
              <w:bottom w:val="single" w:sz="8" w:color="CCEEFF"/>
            </w:tcBorders>
          </w:tcPr>
          <w:p>
            <w:pPr>
              <w:spacing w:after="0"/>
              <w:rPr>
                <w:sz w:val="15"/>
                <w:szCs w:val="15"/>
                <w:color w:val="auto"/>
              </w:rPr>
            </w:pPr>
          </w:p>
        </w:tc>
        <w:tc>
          <w:tcPr>
            <w:tcW w:w="196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98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84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8,421,364</w:t>
            </w:r>
          </w:p>
        </w:tc>
        <w:tc>
          <w:tcPr>
            <w:tcW w:w="100" w:type="dxa"/>
            <w:vAlign w:val="bottom"/>
            <w:tcBorders>
              <w:bottom w:val="single" w:sz="8" w:color="CCEEFF"/>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5"/>
                <w:szCs w:val="15"/>
                <w:color w:val="auto"/>
              </w:rPr>
            </w:pPr>
          </w:p>
        </w:tc>
        <w:tc>
          <w:tcPr>
            <w:tcW w:w="9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132"/>
        </w:trPr>
        <w:tc>
          <w:tcPr>
            <w:tcW w:w="20" w:type="dxa"/>
            <w:vAlign w:val="bottom"/>
            <w:shd w:val="clear" w:color="auto" w:fill="CCEEFF"/>
          </w:tcPr>
          <w:p>
            <w:pPr>
              <w:spacing w:after="0"/>
              <w:rPr>
                <w:sz w:val="11"/>
                <w:szCs w:val="11"/>
                <w:color w:val="auto"/>
              </w:rPr>
            </w:pPr>
          </w:p>
        </w:tc>
        <w:tc>
          <w:tcPr>
            <w:tcW w:w="3560" w:type="dxa"/>
            <w:vAlign w:val="bottom"/>
            <w:gridSpan w:val="11"/>
            <w:shd w:val="clear" w:color="auto" w:fill="CCEEFF"/>
          </w:tcPr>
          <w:p>
            <w:pPr>
              <w:spacing w:after="0" w:line="132" w:lineRule="exact"/>
              <w:rPr>
                <w:sz w:val="20"/>
                <w:szCs w:val="20"/>
                <w:color w:val="auto"/>
              </w:rPr>
            </w:pPr>
            <w:r>
              <w:rPr>
                <w:rFonts w:ascii="Arial" w:cs="Arial" w:eastAsia="Arial" w:hAnsi="Arial"/>
                <w:sz w:val="12"/>
                <w:szCs w:val="12"/>
                <w:b w:val="1"/>
                <w:bCs w:val="1"/>
                <w:color w:val="auto"/>
              </w:rPr>
              <w:t>SP Holdings Group, Inc.</w:t>
            </w:r>
            <w:r>
              <w:rPr>
                <w:rFonts w:ascii="Arial" w:cs="Arial" w:eastAsia="Arial" w:hAnsi="Arial"/>
                <w:sz w:val="15"/>
                <w:szCs w:val="15"/>
                <w:b w:val="1"/>
                <w:bCs w:val="1"/>
                <w:color w:val="auto"/>
                <w:vertAlign w:val="superscript"/>
              </w:rPr>
              <w:t>(15)</w:t>
            </w:r>
          </w:p>
        </w:tc>
        <w:tc>
          <w:tcPr>
            <w:tcW w:w="120" w:type="dxa"/>
            <w:vAlign w:val="bottom"/>
            <w:shd w:val="clear" w:color="auto" w:fill="CCEEFF"/>
          </w:tcPr>
          <w:p>
            <w:pPr>
              <w:spacing w:after="0"/>
              <w:rPr>
                <w:sz w:val="11"/>
                <w:szCs w:val="11"/>
                <w:color w:val="auto"/>
              </w:rPr>
            </w:pPr>
          </w:p>
        </w:tc>
        <w:tc>
          <w:tcPr>
            <w:tcW w:w="2060" w:type="dxa"/>
            <w:vAlign w:val="bottom"/>
            <w:gridSpan w:val="2"/>
            <w:shd w:val="clear" w:color="auto" w:fill="CCEEFF"/>
          </w:tcPr>
          <w:p>
            <w:pPr>
              <w:jc w:val="center"/>
              <w:ind w:right="100"/>
              <w:spacing w:after="0" w:line="132" w:lineRule="exact"/>
              <w:rPr>
                <w:sz w:val="20"/>
                <w:szCs w:val="20"/>
                <w:color w:val="auto"/>
              </w:rPr>
            </w:pPr>
            <w:r>
              <w:rPr>
                <w:rFonts w:ascii="Arial" w:cs="Arial" w:eastAsia="Arial" w:hAnsi="Arial"/>
                <w:sz w:val="14"/>
                <w:szCs w:val="14"/>
                <w:color w:val="auto"/>
                <w:w w:val="92"/>
              </w:rPr>
              <w:t>San Francisco, CA</w:t>
            </w:r>
          </w:p>
        </w:tc>
        <w:tc>
          <w:tcPr>
            <w:tcW w:w="9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auto"/>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9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20" w:type="dxa"/>
            <w:vAlign w:val="bottom"/>
          </w:tcPr>
          <w:p>
            <w:pPr>
              <w:spacing w:after="0"/>
              <w:rPr>
                <w:sz w:val="16"/>
                <w:szCs w:val="16"/>
                <w:color w:val="auto"/>
              </w:rPr>
            </w:pPr>
          </w:p>
        </w:tc>
        <w:tc>
          <w:tcPr>
            <w:tcW w:w="3560" w:type="dxa"/>
            <w:vAlign w:val="bottom"/>
            <w:gridSpan w:val="11"/>
          </w:tcPr>
          <w:p>
            <w:pPr>
              <w:spacing w:after="0"/>
              <w:rPr>
                <w:sz w:val="20"/>
                <w:szCs w:val="20"/>
                <w:color w:val="auto"/>
              </w:rPr>
            </w:pPr>
            <w:r>
              <w:rPr>
                <w:rFonts w:ascii="Arial" w:cs="Arial" w:eastAsia="Arial" w:hAnsi="Arial"/>
                <w:sz w:val="14"/>
                <w:szCs w:val="14"/>
                <w:color w:val="auto"/>
              </w:rPr>
              <w:t>Preferred shares, Series B 6%</w:t>
            </w:r>
          </w:p>
        </w:tc>
        <w:tc>
          <w:tcPr>
            <w:tcW w:w="120" w:type="dxa"/>
            <w:vAlign w:val="bottom"/>
          </w:tcPr>
          <w:p>
            <w:pPr>
              <w:spacing w:after="0"/>
              <w:rPr>
                <w:sz w:val="16"/>
                <w:szCs w:val="16"/>
                <w:color w:val="auto"/>
              </w:rPr>
            </w:pPr>
          </w:p>
        </w:tc>
        <w:tc>
          <w:tcPr>
            <w:tcW w:w="2060" w:type="dxa"/>
            <w:vAlign w:val="bottom"/>
            <w:gridSpan w:val="2"/>
          </w:tcPr>
          <w:p>
            <w:pPr>
              <w:jc w:val="center"/>
              <w:ind w:right="100"/>
              <w:spacing w:after="0"/>
              <w:rPr>
                <w:sz w:val="20"/>
                <w:szCs w:val="20"/>
                <w:color w:val="auto"/>
              </w:rPr>
            </w:pPr>
            <w:r>
              <w:rPr>
                <w:rFonts w:ascii="Arial" w:cs="Arial" w:eastAsia="Arial" w:hAnsi="Arial"/>
                <w:sz w:val="14"/>
                <w:szCs w:val="14"/>
                <w:color w:val="auto"/>
                <w:w w:val="94"/>
              </w:rPr>
              <w:t>Online Marketplace Finance</w:t>
            </w:r>
          </w:p>
        </w:tc>
        <w:tc>
          <w:tcPr>
            <w:tcW w:w="980" w:type="dxa"/>
            <w:vAlign w:val="bottom"/>
          </w:tcPr>
          <w:p>
            <w:pPr>
              <w:jc w:val="center"/>
              <w:spacing w:after="0"/>
              <w:rPr>
                <w:sz w:val="20"/>
                <w:szCs w:val="20"/>
                <w:color w:val="auto"/>
              </w:rPr>
            </w:pPr>
            <w:r>
              <w:rPr>
                <w:rFonts w:ascii="Arial" w:cs="Arial" w:eastAsia="Arial" w:hAnsi="Arial"/>
                <w:sz w:val="14"/>
                <w:szCs w:val="14"/>
                <w:color w:val="auto"/>
                <w:w w:val="93"/>
              </w:rPr>
              <w:t>7/19/2011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1,771,653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192"/>
        </w:trPr>
        <w:tc>
          <w:tcPr>
            <w:tcW w:w="20" w:type="dxa"/>
            <w:vAlign w:val="bottom"/>
            <w:shd w:val="clear" w:color="auto" w:fill="CCEEFF"/>
          </w:tcPr>
          <w:p>
            <w:pPr>
              <w:spacing w:after="0"/>
              <w:rPr>
                <w:sz w:val="16"/>
                <w:szCs w:val="16"/>
                <w:color w:val="auto"/>
              </w:rPr>
            </w:pPr>
          </w:p>
        </w:tc>
        <w:tc>
          <w:tcPr>
            <w:tcW w:w="3560" w:type="dxa"/>
            <w:vAlign w:val="bottom"/>
            <w:gridSpan w:val="11"/>
            <w:shd w:val="clear" w:color="auto" w:fill="CCEEFF"/>
          </w:tcPr>
          <w:p>
            <w:pPr>
              <w:spacing w:after="0"/>
              <w:rPr>
                <w:sz w:val="20"/>
                <w:szCs w:val="20"/>
                <w:color w:val="auto"/>
              </w:rPr>
            </w:pPr>
            <w:r>
              <w:rPr>
                <w:rFonts w:ascii="Arial" w:cs="Arial" w:eastAsia="Arial" w:hAnsi="Arial"/>
                <w:sz w:val="14"/>
                <w:szCs w:val="14"/>
                <w:color w:val="auto"/>
              </w:rPr>
              <w:t>Common shares</w:t>
            </w:r>
          </w:p>
        </w:tc>
        <w:tc>
          <w:tcPr>
            <w:tcW w:w="120" w:type="dxa"/>
            <w:vAlign w:val="bottom"/>
            <w:shd w:val="clear" w:color="auto" w:fill="CCEEFF"/>
          </w:tcPr>
          <w:p>
            <w:pPr>
              <w:spacing w:after="0"/>
              <w:rPr>
                <w:sz w:val="16"/>
                <w:szCs w:val="16"/>
                <w:color w:val="auto"/>
              </w:rPr>
            </w:pPr>
          </w:p>
        </w:tc>
        <w:tc>
          <w:tcPr>
            <w:tcW w:w="1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7/20/2011</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770,934</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179"/>
        </w:trPr>
        <w:tc>
          <w:tcPr>
            <w:tcW w:w="20" w:type="dxa"/>
            <w:vAlign w:val="bottom"/>
            <w:tcBorders>
              <w:bottom w:val="single" w:sz="8" w:color="CCEEFF"/>
            </w:tcBorders>
          </w:tcPr>
          <w:p>
            <w:pPr>
              <w:spacing w:after="0"/>
              <w:rPr>
                <w:sz w:val="15"/>
                <w:szCs w:val="15"/>
                <w:color w:val="auto"/>
              </w:rPr>
            </w:pPr>
          </w:p>
        </w:tc>
        <w:tc>
          <w:tcPr>
            <w:tcW w:w="3560" w:type="dxa"/>
            <w:vAlign w:val="bottom"/>
            <w:tcBorders>
              <w:bottom w:val="single" w:sz="8" w:color="CCEEFF"/>
            </w:tcBorders>
            <w:gridSpan w:val="11"/>
          </w:tcPr>
          <w:p>
            <w:pPr>
              <w:spacing w:after="0"/>
              <w:rPr>
                <w:sz w:val="20"/>
                <w:szCs w:val="20"/>
                <w:color w:val="auto"/>
              </w:rPr>
            </w:pPr>
            <w:r>
              <w:rPr>
                <w:rFonts w:ascii="Arial" w:cs="Arial" w:eastAsia="Arial" w:hAnsi="Arial"/>
                <w:sz w:val="14"/>
                <w:szCs w:val="14"/>
                <w:color w:val="auto"/>
              </w:rPr>
              <w:t>Total</w:t>
            </w:r>
          </w:p>
        </w:tc>
        <w:tc>
          <w:tcPr>
            <w:tcW w:w="120" w:type="dxa"/>
            <w:vAlign w:val="bottom"/>
            <w:tcBorders>
              <w:bottom w:val="single" w:sz="8" w:color="CCEEFF"/>
            </w:tcBorders>
          </w:tcPr>
          <w:p>
            <w:pPr>
              <w:spacing w:after="0"/>
              <w:rPr>
                <w:sz w:val="15"/>
                <w:szCs w:val="15"/>
                <w:color w:val="auto"/>
              </w:rPr>
            </w:pPr>
          </w:p>
        </w:tc>
        <w:tc>
          <w:tcPr>
            <w:tcW w:w="196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98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84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5"/>
                <w:szCs w:val="15"/>
                <w:color w:val="auto"/>
              </w:rPr>
            </w:pPr>
          </w:p>
        </w:tc>
        <w:tc>
          <w:tcPr>
            <w:tcW w:w="9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132"/>
        </w:trPr>
        <w:tc>
          <w:tcPr>
            <w:tcW w:w="20" w:type="dxa"/>
            <w:vAlign w:val="bottom"/>
            <w:shd w:val="clear" w:color="auto" w:fill="CCEEFF"/>
          </w:tcPr>
          <w:p>
            <w:pPr>
              <w:spacing w:after="0"/>
              <w:rPr>
                <w:sz w:val="11"/>
                <w:szCs w:val="11"/>
                <w:color w:val="auto"/>
              </w:rPr>
            </w:pPr>
          </w:p>
        </w:tc>
        <w:tc>
          <w:tcPr>
            <w:tcW w:w="3560" w:type="dxa"/>
            <w:vAlign w:val="bottom"/>
            <w:gridSpan w:val="11"/>
            <w:shd w:val="clear" w:color="auto" w:fill="CCEEFF"/>
          </w:tcPr>
          <w:p>
            <w:pPr>
              <w:spacing w:after="0" w:line="132" w:lineRule="exact"/>
              <w:rPr>
                <w:sz w:val="20"/>
                <w:szCs w:val="20"/>
                <w:color w:val="auto"/>
              </w:rPr>
            </w:pPr>
            <w:r>
              <w:rPr>
                <w:rFonts w:ascii="Arial" w:cs="Arial" w:eastAsia="Arial" w:hAnsi="Arial"/>
                <w:sz w:val="12"/>
                <w:szCs w:val="12"/>
                <w:b w:val="1"/>
                <w:bCs w:val="1"/>
                <w:color w:val="auto"/>
              </w:rPr>
              <w:t>Kinetiq Holdings, LLC</w:t>
            </w:r>
            <w:r>
              <w:rPr>
                <w:rFonts w:ascii="Arial" w:cs="Arial" w:eastAsia="Arial" w:hAnsi="Arial"/>
                <w:sz w:val="15"/>
                <w:szCs w:val="15"/>
                <w:color w:val="auto"/>
                <w:vertAlign w:val="superscript"/>
              </w:rPr>
              <w:t>(14)</w:t>
            </w:r>
          </w:p>
        </w:tc>
        <w:tc>
          <w:tcPr>
            <w:tcW w:w="120" w:type="dxa"/>
            <w:vAlign w:val="bottom"/>
            <w:shd w:val="clear" w:color="auto" w:fill="CCEEFF"/>
          </w:tcPr>
          <w:p>
            <w:pPr>
              <w:spacing w:after="0"/>
              <w:rPr>
                <w:sz w:val="11"/>
                <w:szCs w:val="11"/>
                <w:color w:val="auto"/>
              </w:rPr>
            </w:pPr>
          </w:p>
        </w:tc>
        <w:tc>
          <w:tcPr>
            <w:tcW w:w="2060" w:type="dxa"/>
            <w:vAlign w:val="bottom"/>
            <w:gridSpan w:val="2"/>
            <w:shd w:val="clear" w:color="auto" w:fill="CCEEFF"/>
          </w:tcPr>
          <w:p>
            <w:pPr>
              <w:jc w:val="center"/>
              <w:ind w:right="100"/>
              <w:spacing w:after="0" w:line="132" w:lineRule="exact"/>
              <w:rPr>
                <w:sz w:val="20"/>
                <w:szCs w:val="20"/>
                <w:color w:val="auto"/>
              </w:rPr>
            </w:pPr>
            <w:r>
              <w:rPr>
                <w:rFonts w:ascii="Arial" w:cs="Arial" w:eastAsia="Arial" w:hAnsi="Arial"/>
                <w:sz w:val="14"/>
                <w:szCs w:val="14"/>
                <w:color w:val="auto"/>
                <w:w w:val="93"/>
              </w:rPr>
              <w:t>Philadelphia, PA</w:t>
            </w:r>
          </w:p>
        </w:tc>
        <w:tc>
          <w:tcPr>
            <w:tcW w:w="9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auto"/>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9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20" w:type="dxa"/>
            <w:vAlign w:val="bottom"/>
          </w:tcPr>
          <w:p>
            <w:pPr>
              <w:spacing w:after="0"/>
              <w:rPr>
                <w:sz w:val="16"/>
                <w:szCs w:val="16"/>
                <w:color w:val="auto"/>
              </w:rPr>
            </w:pPr>
          </w:p>
        </w:tc>
        <w:tc>
          <w:tcPr>
            <w:tcW w:w="3560" w:type="dxa"/>
            <w:vAlign w:val="bottom"/>
            <w:gridSpan w:val="11"/>
          </w:tcPr>
          <w:p>
            <w:pPr>
              <w:spacing w:after="0"/>
              <w:rPr>
                <w:sz w:val="20"/>
                <w:szCs w:val="20"/>
                <w:color w:val="auto"/>
              </w:rPr>
            </w:pPr>
            <w:r>
              <w:rPr>
                <w:rFonts w:ascii="Arial" w:cs="Arial" w:eastAsia="Arial" w:hAnsi="Arial"/>
                <w:sz w:val="14"/>
                <w:szCs w:val="14"/>
                <w:color w:val="auto"/>
              </w:rPr>
              <w:t>Common shares, Class A</w:t>
            </w:r>
          </w:p>
        </w:tc>
        <w:tc>
          <w:tcPr>
            <w:tcW w:w="120" w:type="dxa"/>
            <w:vAlign w:val="bottom"/>
          </w:tcPr>
          <w:p>
            <w:pPr>
              <w:spacing w:after="0"/>
              <w:rPr>
                <w:sz w:val="16"/>
                <w:szCs w:val="16"/>
                <w:color w:val="auto"/>
              </w:rPr>
            </w:pPr>
          </w:p>
        </w:tc>
        <w:tc>
          <w:tcPr>
            <w:tcW w:w="2060" w:type="dxa"/>
            <w:vAlign w:val="bottom"/>
            <w:gridSpan w:val="2"/>
          </w:tcPr>
          <w:p>
            <w:pPr>
              <w:jc w:val="center"/>
              <w:ind w:right="120"/>
              <w:spacing w:after="0"/>
              <w:rPr>
                <w:sz w:val="20"/>
                <w:szCs w:val="20"/>
                <w:color w:val="auto"/>
              </w:rPr>
            </w:pPr>
            <w:r>
              <w:rPr>
                <w:rFonts w:ascii="Arial" w:cs="Arial" w:eastAsia="Arial" w:hAnsi="Arial"/>
                <w:sz w:val="14"/>
                <w:szCs w:val="14"/>
                <w:color w:val="auto"/>
                <w:w w:val="95"/>
              </w:rPr>
              <w:t>Social Data Platform</w:t>
            </w:r>
          </w:p>
        </w:tc>
        <w:tc>
          <w:tcPr>
            <w:tcW w:w="980" w:type="dxa"/>
            <w:vAlign w:val="bottom"/>
          </w:tcPr>
          <w:p>
            <w:pPr>
              <w:jc w:val="center"/>
              <w:spacing w:after="0"/>
              <w:rPr>
                <w:sz w:val="20"/>
                <w:szCs w:val="20"/>
                <w:color w:val="auto"/>
              </w:rPr>
            </w:pPr>
            <w:r>
              <w:rPr>
                <w:rFonts w:ascii="Arial" w:cs="Arial" w:eastAsia="Arial" w:hAnsi="Arial"/>
                <w:sz w:val="14"/>
                <w:szCs w:val="14"/>
                <w:color w:val="auto"/>
                <w:w w:val="93"/>
              </w:rPr>
              <w:t>3/30/2012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112,374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192"/>
        </w:trPr>
        <w:tc>
          <w:tcPr>
            <w:tcW w:w="20" w:type="dxa"/>
            <w:vAlign w:val="bottom"/>
            <w:shd w:val="clear" w:color="auto" w:fill="CCEEFF"/>
          </w:tcPr>
          <w:p>
            <w:pPr>
              <w:spacing w:after="0"/>
              <w:rPr>
                <w:sz w:val="16"/>
                <w:szCs w:val="16"/>
                <w:color w:val="auto"/>
              </w:rPr>
            </w:pPr>
          </w:p>
        </w:tc>
        <w:tc>
          <w:tcPr>
            <w:tcW w:w="3560" w:type="dxa"/>
            <w:vAlign w:val="bottom"/>
            <w:gridSpan w:val="11"/>
            <w:shd w:val="clear" w:color="auto" w:fill="CCEEFF"/>
          </w:tcPr>
          <w:p>
            <w:pPr>
              <w:ind w:left="120"/>
              <w:spacing w:after="0"/>
              <w:rPr>
                <w:sz w:val="20"/>
                <w:szCs w:val="20"/>
                <w:color w:val="auto"/>
              </w:rPr>
            </w:pPr>
            <w:r>
              <w:rPr>
                <w:rFonts w:ascii="Arial" w:cs="Arial" w:eastAsia="Arial" w:hAnsi="Arial"/>
                <w:sz w:val="14"/>
                <w:szCs w:val="14"/>
                <w:b w:val="1"/>
                <w:bCs w:val="1"/>
                <w:color w:val="auto"/>
              </w:rPr>
              <w:t>Total Non-controlled/Non-affiliate</w:t>
            </w:r>
          </w:p>
        </w:tc>
        <w:tc>
          <w:tcPr>
            <w:tcW w:w="120" w:type="dxa"/>
            <w:vAlign w:val="bottom"/>
            <w:shd w:val="clear" w:color="auto" w:fill="CCEEFF"/>
          </w:tcPr>
          <w:p>
            <w:pPr>
              <w:spacing w:after="0"/>
              <w:rPr>
                <w:sz w:val="16"/>
                <w:szCs w:val="16"/>
                <w:color w:val="auto"/>
              </w:rPr>
            </w:pPr>
          </w:p>
        </w:tc>
        <w:tc>
          <w:tcPr>
            <w:tcW w:w="1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w w:val="76"/>
              </w:rPr>
              <w:t>$</w:t>
            </w: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105,339,169</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249,804,803</w:t>
            </w:r>
          </w:p>
        </w:tc>
        <w:tc>
          <w:tcPr>
            <w:tcW w:w="1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82.83 %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3560" w:type="dxa"/>
            <w:vAlign w:val="bottom"/>
            <w:gridSpan w:val="11"/>
            <w:shd w:val="clear" w:color="auto" w:fill="CCEEFF"/>
          </w:tcPr>
          <w:p>
            <w:pPr>
              <w:spacing w:after="0" w:line="189" w:lineRule="exact"/>
              <w:rPr>
                <w:sz w:val="20"/>
                <w:szCs w:val="20"/>
                <w:color w:val="auto"/>
              </w:rPr>
            </w:pPr>
            <w:r>
              <w:rPr>
                <w:rFonts w:ascii="Arial" w:cs="Arial" w:eastAsia="Arial" w:hAnsi="Arial"/>
                <w:sz w:val="14"/>
                <w:szCs w:val="14"/>
                <w:b w:val="1"/>
                <w:bCs w:val="1"/>
                <w:color w:val="auto"/>
              </w:rPr>
              <w:t>NON-CONTROLLED/AFFILIATE</w:t>
            </w:r>
            <w:r>
              <w:rPr>
                <w:rFonts w:ascii="Arial" w:cs="Arial" w:eastAsia="Arial" w:hAnsi="Arial"/>
                <w:sz w:val="18"/>
                <w:szCs w:val="18"/>
                <w:color w:val="auto"/>
                <w:vertAlign w:val="superscript"/>
              </w:rPr>
              <w:t>(1)</w:t>
            </w:r>
          </w:p>
        </w:tc>
        <w:tc>
          <w:tcPr>
            <w:tcW w:w="120" w:type="dxa"/>
            <w:vAlign w:val="bottom"/>
            <w:shd w:val="clear" w:color="auto" w:fill="CCEEFF"/>
          </w:tcPr>
          <w:p>
            <w:pPr>
              <w:spacing w:after="0"/>
              <w:rPr>
                <w:sz w:val="16"/>
                <w:szCs w:val="16"/>
                <w:color w:val="auto"/>
              </w:rPr>
            </w:pPr>
          </w:p>
        </w:tc>
        <w:tc>
          <w:tcPr>
            <w:tcW w:w="1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560" w:type="dxa"/>
            <w:vAlign w:val="bottom"/>
            <w:gridSpan w:val="11"/>
          </w:tcPr>
          <w:p>
            <w:pPr>
              <w:spacing w:after="0" w:line="149" w:lineRule="exact"/>
              <w:rPr>
                <w:sz w:val="20"/>
                <w:szCs w:val="20"/>
                <w:color w:val="auto"/>
              </w:rPr>
            </w:pPr>
            <w:r>
              <w:rPr>
                <w:rFonts w:ascii="Arial" w:cs="Arial" w:eastAsia="Arial" w:hAnsi="Arial"/>
                <w:sz w:val="14"/>
                <w:szCs w:val="14"/>
                <w:b w:val="1"/>
                <w:bCs w:val="1"/>
                <w:color w:val="auto"/>
              </w:rPr>
              <w:t>Ozy Media, Inc.</w:t>
            </w:r>
          </w:p>
        </w:tc>
        <w:tc>
          <w:tcPr>
            <w:tcW w:w="120" w:type="dxa"/>
            <w:vAlign w:val="bottom"/>
          </w:tcPr>
          <w:p>
            <w:pPr>
              <w:spacing w:after="0"/>
              <w:rPr>
                <w:sz w:val="12"/>
                <w:szCs w:val="12"/>
                <w:color w:val="auto"/>
              </w:rPr>
            </w:pPr>
          </w:p>
        </w:tc>
        <w:tc>
          <w:tcPr>
            <w:tcW w:w="206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7"/>
              </w:rPr>
              <w:t>Mountain View, CA</w:t>
            </w: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3560" w:type="dxa"/>
            <w:vAlign w:val="bottom"/>
            <w:gridSpan w:val="11"/>
            <w:shd w:val="clear" w:color="auto" w:fill="CCEEFF"/>
          </w:tcPr>
          <w:p>
            <w:pPr>
              <w:spacing w:after="0"/>
              <w:rPr>
                <w:sz w:val="20"/>
                <w:szCs w:val="20"/>
                <w:color w:val="auto"/>
              </w:rPr>
            </w:pPr>
            <w:r>
              <w:rPr>
                <w:rFonts w:ascii="Arial" w:cs="Arial" w:eastAsia="Arial" w:hAnsi="Arial"/>
                <w:sz w:val="14"/>
                <w:szCs w:val="14"/>
                <w:color w:val="auto"/>
              </w:rPr>
              <w:t>Preferred shares, Series C-2 6%</w:t>
            </w:r>
          </w:p>
        </w:tc>
        <w:tc>
          <w:tcPr>
            <w:tcW w:w="120" w:type="dxa"/>
            <w:vAlign w:val="bottom"/>
            <w:shd w:val="clear" w:color="auto" w:fill="CCEEFF"/>
          </w:tcPr>
          <w:p>
            <w:pPr>
              <w:spacing w:after="0"/>
              <w:rPr>
                <w:sz w:val="16"/>
                <w:szCs w:val="16"/>
                <w:color w:val="auto"/>
              </w:rPr>
            </w:pPr>
          </w:p>
        </w:tc>
        <w:tc>
          <w:tcPr>
            <w:tcW w:w="206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7"/>
              </w:rPr>
              <w:t>Digital Media Platform</w:t>
            </w:r>
          </w:p>
        </w:tc>
        <w:tc>
          <w:tcPr>
            <w:tcW w:w="9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9/11/2019</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683,482</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2,414,178</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1,865,547</w:t>
            </w: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0.62</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560" w:type="dxa"/>
            <w:vAlign w:val="bottom"/>
            <w:gridSpan w:val="11"/>
          </w:tcPr>
          <w:p>
            <w:pPr>
              <w:spacing w:after="0" w:line="135" w:lineRule="exact"/>
              <w:rPr>
                <w:sz w:val="20"/>
                <w:szCs w:val="20"/>
                <w:color w:val="auto"/>
              </w:rPr>
            </w:pPr>
            <w:r>
              <w:rPr>
                <w:rFonts w:ascii="Arial" w:cs="Arial" w:eastAsia="Arial" w:hAnsi="Arial"/>
                <w:sz w:val="14"/>
                <w:szCs w:val="14"/>
                <w:color w:val="auto"/>
              </w:rPr>
              <w:t>Common Warrants, Strike Price $0.01, Expiration Date</w:t>
            </w:r>
          </w:p>
        </w:tc>
        <w:tc>
          <w:tcPr>
            <w:tcW w:w="120" w:type="dxa"/>
            <w:vAlign w:val="bottom"/>
          </w:tcPr>
          <w:p>
            <w:pPr>
              <w:spacing w:after="0"/>
              <w:rPr>
                <w:sz w:val="11"/>
                <w:szCs w:val="11"/>
                <w:color w:val="auto"/>
              </w:rPr>
            </w:pPr>
          </w:p>
        </w:tc>
        <w:tc>
          <w:tcPr>
            <w:tcW w:w="1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vMerge w:val="restart"/>
          </w:tcPr>
          <w:p>
            <w:pPr>
              <w:jc w:val="center"/>
              <w:spacing w:after="0"/>
              <w:rPr>
                <w:sz w:val="20"/>
                <w:szCs w:val="20"/>
                <w:color w:val="auto"/>
              </w:rPr>
            </w:pPr>
            <w:r>
              <w:rPr>
                <w:rFonts w:ascii="Arial" w:cs="Arial" w:eastAsia="Arial" w:hAnsi="Arial"/>
                <w:sz w:val="14"/>
                <w:szCs w:val="14"/>
                <w:color w:val="auto"/>
                <w:w w:val="95"/>
              </w:rPr>
              <w:t>4/9/2018</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vMerge w:val="restart"/>
          </w:tcPr>
          <w:p>
            <w:pPr>
              <w:jc w:val="right"/>
              <w:ind w:right="8"/>
              <w:spacing w:after="0"/>
              <w:rPr>
                <w:sz w:val="20"/>
                <w:szCs w:val="20"/>
                <w:color w:val="auto"/>
              </w:rPr>
            </w:pPr>
            <w:r>
              <w:rPr>
                <w:rFonts w:ascii="Arial" w:cs="Arial" w:eastAsia="Arial" w:hAnsi="Arial"/>
                <w:sz w:val="14"/>
                <w:szCs w:val="14"/>
                <w:color w:val="auto"/>
              </w:rPr>
              <w:t>295,565</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vMerge w:val="restart"/>
          </w:tcPr>
          <w:p>
            <w:pPr>
              <w:jc w:val="right"/>
              <w:ind w:right="8"/>
              <w:spacing w:after="0"/>
              <w:rPr>
                <w:sz w:val="20"/>
                <w:szCs w:val="20"/>
                <w:color w:val="auto"/>
              </w:rPr>
            </w:pPr>
            <w:r>
              <w:rPr>
                <w:rFonts w:ascii="Arial" w:cs="Arial" w:eastAsia="Arial" w:hAnsi="Arial"/>
                <w:sz w:val="14"/>
                <w:szCs w:val="14"/>
                <w:color w:val="auto"/>
              </w:rPr>
              <w:t>30,647</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762,558</w:t>
            </w:r>
          </w:p>
        </w:tc>
        <w:tc>
          <w:tcPr>
            <w:tcW w:w="10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0.25</w:t>
            </w: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186"/>
        </w:trPr>
        <w:tc>
          <w:tcPr>
            <w:tcW w:w="720" w:type="dxa"/>
            <w:vAlign w:val="bottom"/>
            <w:gridSpan w:val="2"/>
          </w:tcPr>
          <w:p>
            <w:pPr>
              <w:ind w:left="20"/>
              <w:spacing w:after="0"/>
              <w:rPr>
                <w:sz w:val="20"/>
                <w:szCs w:val="20"/>
                <w:color w:val="auto"/>
              </w:rPr>
            </w:pPr>
            <w:r>
              <w:rPr>
                <w:rFonts w:ascii="Arial" w:cs="Arial" w:eastAsia="Arial" w:hAnsi="Arial"/>
                <w:sz w:val="14"/>
                <w:szCs w:val="14"/>
                <w:color w:val="auto"/>
              </w:rPr>
              <w:t>4/9/2028</w:t>
            </w: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shd w:val="clear" w:color="auto" w:fill="CCEEFF"/>
          </w:tcPr>
          <w:p>
            <w:pPr>
              <w:spacing w:after="0"/>
              <w:rPr>
                <w:sz w:val="16"/>
                <w:szCs w:val="16"/>
                <w:color w:val="auto"/>
              </w:rPr>
            </w:pPr>
          </w:p>
        </w:tc>
        <w:tc>
          <w:tcPr>
            <w:tcW w:w="3560" w:type="dxa"/>
            <w:vAlign w:val="bottom"/>
            <w:gridSpan w:val="11"/>
            <w:shd w:val="clear" w:color="auto" w:fill="CCEEFF"/>
          </w:tcPr>
          <w:p>
            <w:pPr>
              <w:spacing w:after="0"/>
              <w:rPr>
                <w:sz w:val="20"/>
                <w:szCs w:val="20"/>
                <w:color w:val="auto"/>
              </w:rPr>
            </w:pPr>
            <w:r>
              <w:rPr>
                <w:rFonts w:ascii="Arial" w:cs="Arial" w:eastAsia="Arial" w:hAnsi="Arial"/>
                <w:sz w:val="14"/>
                <w:szCs w:val="14"/>
                <w:color w:val="auto"/>
              </w:rPr>
              <w:t>Preferred shares, Series B 6%</w:t>
            </w:r>
          </w:p>
        </w:tc>
        <w:tc>
          <w:tcPr>
            <w:tcW w:w="120" w:type="dxa"/>
            <w:vAlign w:val="bottom"/>
            <w:shd w:val="clear" w:color="auto" w:fill="CCEEFF"/>
          </w:tcPr>
          <w:p>
            <w:pPr>
              <w:spacing w:after="0"/>
              <w:rPr>
                <w:sz w:val="16"/>
                <w:szCs w:val="16"/>
                <w:color w:val="auto"/>
              </w:rPr>
            </w:pPr>
          </w:p>
        </w:tc>
        <w:tc>
          <w:tcPr>
            <w:tcW w:w="1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10/3/2014</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922,509</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4,999,999</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3,350,952</w:t>
            </w: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560" w:type="dxa"/>
            <w:vAlign w:val="bottom"/>
            <w:gridSpan w:val="11"/>
          </w:tcPr>
          <w:p>
            <w:pPr>
              <w:spacing w:after="0"/>
              <w:rPr>
                <w:sz w:val="20"/>
                <w:szCs w:val="20"/>
                <w:color w:val="auto"/>
              </w:rPr>
            </w:pPr>
            <w:r>
              <w:rPr>
                <w:rFonts w:ascii="Arial" w:cs="Arial" w:eastAsia="Arial" w:hAnsi="Arial"/>
                <w:sz w:val="14"/>
                <w:szCs w:val="14"/>
                <w:color w:val="auto"/>
              </w:rPr>
              <w:t>Preferred shares, Series A 6%</w:t>
            </w:r>
          </w:p>
        </w:tc>
        <w:tc>
          <w:tcPr>
            <w:tcW w:w="12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jc w:val="center"/>
              <w:spacing w:after="0"/>
              <w:rPr>
                <w:sz w:val="20"/>
                <w:szCs w:val="20"/>
                <w:color w:val="auto"/>
              </w:rPr>
            </w:pPr>
            <w:r>
              <w:rPr>
                <w:rFonts w:ascii="Arial" w:cs="Arial" w:eastAsia="Arial" w:hAnsi="Arial"/>
                <w:sz w:val="14"/>
                <w:szCs w:val="14"/>
                <w:color w:val="auto"/>
                <w:w w:val="94"/>
              </w:rPr>
              <w:t>12/11/2013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1,090,909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3,000,200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2,824,679</w:t>
            </w: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0.94</w:t>
            </w:r>
          </w:p>
        </w:tc>
        <w:tc>
          <w:tcPr>
            <w:tcW w:w="160" w:type="dxa"/>
            <w:vAlign w:val="bottom"/>
          </w:tcPr>
          <w:p>
            <w:pPr>
              <w:jc w:val="right"/>
              <w:spacing w:after="0"/>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206"/>
        </w:trPr>
        <w:tc>
          <w:tcPr>
            <w:tcW w:w="20" w:type="dxa"/>
            <w:vAlign w:val="bottom"/>
            <w:shd w:val="clear" w:color="auto" w:fill="CCEEFF"/>
          </w:tcPr>
          <w:p>
            <w:pPr>
              <w:spacing w:after="0"/>
              <w:rPr>
                <w:sz w:val="17"/>
                <w:szCs w:val="17"/>
                <w:color w:val="auto"/>
              </w:rPr>
            </w:pPr>
          </w:p>
        </w:tc>
        <w:tc>
          <w:tcPr>
            <w:tcW w:w="3560" w:type="dxa"/>
            <w:vAlign w:val="bottom"/>
            <w:gridSpan w:val="11"/>
            <w:shd w:val="clear" w:color="auto" w:fill="CCEEFF"/>
          </w:tcPr>
          <w:p>
            <w:pPr>
              <w:spacing w:after="0"/>
              <w:rPr>
                <w:sz w:val="20"/>
                <w:szCs w:val="20"/>
                <w:color w:val="auto"/>
              </w:rPr>
            </w:pPr>
            <w:r>
              <w:rPr>
                <w:rFonts w:ascii="Arial" w:cs="Arial" w:eastAsia="Arial" w:hAnsi="Arial"/>
                <w:sz w:val="14"/>
                <w:szCs w:val="14"/>
                <w:color w:val="auto"/>
              </w:rPr>
              <w:t>Preferred shares, Series Seed 6%</w:t>
            </w:r>
          </w:p>
        </w:tc>
        <w:tc>
          <w:tcPr>
            <w:tcW w:w="120" w:type="dxa"/>
            <w:vAlign w:val="bottom"/>
            <w:shd w:val="clear" w:color="auto" w:fill="CCEEFF"/>
          </w:tcPr>
          <w:p>
            <w:pPr>
              <w:spacing w:after="0"/>
              <w:rPr>
                <w:sz w:val="17"/>
                <w:szCs w:val="17"/>
                <w:color w:val="auto"/>
              </w:rPr>
            </w:pPr>
          </w:p>
        </w:tc>
        <w:tc>
          <w:tcPr>
            <w:tcW w:w="1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11/2/2012</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500,000</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500,000</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1,294,645</w:t>
            </w:r>
          </w:p>
        </w:tc>
        <w:tc>
          <w:tcPr>
            <w:tcW w:w="100" w:type="dxa"/>
            <w:vAlign w:val="bottom"/>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0.43</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179"/>
        </w:trPr>
        <w:tc>
          <w:tcPr>
            <w:tcW w:w="20" w:type="dxa"/>
            <w:vAlign w:val="bottom"/>
            <w:tcBorders>
              <w:bottom w:val="single" w:sz="8" w:color="CCEEFF"/>
            </w:tcBorders>
          </w:tcPr>
          <w:p>
            <w:pPr>
              <w:spacing w:after="0"/>
              <w:rPr>
                <w:sz w:val="15"/>
                <w:szCs w:val="15"/>
                <w:color w:val="auto"/>
              </w:rPr>
            </w:pPr>
          </w:p>
        </w:tc>
        <w:tc>
          <w:tcPr>
            <w:tcW w:w="3560" w:type="dxa"/>
            <w:vAlign w:val="bottom"/>
            <w:tcBorders>
              <w:bottom w:val="single" w:sz="8" w:color="CCEEFF"/>
            </w:tcBorders>
            <w:gridSpan w:val="11"/>
          </w:tcPr>
          <w:p>
            <w:pPr>
              <w:ind w:left="120"/>
              <w:spacing w:after="0"/>
              <w:rPr>
                <w:sz w:val="20"/>
                <w:szCs w:val="20"/>
                <w:color w:val="auto"/>
              </w:rPr>
            </w:pPr>
            <w:r>
              <w:rPr>
                <w:rFonts w:ascii="Arial" w:cs="Arial" w:eastAsia="Arial" w:hAnsi="Arial"/>
                <w:sz w:val="14"/>
                <w:szCs w:val="14"/>
                <w:color w:val="auto"/>
              </w:rPr>
              <w:t>Total</w:t>
            </w:r>
          </w:p>
        </w:tc>
        <w:tc>
          <w:tcPr>
            <w:tcW w:w="120" w:type="dxa"/>
            <w:vAlign w:val="bottom"/>
            <w:tcBorders>
              <w:bottom w:val="single" w:sz="8" w:color="CCEEFF"/>
            </w:tcBorders>
          </w:tcPr>
          <w:p>
            <w:pPr>
              <w:spacing w:after="0"/>
              <w:rPr>
                <w:sz w:val="15"/>
                <w:szCs w:val="15"/>
                <w:color w:val="auto"/>
              </w:rPr>
            </w:pPr>
          </w:p>
        </w:tc>
        <w:tc>
          <w:tcPr>
            <w:tcW w:w="196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98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84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10,945,024</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10,098,381</w:t>
            </w:r>
          </w:p>
        </w:tc>
        <w:tc>
          <w:tcPr>
            <w:tcW w:w="100" w:type="dxa"/>
            <w:vAlign w:val="bottom"/>
            <w:tcBorders>
              <w:bottom w:val="single" w:sz="8" w:color="CCEEFF"/>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3.35</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166"/>
        </w:trPr>
        <w:tc>
          <w:tcPr>
            <w:tcW w:w="20" w:type="dxa"/>
            <w:vAlign w:val="bottom"/>
            <w:tcBorders>
              <w:bottom w:val="single" w:sz="8" w:color="CCEEFF"/>
            </w:tcBorders>
            <w:shd w:val="clear" w:color="auto" w:fill="CCEEFF"/>
          </w:tcPr>
          <w:p>
            <w:pPr>
              <w:spacing w:after="0"/>
              <w:rPr>
                <w:sz w:val="14"/>
                <w:szCs w:val="14"/>
                <w:color w:val="auto"/>
              </w:rPr>
            </w:pPr>
          </w:p>
        </w:tc>
        <w:tc>
          <w:tcPr>
            <w:tcW w:w="2020" w:type="dxa"/>
            <w:vAlign w:val="bottom"/>
            <w:tcBorders>
              <w:bottom w:val="single" w:sz="8" w:color="auto"/>
            </w:tcBorders>
            <w:gridSpan w:val="8"/>
            <w:shd w:val="clear" w:color="auto" w:fill="CCEEFF"/>
          </w:tcPr>
          <w:p>
            <w:pPr>
              <w:spacing w:after="0" w:line="145" w:lineRule="exact"/>
              <w:rPr>
                <w:sz w:val="20"/>
                <w:szCs w:val="20"/>
                <w:color w:val="auto"/>
              </w:rPr>
            </w:pPr>
            <w:r>
              <w:rPr>
                <w:rFonts w:ascii="Arial" w:cs="Arial" w:eastAsia="Arial" w:hAnsi="Arial"/>
                <w:sz w:val="14"/>
                <w:szCs w:val="14"/>
                <w:b w:val="1"/>
                <w:bCs w:val="1"/>
                <w:color w:val="auto"/>
                <w:w w:val="92"/>
              </w:rPr>
              <w:t>GreenAcreage Real Estate Corp.</w:t>
            </w:r>
          </w:p>
        </w:tc>
        <w:tc>
          <w:tcPr>
            <w:tcW w:w="1540" w:type="dxa"/>
            <w:vAlign w:val="bottom"/>
            <w:tcBorders>
              <w:bottom w:val="single" w:sz="8" w:color="CCEEFF"/>
            </w:tcBorders>
            <w:gridSpan w:val="3"/>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960" w:type="dxa"/>
            <w:vAlign w:val="bottom"/>
            <w:tcBorders>
              <w:bottom w:val="single" w:sz="8" w:color="CCEEFF"/>
            </w:tcBorders>
            <w:shd w:val="clear" w:color="auto" w:fill="CCEEFF"/>
          </w:tcPr>
          <w:p>
            <w:pPr>
              <w:jc w:val="center"/>
              <w:spacing w:after="0" w:line="145" w:lineRule="exact"/>
              <w:rPr>
                <w:sz w:val="20"/>
                <w:szCs w:val="20"/>
                <w:color w:val="auto"/>
              </w:rPr>
            </w:pPr>
            <w:r>
              <w:rPr>
                <w:rFonts w:ascii="Arial" w:cs="Arial" w:eastAsia="Arial" w:hAnsi="Arial"/>
                <w:sz w:val="14"/>
                <w:szCs w:val="14"/>
                <w:color w:val="auto"/>
                <w:w w:val="97"/>
              </w:rPr>
              <w:t>New York, NY</w:t>
            </w:r>
          </w:p>
        </w:tc>
        <w:tc>
          <w:tcPr>
            <w:tcW w:w="100" w:type="dxa"/>
            <w:vAlign w:val="bottom"/>
            <w:tcBorders>
              <w:bottom w:val="single" w:sz="8" w:color="CCEEFF"/>
            </w:tcBorders>
            <w:shd w:val="clear" w:color="auto" w:fill="CCEEFF"/>
          </w:tcPr>
          <w:p>
            <w:pPr>
              <w:spacing w:after="0"/>
              <w:rPr>
                <w:sz w:val="14"/>
                <w:szCs w:val="14"/>
                <w:color w:val="auto"/>
              </w:rPr>
            </w:pPr>
          </w:p>
        </w:tc>
        <w:tc>
          <w:tcPr>
            <w:tcW w:w="9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9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9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560" w:type="dxa"/>
            <w:vAlign w:val="bottom"/>
            <w:gridSpan w:val="11"/>
          </w:tcPr>
          <w:p>
            <w:pPr>
              <w:spacing w:after="0" w:line="189" w:lineRule="exact"/>
              <w:rPr>
                <w:sz w:val="20"/>
                <w:szCs w:val="20"/>
                <w:color w:val="auto"/>
              </w:rPr>
            </w:pPr>
            <w:r>
              <w:rPr>
                <w:rFonts w:ascii="Arial" w:cs="Arial" w:eastAsia="Arial" w:hAnsi="Arial"/>
                <w:sz w:val="14"/>
                <w:szCs w:val="14"/>
                <w:color w:val="auto"/>
              </w:rPr>
              <w:t>Common shares***</w:t>
            </w:r>
            <w:r>
              <w:rPr>
                <w:rFonts w:ascii="Arial" w:cs="Arial" w:eastAsia="Arial" w:hAnsi="Arial"/>
                <w:sz w:val="18"/>
                <w:szCs w:val="18"/>
                <w:color w:val="auto"/>
                <w:vertAlign w:val="superscript"/>
              </w:rPr>
              <w:t>(9)</w:t>
            </w:r>
          </w:p>
        </w:tc>
        <w:tc>
          <w:tcPr>
            <w:tcW w:w="120" w:type="dxa"/>
            <w:vAlign w:val="bottom"/>
          </w:tcPr>
          <w:p>
            <w:pPr>
              <w:spacing w:after="0"/>
              <w:rPr>
                <w:sz w:val="16"/>
                <w:szCs w:val="16"/>
                <w:color w:val="auto"/>
              </w:rPr>
            </w:pPr>
          </w:p>
        </w:tc>
        <w:tc>
          <w:tcPr>
            <w:tcW w:w="2060" w:type="dxa"/>
            <w:vAlign w:val="bottom"/>
            <w:gridSpan w:val="2"/>
          </w:tcPr>
          <w:p>
            <w:pPr>
              <w:jc w:val="center"/>
              <w:ind w:right="120"/>
              <w:spacing w:after="0"/>
              <w:rPr>
                <w:sz w:val="20"/>
                <w:szCs w:val="20"/>
                <w:color w:val="auto"/>
              </w:rPr>
            </w:pPr>
            <w:r>
              <w:rPr>
                <w:rFonts w:ascii="Arial" w:cs="Arial" w:eastAsia="Arial" w:hAnsi="Arial"/>
                <w:sz w:val="14"/>
                <w:szCs w:val="14"/>
                <w:color w:val="auto"/>
                <w:w w:val="94"/>
              </w:rPr>
              <w:t>Cannabis REIT</w:t>
            </w:r>
          </w:p>
        </w:tc>
        <w:tc>
          <w:tcPr>
            <w:tcW w:w="980" w:type="dxa"/>
            <w:vAlign w:val="bottom"/>
          </w:tcPr>
          <w:p>
            <w:pPr>
              <w:jc w:val="center"/>
              <w:spacing w:after="0"/>
              <w:rPr>
                <w:sz w:val="20"/>
                <w:szCs w:val="20"/>
                <w:color w:val="auto"/>
              </w:rPr>
            </w:pPr>
            <w:r>
              <w:rPr>
                <w:rFonts w:ascii="Arial" w:cs="Arial" w:eastAsia="Arial" w:hAnsi="Arial"/>
                <w:sz w:val="14"/>
                <w:szCs w:val="14"/>
                <w:color w:val="auto"/>
                <w:w w:val="93"/>
              </w:rPr>
              <w:t>8/12/2019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422,586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8,509,633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8,937,690</w:t>
            </w: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2.96</w:t>
            </w:r>
          </w:p>
        </w:tc>
        <w:tc>
          <w:tcPr>
            <w:tcW w:w="160" w:type="dxa"/>
            <w:vAlign w:val="bottom"/>
          </w:tcPr>
          <w:p>
            <w:pPr>
              <w:jc w:val="right"/>
              <w:spacing w:after="0"/>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148"/>
        </w:trPr>
        <w:tc>
          <w:tcPr>
            <w:tcW w:w="20" w:type="dxa"/>
            <w:vAlign w:val="bottom"/>
            <w:shd w:val="clear" w:color="auto" w:fill="CCEEFF"/>
          </w:tcPr>
          <w:p>
            <w:pPr>
              <w:spacing w:after="0"/>
              <w:rPr>
                <w:sz w:val="12"/>
                <w:szCs w:val="12"/>
                <w:color w:val="auto"/>
              </w:rPr>
            </w:pPr>
          </w:p>
        </w:tc>
        <w:tc>
          <w:tcPr>
            <w:tcW w:w="3560" w:type="dxa"/>
            <w:vAlign w:val="bottom"/>
            <w:gridSpan w:val="11"/>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StormWind, LLC</w:t>
            </w:r>
            <w:r>
              <w:rPr>
                <w:rFonts w:ascii="Arial" w:cs="Arial" w:eastAsia="Arial" w:hAnsi="Arial"/>
                <w:sz w:val="17"/>
                <w:szCs w:val="17"/>
                <w:color w:val="auto"/>
                <w:vertAlign w:val="superscript"/>
              </w:rPr>
              <w:t>(5)</w:t>
            </w:r>
          </w:p>
        </w:tc>
        <w:tc>
          <w:tcPr>
            <w:tcW w:w="120" w:type="dxa"/>
            <w:vAlign w:val="bottom"/>
            <w:shd w:val="clear" w:color="auto" w:fill="CCEEFF"/>
          </w:tcPr>
          <w:p>
            <w:pPr>
              <w:spacing w:after="0"/>
              <w:rPr>
                <w:sz w:val="12"/>
                <w:szCs w:val="12"/>
                <w:color w:val="auto"/>
              </w:rPr>
            </w:pPr>
          </w:p>
        </w:tc>
        <w:tc>
          <w:tcPr>
            <w:tcW w:w="2060" w:type="dxa"/>
            <w:vAlign w:val="bottom"/>
            <w:gridSpan w:val="2"/>
            <w:shd w:val="clear" w:color="auto" w:fill="CCEEFF"/>
          </w:tcPr>
          <w:p>
            <w:pPr>
              <w:jc w:val="center"/>
              <w:ind w:right="120"/>
              <w:spacing w:after="0" w:line="149" w:lineRule="exact"/>
              <w:rPr>
                <w:sz w:val="20"/>
                <w:szCs w:val="20"/>
                <w:color w:val="auto"/>
              </w:rPr>
            </w:pPr>
            <w:r>
              <w:rPr>
                <w:rFonts w:ascii="Arial" w:cs="Arial" w:eastAsia="Arial" w:hAnsi="Arial"/>
                <w:sz w:val="14"/>
                <w:szCs w:val="14"/>
                <w:color w:val="auto"/>
                <w:w w:val="94"/>
              </w:rPr>
              <w:t>Scottsdale, AZ</w:t>
            </w: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auto"/>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9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20" w:type="dxa"/>
            <w:vAlign w:val="bottom"/>
          </w:tcPr>
          <w:p>
            <w:pPr>
              <w:spacing w:after="0"/>
              <w:rPr>
                <w:sz w:val="16"/>
                <w:szCs w:val="16"/>
                <w:color w:val="auto"/>
              </w:rPr>
            </w:pPr>
          </w:p>
        </w:tc>
        <w:tc>
          <w:tcPr>
            <w:tcW w:w="3560" w:type="dxa"/>
            <w:vAlign w:val="bottom"/>
            <w:gridSpan w:val="11"/>
          </w:tcPr>
          <w:p>
            <w:pPr>
              <w:spacing w:after="0"/>
              <w:rPr>
                <w:sz w:val="20"/>
                <w:szCs w:val="20"/>
                <w:color w:val="auto"/>
              </w:rPr>
            </w:pPr>
            <w:r>
              <w:rPr>
                <w:rFonts w:ascii="Arial" w:cs="Arial" w:eastAsia="Arial" w:hAnsi="Arial"/>
                <w:sz w:val="14"/>
                <w:szCs w:val="14"/>
                <w:color w:val="auto"/>
              </w:rPr>
              <w:t>Preferred shares, Series D 8%</w:t>
            </w:r>
          </w:p>
        </w:tc>
        <w:tc>
          <w:tcPr>
            <w:tcW w:w="120" w:type="dxa"/>
            <w:vAlign w:val="bottom"/>
          </w:tcPr>
          <w:p>
            <w:pPr>
              <w:spacing w:after="0"/>
              <w:rPr>
                <w:sz w:val="16"/>
                <w:szCs w:val="16"/>
                <w:color w:val="auto"/>
              </w:rPr>
            </w:pPr>
          </w:p>
        </w:tc>
        <w:tc>
          <w:tcPr>
            <w:tcW w:w="2060" w:type="dxa"/>
            <w:vAlign w:val="bottom"/>
            <w:gridSpan w:val="2"/>
          </w:tcPr>
          <w:p>
            <w:pPr>
              <w:jc w:val="center"/>
              <w:ind w:right="120"/>
              <w:spacing w:after="0"/>
              <w:rPr>
                <w:sz w:val="20"/>
                <w:szCs w:val="20"/>
                <w:color w:val="auto"/>
              </w:rPr>
            </w:pPr>
            <w:r>
              <w:rPr>
                <w:rFonts w:ascii="Arial" w:cs="Arial" w:eastAsia="Arial" w:hAnsi="Arial"/>
                <w:sz w:val="14"/>
                <w:szCs w:val="14"/>
                <w:color w:val="auto"/>
                <w:w w:val="95"/>
              </w:rPr>
              <w:t>Interactive Learning</w:t>
            </w:r>
          </w:p>
        </w:tc>
        <w:tc>
          <w:tcPr>
            <w:tcW w:w="980" w:type="dxa"/>
            <w:vAlign w:val="bottom"/>
          </w:tcPr>
          <w:p>
            <w:pPr>
              <w:jc w:val="center"/>
              <w:spacing w:after="0"/>
              <w:rPr>
                <w:sz w:val="20"/>
                <w:szCs w:val="20"/>
                <w:color w:val="auto"/>
              </w:rPr>
            </w:pPr>
            <w:r>
              <w:rPr>
                <w:rFonts w:ascii="Arial" w:cs="Arial" w:eastAsia="Arial" w:hAnsi="Arial"/>
                <w:sz w:val="14"/>
                <w:szCs w:val="14"/>
                <w:color w:val="auto"/>
                <w:w w:val="94"/>
              </w:rPr>
              <w:t>11/26/2019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329,337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257,267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440,515</w:t>
            </w: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0.15</w:t>
            </w:r>
          </w:p>
        </w:tc>
        <w:tc>
          <w:tcPr>
            <w:tcW w:w="160" w:type="dxa"/>
            <w:vAlign w:val="bottom"/>
          </w:tcPr>
          <w:p>
            <w:pPr>
              <w:jc w:val="right"/>
              <w:spacing w:after="0"/>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192"/>
        </w:trPr>
        <w:tc>
          <w:tcPr>
            <w:tcW w:w="20" w:type="dxa"/>
            <w:vAlign w:val="bottom"/>
            <w:shd w:val="clear" w:color="auto" w:fill="CCEEFF"/>
          </w:tcPr>
          <w:p>
            <w:pPr>
              <w:spacing w:after="0"/>
              <w:rPr>
                <w:sz w:val="16"/>
                <w:szCs w:val="16"/>
                <w:color w:val="auto"/>
              </w:rPr>
            </w:pPr>
          </w:p>
        </w:tc>
        <w:tc>
          <w:tcPr>
            <w:tcW w:w="3560" w:type="dxa"/>
            <w:vAlign w:val="bottom"/>
            <w:gridSpan w:val="11"/>
            <w:shd w:val="clear" w:color="auto" w:fill="CCEEFF"/>
          </w:tcPr>
          <w:p>
            <w:pPr>
              <w:spacing w:after="0"/>
              <w:rPr>
                <w:sz w:val="20"/>
                <w:szCs w:val="20"/>
                <w:color w:val="auto"/>
              </w:rPr>
            </w:pPr>
            <w:r>
              <w:rPr>
                <w:rFonts w:ascii="Arial" w:cs="Arial" w:eastAsia="Arial" w:hAnsi="Arial"/>
                <w:sz w:val="14"/>
                <w:szCs w:val="14"/>
                <w:color w:val="auto"/>
              </w:rPr>
              <w:t>Preferred shares, Series C 8%</w:t>
            </w:r>
          </w:p>
        </w:tc>
        <w:tc>
          <w:tcPr>
            <w:tcW w:w="120" w:type="dxa"/>
            <w:vAlign w:val="bottom"/>
            <w:shd w:val="clear" w:color="auto" w:fill="CCEEFF"/>
          </w:tcPr>
          <w:p>
            <w:pPr>
              <w:spacing w:after="0"/>
              <w:rPr>
                <w:sz w:val="16"/>
                <w:szCs w:val="16"/>
                <w:color w:val="auto"/>
              </w:rPr>
            </w:pPr>
          </w:p>
        </w:tc>
        <w:tc>
          <w:tcPr>
            <w:tcW w:w="1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1/7/2014</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2,779,134</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4,000,787</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4,804,218</w:t>
            </w: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1.59</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560" w:type="dxa"/>
            <w:vAlign w:val="bottom"/>
            <w:gridSpan w:val="11"/>
          </w:tcPr>
          <w:p>
            <w:pPr>
              <w:spacing w:after="0"/>
              <w:rPr>
                <w:sz w:val="20"/>
                <w:szCs w:val="20"/>
                <w:color w:val="auto"/>
              </w:rPr>
            </w:pPr>
            <w:r>
              <w:rPr>
                <w:rFonts w:ascii="Arial" w:cs="Arial" w:eastAsia="Arial" w:hAnsi="Arial"/>
                <w:sz w:val="14"/>
                <w:szCs w:val="14"/>
                <w:color w:val="auto"/>
              </w:rPr>
              <w:t>Preferred shares, Series B 8%</w:t>
            </w:r>
          </w:p>
        </w:tc>
        <w:tc>
          <w:tcPr>
            <w:tcW w:w="12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jc w:val="center"/>
              <w:spacing w:after="0"/>
              <w:rPr>
                <w:sz w:val="20"/>
                <w:szCs w:val="20"/>
                <w:color w:val="auto"/>
              </w:rPr>
            </w:pPr>
            <w:r>
              <w:rPr>
                <w:rFonts w:ascii="Arial" w:cs="Arial" w:eastAsia="Arial" w:hAnsi="Arial"/>
                <w:sz w:val="14"/>
                <w:szCs w:val="14"/>
                <w:color w:val="auto"/>
                <w:w w:val="94"/>
              </w:rPr>
              <w:t>12/16/2011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3,279,629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2,019,687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2,625,365</w:t>
            </w: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0.87</w:t>
            </w:r>
          </w:p>
        </w:tc>
        <w:tc>
          <w:tcPr>
            <w:tcW w:w="160" w:type="dxa"/>
            <w:vAlign w:val="bottom"/>
          </w:tcPr>
          <w:p>
            <w:pPr>
              <w:jc w:val="right"/>
              <w:spacing w:after="0"/>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192"/>
        </w:trPr>
        <w:tc>
          <w:tcPr>
            <w:tcW w:w="20" w:type="dxa"/>
            <w:vAlign w:val="bottom"/>
            <w:shd w:val="clear" w:color="auto" w:fill="CCEEFF"/>
          </w:tcPr>
          <w:p>
            <w:pPr>
              <w:spacing w:after="0"/>
              <w:rPr>
                <w:sz w:val="16"/>
                <w:szCs w:val="16"/>
                <w:color w:val="auto"/>
              </w:rPr>
            </w:pPr>
          </w:p>
        </w:tc>
        <w:tc>
          <w:tcPr>
            <w:tcW w:w="3560" w:type="dxa"/>
            <w:vAlign w:val="bottom"/>
            <w:gridSpan w:val="11"/>
            <w:shd w:val="clear" w:color="auto" w:fill="CCEEFF"/>
          </w:tcPr>
          <w:p>
            <w:pPr>
              <w:spacing w:after="0"/>
              <w:rPr>
                <w:sz w:val="20"/>
                <w:szCs w:val="20"/>
                <w:color w:val="auto"/>
              </w:rPr>
            </w:pPr>
            <w:r>
              <w:rPr>
                <w:rFonts w:ascii="Arial" w:cs="Arial" w:eastAsia="Arial" w:hAnsi="Arial"/>
                <w:sz w:val="14"/>
                <w:szCs w:val="14"/>
                <w:color w:val="auto"/>
              </w:rPr>
              <w:t>Preferred shares, Series A 8%</w:t>
            </w:r>
          </w:p>
        </w:tc>
        <w:tc>
          <w:tcPr>
            <w:tcW w:w="120" w:type="dxa"/>
            <w:vAlign w:val="bottom"/>
            <w:shd w:val="clear" w:color="auto" w:fill="CCEEFF"/>
          </w:tcPr>
          <w:p>
            <w:pPr>
              <w:spacing w:after="0"/>
              <w:rPr>
                <w:sz w:val="16"/>
                <w:szCs w:val="16"/>
                <w:color w:val="auto"/>
              </w:rPr>
            </w:pPr>
          </w:p>
        </w:tc>
        <w:tc>
          <w:tcPr>
            <w:tcW w:w="1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2/25/2014</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366,666</w:t>
            </w:r>
          </w:p>
        </w:tc>
        <w:tc>
          <w:tcPr>
            <w:tcW w:w="1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110,000</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88,248</w:t>
            </w:r>
          </w:p>
        </w:tc>
        <w:tc>
          <w:tcPr>
            <w:tcW w:w="100" w:type="dxa"/>
            <w:vAlign w:val="bottom"/>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0.03</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179"/>
        </w:trPr>
        <w:tc>
          <w:tcPr>
            <w:tcW w:w="20" w:type="dxa"/>
            <w:vAlign w:val="bottom"/>
            <w:tcBorders>
              <w:bottom w:val="single" w:sz="8" w:color="CCEEFF"/>
            </w:tcBorders>
          </w:tcPr>
          <w:p>
            <w:pPr>
              <w:spacing w:after="0"/>
              <w:rPr>
                <w:sz w:val="15"/>
                <w:szCs w:val="15"/>
                <w:color w:val="auto"/>
              </w:rPr>
            </w:pPr>
          </w:p>
        </w:tc>
        <w:tc>
          <w:tcPr>
            <w:tcW w:w="3560" w:type="dxa"/>
            <w:vAlign w:val="bottom"/>
            <w:tcBorders>
              <w:bottom w:val="single" w:sz="8" w:color="CCEEFF"/>
            </w:tcBorders>
            <w:gridSpan w:val="11"/>
          </w:tcPr>
          <w:p>
            <w:pPr>
              <w:ind w:left="120"/>
              <w:spacing w:after="0"/>
              <w:rPr>
                <w:sz w:val="20"/>
                <w:szCs w:val="20"/>
                <w:color w:val="auto"/>
              </w:rPr>
            </w:pPr>
            <w:r>
              <w:rPr>
                <w:rFonts w:ascii="Arial" w:cs="Arial" w:eastAsia="Arial" w:hAnsi="Arial"/>
                <w:sz w:val="14"/>
                <w:szCs w:val="14"/>
                <w:color w:val="auto"/>
              </w:rPr>
              <w:t>Total</w:t>
            </w:r>
          </w:p>
        </w:tc>
        <w:tc>
          <w:tcPr>
            <w:tcW w:w="120" w:type="dxa"/>
            <w:vAlign w:val="bottom"/>
            <w:tcBorders>
              <w:bottom w:val="single" w:sz="8" w:color="CCEEFF"/>
            </w:tcBorders>
          </w:tcPr>
          <w:p>
            <w:pPr>
              <w:spacing w:after="0"/>
              <w:rPr>
                <w:sz w:val="15"/>
                <w:szCs w:val="15"/>
                <w:color w:val="auto"/>
              </w:rPr>
            </w:pPr>
          </w:p>
        </w:tc>
        <w:tc>
          <w:tcPr>
            <w:tcW w:w="196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98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84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6,387,741</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7,958,346</w:t>
            </w:r>
          </w:p>
        </w:tc>
        <w:tc>
          <w:tcPr>
            <w:tcW w:w="100" w:type="dxa"/>
            <w:vAlign w:val="bottom"/>
            <w:tcBorders>
              <w:bottom w:val="single" w:sz="8" w:color="CCEEFF"/>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2.64</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166"/>
        </w:trPr>
        <w:tc>
          <w:tcPr>
            <w:tcW w:w="20" w:type="dxa"/>
            <w:vAlign w:val="bottom"/>
            <w:tcBorders>
              <w:bottom w:val="single" w:sz="8" w:color="CCEEFF"/>
            </w:tcBorders>
            <w:shd w:val="clear" w:color="auto" w:fill="CCEEFF"/>
          </w:tcPr>
          <w:p>
            <w:pPr>
              <w:spacing w:after="0"/>
              <w:rPr>
                <w:sz w:val="14"/>
                <w:szCs w:val="14"/>
                <w:color w:val="auto"/>
              </w:rPr>
            </w:pPr>
          </w:p>
        </w:tc>
        <w:tc>
          <w:tcPr>
            <w:tcW w:w="2280" w:type="dxa"/>
            <w:vAlign w:val="bottom"/>
            <w:tcBorders>
              <w:bottom w:val="single" w:sz="8" w:color="auto"/>
            </w:tcBorders>
            <w:gridSpan w:val="9"/>
            <w:shd w:val="clear" w:color="auto" w:fill="CCEEFF"/>
          </w:tcPr>
          <w:p>
            <w:pPr>
              <w:spacing w:after="0" w:line="145" w:lineRule="exact"/>
              <w:rPr>
                <w:sz w:val="20"/>
                <w:szCs w:val="20"/>
                <w:color w:val="auto"/>
              </w:rPr>
            </w:pPr>
            <w:r>
              <w:rPr>
                <w:rFonts w:ascii="Arial" w:cs="Arial" w:eastAsia="Arial" w:hAnsi="Arial"/>
                <w:sz w:val="14"/>
                <w:szCs w:val="14"/>
                <w:b w:val="1"/>
                <w:bCs w:val="1"/>
                <w:color w:val="auto"/>
                <w:w w:val="93"/>
              </w:rPr>
              <w:t>NestGSV, Inc. (d/b/a OneValley, Inc.)</w:t>
            </w:r>
          </w:p>
        </w:tc>
        <w:tc>
          <w:tcPr>
            <w:tcW w:w="1280" w:type="dxa"/>
            <w:vAlign w:val="bottom"/>
            <w:tcBorders>
              <w:bottom w:val="single" w:sz="8" w:color="CCEEFF"/>
            </w:tcBorders>
            <w:gridSpan w:val="2"/>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960" w:type="dxa"/>
            <w:vAlign w:val="bottom"/>
            <w:tcBorders>
              <w:bottom w:val="single" w:sz="8" w:color="CCEEFF"/>
            </w:tcBorders>
            <w:shd w:val="clear" w:color="auto" w:fill="CCEEFF"/>
          </w:tcPr>
          <w:p>
            <w:pPr>
              <w:jc w:val="center"/>
              <w:spacing w:after="0" w:line="145" w:lineRule="exact"/>
              <w:rPr>
                <w:sz w:val="20"/>
                <w:szCs w:val="20"/>
                <w:color w:val="auto"/>
              </w:rPr>
            </w:pPr>
            <w:r>
              <w:rPr>
                <w:rFonts w:ascii="Arial" w:cs="Arial" w:eastAsia="Arial" w:hAnsi="Arial"/>
                <w:sz w:val="14"/>
                <w:szCs w:val="14"/>
                <w:color w:val="auto"/>
                <w:w w:val="94"/>
              </w:rPr>
              <w:t>San Mateo, CA</w:t>
            </w:r>
          </w:p>
        </w:tc>
        <w:tc>
          <w:tcPr>
            <w:tcW w:w="100" w:type="dxa"/>
            <w:vAlign w:val="bottom"/>
            <w:tcBorders>
              <w:bottom w:val="single" w:sz="8" w:color="CCEEFF"/>
            </w:tcBorders>
            <w:shd w:val="clear" w:color="auto" w:fill="CCEEFF"/>
          </w:tcPr>
          <w:p>
            <w:pPr>
              <w:spacing w:after="0"/>
              <w:rPr>
                <w:sz w:val="14"/>
                <w:szCs w:val="14"/>
                <w:color w:val="auto"/>
              </w:rPr>
            </w:pPr>
          </w:p>
        </w:tc>
        <w:tc>
          <w:tcPr>
            <w:tcW w:w="9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9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9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560" w:type="dxa"/>
            <w:vAlign w:val="bottom"/>
            <w:gridSpan w:val="11"/>
          </w:tcPr>
          <w:p>
            <w:pPr>
              <w:spacing w:after="0" w:line="189" w:lineRule="exact"/>
              <w:rPr>
                <w:sz w:val="20"/>
                <w:szCs w:val="20"/>
                <w:color w:val="auto"/>
              </w:rPr>
            </w:pPr>
            <w:r>
              <w:rPr>
                <w:rFonts w:ascii="Arial" w:cs="Arial" w:eastAsia="Arial" w:hAnsi="Arial"/>
                <w:sz w:val="14"/>
                <w:szCs w:val="14"/>
                <w:color w:val="auto"/>
              </w:rPr>
              <w:t>Derivative Security, Expiration Date 8/23/2024</w:t>
            </w:r>
            <w:r>
              <w:rPr>
                <w:rFonts w:ascii="Arial" w:cs="Arial" w:eastAsia="Arial" w:hAnsi="Arial"/>
                <w:sz w:val="18"/>
                <w:szCs w:val="18"/>
                <w:color w:val="auto"/>
                <w:vertAlign w:val="superscript"/>
              </w:rPr>
              <w:t>(7)</w:t>
            </w:r>
          </w:p>
        </w:tc>
        <w:tc>
          <w:tcPr>
            <w:tcW w:w="120" w:type="dxa"/>
            <w:vAlign w:val="bottom"/>
          </w:tcPr>
          <w:p>
            <w:pPr>
              <w:spacing w:after="0"/>
              <w:rPr>
                <w:sz w:val="16"/>
                <w:szCs w:val="16"/>
                <w:color w:val="auto"/>
              </w:rPr>
            </w:pPr>
          </w:p>
        </w:tc>
        <w:tc>
          <w:tcPr>
            <w:tcW w:w="2060" w:type="dxa"/>
            <w:vAlign w:val="bottom"/>
            <w:gridSpan w:val="2"/>
          </w:tcPr>
          <w:p>
            <w:pPr>
              <w:jc w:val="center"/>
              <w:ind w:right="120"/>
              <w:spacing w:after="0"/>
              <w:rPr>
                <w:sz w:val="20"/>
                <w:szCs w:val="20"/>
                <w:color w:val="auto"/>
              </w:rPr>
            </w:pPr>
            <w:r>
              <w:rPr>
                <w:rFonts w:ascii="Arial" w:cs="Arial" w:eastAsia="Arial" w:hAnsi="Arial"/>
                <w:sz w:val="14"/>
                <w:szCs w:val="14"/>
                <w:color w:val="auto"/>
                <w:w w:val="95"/>
              </w:rPr>
              <w:t>Global Innovation Platform</w:t>
            </w:r>
          </w:p>
        </w:tc>
        <w:tc>
          <w:tcPr>
            <w:tcW w:w="980" w:type="dxa"/>
            <w:vAlign w:val="bottom"/>
          </w:tcPr>
          <w:p>
            <w:pPr>
              <w:jc w:val="center"/>
              <w:spacing w:after="0"/>
              <w:rPr>
                <w:sz w:val="20"/>
                <w:szCs w:val="20"/>
                <w:color w:val="auto"/>
              </w:rPr>
            </w:pPr>
            <w:r>
              <w:rPr>
                <w:rFonts w:ascii="Arial" w:cs="Arial" w:eastAsia="Arial" w:hAnsi="Arial"/>
                <w:sz w:val="14"/>
                <w:szCs w:val="14"/>
                <w:color w:val="auto"/>
                <w:w w:val="93"/>
              </w:rPr>
              <w:t>8/23/2019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8,555,124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2,173,148</w:t>
            </w: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0.72</w:t>
            </w:r>
          </w:p>
        </w:tc>
        <w:tc>
          <w:tcPr>
            <w:tcW w:w="160" w:type="dxa"/>
            <w:vAlign w:val="bottom"/>
          </w:tcPr>
          <w:p>
            <w:pPr>
              <w:jc w:val="right"/>
              <w:spacing w:after="0"/>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3560" w:type="dxa"/>
            <w:vAlign w:val="bottom"/>
            <w:gridSpan w:val="11"/>
            <w:shd w:val="clear" w:color="auto" w:fill="CCEEFF"/>
          </w:tcPr>
          <w:p>
            <w:pPr>
              <w:spacing w:after="0" w:line="189" w:lineRule="exact"/>
              <w:rPr>
                <w:sz w:val="20"/>
                <w:szCs w:val="20"/>
                <w:color w:val="auto"/>
              </w:rPr>
            </w:pPr>
            <w:r>
              <w:rPr>
                <w:rFonts w:ascii="Arial" w:cs="Arial" w:eastAsia="Arial" w:hAnsi="Arial"/>
                <w:sz w:val="14"/>
                <w:szCs w:val="14"/>
                <w:color w:val="auto"/>
              </w:rPr>
              <w:t>Convertible Promissory Note 8% Due 8/23/2024</w:t>
            </w:r>
            <w:r>
              <w:rPr>
                <w:rFonts w:ascii="Arial" w:cs="Arial" w:eastAsia="Arial" w:hAnsi="Arial"/>
                <w:sz w:val="18"/>
                <w:szCs w:val="18"/>
                <w:color w:val="auto"/>
                <w:vertAlign w:val="superscript"/>
              </w:rPr>
              <w:t>(4)(7)</w:t>
            </w:r>
          </w:p>
        </w:tc>
        <w:tc>
          <w:tcPr>
            <w:tcW w:w="120" w:type="dxa"/>
            <w:vAlign w:val="bottom"/>
            <w:shd w:val="clear" w:color="auto" w:fill="CCEEFF"/>
          </w:tcPr>
          <w:p>
            <w:pPr>
              <w:spacing w:after="0"/>
              <w:rPr>
                <w:sz w:val="16"/>
                <w:szCs w:val="16"/>
                <w:color w:val="auto"/>
              </w:rPr>
            </w:pPr>
          </w:p>
        </w:tc>
        <w:tc>
          <w:tcPr>
            <w:tcW w:w="1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2/17/2016</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1,010,198</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1,030,176</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505,099</w:t>
            </w: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0.17</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560" w:type="dxa"/>
            <w:vAlign w:val="bottom"/>
            <w:gridSpan w:val="11"/>
          </w:tcPr>
          <w:p>
            <w:pPr>
              <w:spacing w:after="0" w:line="135" w:lineRule="exact"/>
              <w:rPr>
                <w:sz w:val="20"/>
                <w:szCs w:val="20"/>
                <w:color w:val="auto"/>
              </w:rPr>
            </w:pPr>
            <w:r>
              <w:rPr>
                <w:rFonts w:ascii="Arial" w:cs="Arial" w:eastAsia="Arial" w:hAnsi="Arial"/>
                <w:sz w:val="14"/>
                <w:szCs w:val="14"/>
                <w:color w:val="auto"/>
                <w:w w:val="93"/>
              </w:rPr>
              <w:t>Preferred Warrants Series A-3, Strike Price $1.33, Expiration</w:t>
            </w:r>
          </w:p>
        </w:tc>
        <w:tc>
          <w:tcPr>
            <w:tcW w:w="120" w:type="dxa"/>
            <w:vAlign w:val="bottom"/>
          </w:tcPr>
          <w:p>
            <w:pPr>
              <w:spacing w:after="0"/>
              <w:rPr>
                <w:sz w:val="11"/>
                <w:szCs w:val="11"/>
                <w:color w:val="auto"/>
              </w:rPr>
            </w:pPr>
          </w:p>
        </w:tc>
        <w:tc>
          <w:tcPr>
            <w:tcW w:w="1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vMerge w:val="restart"/>
          </w:tcPr>
          <w:p>
            <w:pPr>
              <w:jc w:val="center"/>
              <w:spacing w:after="0"/>
              <w:rPr>
                <w:sz w:val="20"/>
                <w:szCs w:val="20"/>
                <w:color w:val="auto"/>
              </w:rPr>
            </w:pPr>
            <w:r>
              <w:rPr>
                <w:rFonts w:ascii="Arial" w:cs="Arial" w:eastAsia="Arial" w:hAnsi="Arial"/>
                <w:sz w:val="14"/>
                <w:szCs w:val="14"/>
                <w:color w:val="auto"/>
                <w:w w:val="95"/>
              </w:rPr>
              <w:t>4/4/2014</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vMerge w:val="restart"/>
          </w:tcPr>
          <w:p>
            <w:pPr>
              <w:jc w:val="right"/>
              <w:ind w:right="8"/>
              <w:spacing w:after="0"/>
              <w:rPr>
                <w:sz w:val="20"/>
                <w:szCs w:val="20"/>
                <w:color w:val="auto"/>
              </w:rPr>
            </w:pPr>
            <w:r>
              <w:rPr>
                <w:rFonts w:ascii="Arial" w:cs="Arial" w:eastAsia="Arial" w:hAnsi="Arial"/>
                <w:sz w:val="14"/>
                <w:szCs w:val="14"/>
                <w:color w:val="auto"/>
              </w:rPr>
              <w:t>187,500</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4,687</w:t>
            </w:r>
          </w:p>
        </w:tc>
        <w:tc>
          <w:tcPr>
            <w:tcW w:w="100" w:type="dxa"/>
            <w:vAlign w:val="bottom"/>
          </w:tcPr>
          <w:p>
            <w:pPr>
              <w:spacing w:after="0"/>
              <w:rPr>
                <w:sz w:val="11"/>
                <w:szCs w:val="11"/>
                <w:color w:val="auto"/>
              </w:rPr>
            </w:pPr>
          </w:p>
        </w:tc>
        <w:tc>
          <w:tcPr>
            <w:tcW w:w="920" w:type="dxa"/>
            <w:vAlign w:val="bottom"/>
            <w:gridSpan w:val="2"/>
            <w:vMerge w:val="restart"/>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560" w:type="dxa"/>
            <w:vAlign w:val="bottom"/>
            <w:gridSpan w:val="11"/>
          </w:tcPr>
          <w:p>
            <w:pPr>
              <w:spacing w:after="0"/>
              <w:rPr>
                <w:sz w:val="20"/>
                <w:szCs w:val="20"/>
                <w:color w:val="auto"/>
              </w:rPr>
            </w:pPr>
            <w:r>
              <w:rPr>
                <w:rFonts w:ascii="Arial" w:cs="Arial" w:eastAsia="Arial" w:hAnsi="Arial"/>
                <w:sz w:val="14"/>
                <w:szCs w:val="14"/>
                <w:color w:val="auto"/>
              </w:rPr>
              <w:t>Date 4/4/2021</w:t>
            </w:r>
          </w:p>
        </w:tc>
        <w:tc>
          <w:tcPr>
            <w:tcW w:w="12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20" w:type="dxa"/>
            <w:vAlign w:val="bottom"/>
            <w:shd w:val="clear" w:color="auto" w:fill="CCEEFF"/>
          </w:tcPr>
          <w:p>
            <w:pPr>
              <w:spacing w:after="0"/>
              <w:rPr>
                <w:sz w:val="12"/>
                <w:szCs w:val="12"/>
                <w:color w:val="auto"/>
              </w:rPr>
            </w:pPr>
          </w:p>
        </w:tc>
        <w:tc>
          <w:tcPr>
            <w:tcW w:w="3560" w:type="dxa"/>
            <w:vAlign w:val="bottom"/>
            <w:gridSpan w:val="11"/>
            <w:shd w:val="clear" w:color="auto" w:fill="CCEEFF"/>
          </w:tcPr>
          <w:p>
            <w:pPr>
              <w:spacing w:after="0" w:line="139" w:lineRule="exact"/>
              <w:rPr>
                <w:sz w:val="20"/>
                <w:szCs w:val="20"/>
                <w:color w:val="auto"/>
              </w:rPr>
            </w:pPr>
            <w:r>
              <w:rPr>
                <w:rFonts w:ascii="Arial" w:cs="Arial" w:eastAsia="Arial" w:hAnsi="Arial"/>
                <w:sz w:val="14"/>
                <w:szCs w:val="14"/>
                <w:color w:val="auto"/>
                <w:w w:val="93"/>
              </w:rPr>
              <w:t>Preferred Warrants Series A-4, Strike Price $1.33, Expiration</w:t>
            </w:r>
          </w:p>
        </w:tc>
        <w:tc>
          <w:tcPr>
            <w:tcW w:w="120" w:type="dxa"/>
            <w:vAlign w:val="bottom"/>
            <w:shd w:val="clear" w:color="auto" w:fill="CCEEFF"/>
          </w:tcPr>
          <w:p>
            <w:pPr>
              <w:spacing w:after="0"/>
              <w:rPr>
                <w:sz w:val="12"/>
                <w:szCs w:val="12"/>
                <w:color w:val="auto"/>
              </w:rPr>
            </w:pPr>
          </w:p>
        </w:tc>
        <w:tc>
          <w:tcPr>
            <w:tcW w:w="19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3"/>
              </w:rPr>
              <w:t>10/6/2014</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500,000</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65,000</w:t>
            </w:r>
          </w:p>
        </w:tc>
        <w:tc>
          <w:tcPr>
            <w:tcW w:w="10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0.02</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3560" w:type="dxa"/>
            <w:vAlign w:val="bottom"/>
            <w:gridSpan w:val="11"/>
            <w:shd w:val="clear" w:color="auto" w:fill="CCEEFF"/>
          </w:tcPr>
          <w:p>
            <w:pPr>
              <w:spacing w:after="0"/>
              <w:rPr>
                <w:sz w:val="20"/>
                <w:szCs w:val="20"/>
                <w:color w:val="auto"/>
              </w:rPr>
            </w:pPr>
            <w:r>
              <w:rPr>
                <w:rFonts w:ascii="Arial" w:cs="Arial" w:eastAsia="Arial" w:hAnsi="Arial"/>
                <w:sz w:val="14"/>
                <w:szCs w:val="14"/>
                <w:color w:val="auto"/>
              </w:rPr>
              <w:t>Date 10/6/2021</w:t>
            </w:r>
          </w:p>
        </w:tc>
        <w:tc>
          <w:tcPr>
            <w:tcW w:w="120" w:type="dxa"/>
            <w:vAlign w:val="bottom"/>
            <w:shd w:val="clear" w:color="auto" w:fill="CCEEFF"/>
          </w:tcPr>
          <w:p>
            <w:pPr>
              <w:spacing w:after="0"/>
              <w:rPr>
                <w:sz w:val="16"/>
                <w:szCs w:val="16"/>
                <w:color w:val="auto"/>
              </w:rPr>
            </w:pPr>
          </w:p>
        </w:tc>
        <w:tc>
          <w:tcPr>
            <w:tcW w:w="1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1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560" w:type="dxa"/>
            <w:vAlign w:val="bottom"/>
            <w:gridSpan w:val="11"/>
          </w:tcPr>
          <w:p>
            <w:pPr>
              <w:spacing w:after="0" w:line="135" w:lineRule="exact"/>
              <w:rPr>
                <w:sz w:val="20"/>
                <w:szCs w:val="20"/>
                <w:color w:val="auto"/>
              </w:rPr>
            </w:pPr>
            <w:r>
              <w:rPr>
                <w:rFonts w:ascii="Arial" w:cs="Arial" w:eastAsia="Arial" w:hAnsi="Arial"/>
                <w:sz w:val="14"/>
                <w:szCs w:val="14"/>
                <w:color w:val="auto"/>
                <w:w w:val="93"/>
              </w:rPr>
              <w:t>Preferred Warrants Series A-4, Strike Price $1.33, Expiration</w:t>
            </w:r>
          </w:p>
        </w:tc>
        <w:tc>
          <w:tcPr>
            <w:tcW w:w="120" w:type="dxa"/>
            <w:vAlign w:val="bottom"/>
          </w:tcPr>
          <w:p>
            <w:pPr>
              <w:spacing w:after="0"/>
              <w:rPr>
                <w:sz w:val="11"/>
                <w:szCs w:val="11"/>
                <w:color w:val="auto"/>
              </w:rPr>
            </w:pPr>
          </w:p>
        </w:tc>
        <w:tc>
          <w:tcPr>
            <w:tcW w:w="1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vMerge w:val="restart"/>
          </w:tcPr>
          <w:p>
            <w:pPr>
              <w:jc w:val="center"/>
              <w:spacing w:after="0"/>
              <w:rPr>
                <w:sz w:val="20"/>
                <w:szCs w:val="20"/>
                <w:color w:val="auto"/>
              </w:rPr>
            </w:pPr>
            <w:r>
              <w:rPr>
                <w:rFonts w:ascii="Arial" w:cs="Arial" w:eastAsia="Arial" w:hAnsi="Arial"/>
                <w:sz w:val="14"/>
                <w:szCs w:val="14"/>
                <w:color w:val="auto"/>
                <w:w w:val="95"/>
              </w:rPr>
              <w:t>7/8/2016</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vMerge w:val="restart"/>
          </w:tcPr>
          <w:p>
            <w:pPr>
              <w:jc w:val="right"/>
              <w:ind w:right="8"/>
              <w:spacing w:after="0"/>
              <w:rPr>
                <w:sz w:val="20"/>
                <w:szCs w:val="20"/>
                <w:color w:val="auto"/>
              </w:rPr>
            </w:pPr>
            <w:r>
              <w:rPr>
                <w:rFonts w:ascii="Arial" w:cs="Arial" w:eastAsia="Arial" w:hAnsi="Arial"/>
                <w:sz w:val="14"/>
                <w:szCs w:val="14"/>
                <w:color w:val="auto"/>
              </w:rPr>
              <w:t>250,000</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vMerge w:val="restart"/>
          </w:tcPr>
          <w:p>
            <w:pPr>
              <w:jc w:val="right"/>
              <w:ind w:right="8"/>
              <w:spacing w:after="0"/>
              <w:rPr>
                <w:sz w:val="20"/>
                <w:szCs w:val="20"/>
                <w:color w:val="auto"/>
              </w:rPr>
            </w:pPr>
            <w:r>
              <w:rPr>
                <w:rFonts w:ascii="Arial" w:cs="Arial" w:eastAsia="Arial" w:hAnsi="Arial"/>
                <w:sz w:val="14"/>
                <w:szCs w:val="14"/>
                <w:color w:val="auto"/>
              </w:rPr>
              <w:t>74,380</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27,500</w:t>
            </w:r>
          </w:p>
        </w:tc>
        <w:tc>
          <w:tcPr>
            <w:tcW w:w="10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0.01</w:t>
            </w: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560" w:type="dxa"/>
            <w:vAlign w:val="bottom"/>
            <w:gridSpan w:val="11"/>
          </w:tcPr>
          <w:p>
            <w:pPr>
              <w:spacing w:after="0"/>
              <w:rPr>
                <w:sz w:val="20"/>
                <w:szCs w:val="20"/>
                <w:color w:val="auto"/>
              </w:rPr>
            </w:pPr>
            <w:r>
              <w:rPr>
                <w:rFonts w:ascii="Arial" w:cs="Arial" w:eastAsia="Arial" w:hAnsi="Arial"/>
                <w:sz w:val="14"/>
                <w:szCs w:val="14"/>
                <w:color w:val="auto"/>
              </w:rPr>
              <w:t>Date 7/18/2021</w:t>
            </w:r>
          </w:p>
        </w:tc>
        <w:tc>
          <w:tcPr>
            <w:tcW w:w="12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20" w:type="dxa"/>
            <w:vAlign w:val="bottom"/>
            <w:shd w:val="clear" w:color="auto" w:fill="CCEEFF"/>
          </w:tcPr>
          <w:p>
            <w:pPr>
              <w:spacing w:after="0"/>
              <w:rPr>
                <w:sz w:val="12"/>
                <w:szCs w:val="12"/>
                <w:color w:val="auto"/>
              </w:rPr>
            </w:pPr>
          </w:p>
        </w:tc>
        <w:tc>
          <w:tcPr>
            <w:tcW w:w="3560" w:type="dxa"/>
            <w:vAlign w:val="bottom"/>
            <w:gridSpan w:val="11"/>
            <w:shd w:val="clear" w:color="auto" w:fill="CCEEFF"/>
          </w:tcPr>
          <w:p>
            <w:pPr>
              <w:spacing w:after="0" w:line="139" w:lineRule="exact"/>
              <w:rPr>
                <w:sz w:val="20"/>
                <w:szCs w:val="20"/>
                <w:color w:val="auto"/>
              </w:rPr>
            </w:pPr>
            <w:r>
              <w:rPr>
                <w:rFonts w:ascii="Arial" w:cs="Arial" w:eastAsia="Arial" w:hAnsi="Arial"/>
                <w:sz w:val="14"/>
                <w:szCs w:val="14"/>
                <w:color w:val="auto"/>
                <w:w w:val="97"/>
              </w:rPr>
              <w:t>Preferred Warrants Series B, Strike Price $2.31, Expiration</w:t>
            </w:r>
          </w:p>
        </w:tc>
        <w:tc>
          <w:tcPr>
            <w:tcW w:w="120" w:type="dxa"/>
            <w:vAlign w:val="bottom"/>
            <w:shd w:val="clear" w:color="auto" w:fill="CCEEFF"/>
          </w:tcPr>
          <w:p>
            <w:pPr>
              <w:spacing w:after="0"/>
              <w:rPr>
                <w:sz w:val="12"/>
                <w:szCs w:val="12"/>
                <w:color w:val="auto"/>
              </w:rPr>
            </w:pPr>
          </w:p>
        </w:tc>
        <w:tc>
          <w:tcPr>
            <w:tcW w:w="19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4"/>
              </w:rPr>
              <w:t>11/29/2016</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100,000</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29,275</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2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3560" w:type="dxa"/>
            <w:vAlign w:val="bottom"/>
            <w:gridSpan w:val="11"/>
            <w:shd w:val="clear" w:color="auto" w:fill="CCEEFF"/>
          </w:tcPr>
          <w:p>
            <w:pPr>
              <w:spacing w:after="0"/>
              <w:rPr>
                <w:sz w:val="20"/>
                <w:szCs w:val="20"/>
                <w:color w:val="auto"/>
              </w:rPr>
            </w:pPr>
            <w:r>
              <w:rPr>
                <w:rFonts w:ascii="Arial" w:cs="Arial" w:eastAsia="Arial" w:hAnsi="Arial"/>
                <w:sz w:val="14"/>
                <w:szCs w:val="14"/>
                <w:color w:val="auto"/>
              </w:rPr>
              <w:t>Date 11/29/2021</w:t>
            </w:r>
          </w:p>
        </w:tc>
        <w:tc>
          <w:tcPr>
            <w:tcW w:w="120" w:type="dxa"/>
            <w:vAlign w:val="bottom"/>
            <w:shd w:val="clear" w:color="auto" w:fill="CCEEFF"/>
          </w:tcPr>
          <w:p>
            <w:pPr>
              <w:spacing w:after="0"/>
              <w:rPr>
                <w:sz w:val="16"/>
                <w:szCs w:val="16"/>
                <w:color w:val="auto"/>
              </w:rPr>
            </w:pPr>
          </w:p>
        </w:tc>
        <w:tc>
          <w:tcPr>
            <w:tcW w:w="1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40" w:type="dxa"/>
            <w:vAlign w:val="bottom"/>
            <w:gridSpan w:val="2"/>
            <w:vMerge w:val="continue"/>
            <w:shd w:val="clear" w:color="auto" w:fill="CCEEFF"/>
          </w:tcPr>
          <w:p>
            <w:pPr>
              <w:spacing w:after="0"/>
              <w:rPr>
                <w:sz w:val="16"/>
                <w:szCs w:val="16"/>
                <w:color w:val="auto"/>
              </w:rPr>
            </w:pPr>
          </w:p>
        </w:tc>
        <w:tc>
          <w:tcPr>
            <w:tcW w:w="920" w:type="dxa"/>
            <w:vAlign w:val="bottom"/>
            <w:gridSpan w:val="2"/>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560" w:type="dxa"/>
            <w:vAlign w:val="bottom"/>
            <w:gridSpan w:val="11"/>
          </w:tcPr>
          <w:p>
            <w:pPr>
              <w:spacing w:after="0" w:line="135" w:lineRule="exact"/>
              <w:rPr>
                <w:sz w:val="20"/>
                <w:szCs w:val="20"/>
                <w:color w:val="auto"/>
              </w:rPr>
            </w:pPr>
            <w:r>
              <w:rPr>
                <w:rFonts w:ascii="Arial" w:cs="Arial" w:eastAsia="Arial" w:hAnsi="Arial"/>
                <w:sz w:val="14"/>
                <w:szCs w:val="14"/>
                <w:color w:val="auto"/>
                <w:w w:val="99"/>
              </w:rPr>
              <w:t>Preferred Warrant Series B, Strike Price $2.31, Expiration</w:t>
            </w:r>
          </w:p>
        </w:tc>
        <w:tc>
          <w:tcPr>
            <w:tcW w:w="120" w:type="dxa"/>
            <w:vAlign w:val="bottom"/>
          </w:tcPr>
          <w:p>
            <w:pPr>
              <w:spacing w:after="0"/>
              <w:rPr>
                <w:sz w:val="11"/>
                <w:szCs w:val="11"/>
                <w:color w:val="auto"/>
              </w:rPr>
            </w:pPr>
          </w:p>
        </w:tc>
        <w:tc>
          <w:tcPr>
            <w:tcW w:w="1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vMerge w:val="restart"/>
          </w:tcPr>
          <w:p>
            <w:pPr>
              <w:jc w:val="center"/>
              <w:spacing w:after="0"/>
              <w:rPr>
                <w:sz w:val="20"/>
                <w:szCs w:val="20"/>
                <w:color w:val="auto"/>
              </w:rPr>
            </w:pPr>
            <w:r>
              <w:rPr>
                <w:rFonts w:ascii="Arial" w:cs="Arial" w:eastAsia="Arial" w:hAnsi="Arial"/>
                <w:sz w:val="14"/>
                <w:szCs w:val="14"/>
                <w:color w:val="auto"/>
                <w:w w:val="93"/>
              </w:rPr>
              <w:t>5/29/2017</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vMerge w:val="restart"/>
          </w:tcPr>
          <w:p>
            <w:pPr>
              <w:jc w:val="right"/>
              <w:ind w:right="8"/>
              <w:spacing w:after="0"/>
              <w:rPr>
                <w:sz w:val="20"/>
                <w:szCs w:val="20"/>
                <w:color w:val="auto"/>
              </w:rPr>
            </w:pPr>
            <w:r>
              <w:rPr>
                <w:rFonts w:ascii="Arial" w:cs="Arial" w:eastAsia="Arial" w:hAnsi="Arial"/>
                <w:sz w:val="14"/>
                <w:szCs w:val="14"/>
                <w:color w:val="auto"/>
              </w:rPr>
              <w:t>125,000</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vMerge w:val="restart"/>
          </w:tcPr>
          <w:p>
            <w:pPr>
              <w:jc w:val="right"/>
              <w:ind w:right="8"/>
              <w:spacing w:after="0"/>
              <w:rPr>
                <w:sz w:val="20"/>
                <w:szCs w:val="20"/>
                <w:color w:val="auto"/>
              </w:rPr>
            </w:pPr>
            <w:r>
              <w:rPr>
                <w:rFonts w:ascii="Arial" w:cs="Arial" w:eastAsia="Arial" w:hAnsi="Arial"/>
                <w:sz w:val="14"/>
                <w:szCs w:val="14"/>
                <w:color w:val="auto"/>
              </w:rPr>
              <w:t>70,379</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920" w:type="dxa"/>
            <w:vAlign w:val="bottom"/>
            <w:gridSpan w:val="2"/>
            <w:vMerge w:val="restart"/>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560" w:type="dxa"/>
            <w:vAlign w:val="bottom"/>
            <w:gridSpan w:val="11"/>
          </w:tcPr>
          <w:p>
            <w:pPr>
              <w:spacing w:after="0"/>
              <w:rPr>
                <w:sz w:val="20"/>
                <w:szCs w:val="20"/>
                <w:color w:val="auto"/>
              </w:rPr>
            </w:pPr>
            <w:r>
              <w:rPr>
                <w:rFonts w:ascii="Arial" w:cs="Arial" w:eastAsia="Arial" w:hAnsi="Arial"/>
                <w:sz w:val="14"/>
                <w:szCs w:val="14"/>
                <w:color w:val="auto"/>
              </w:rPr>
              <w:t>Date 5/29/2022</w:t>
            </w:r>
          </w:p>
        </w:tc>
        <w:tc>
          <w:tcPr>
            <w:tcW w:w="12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20" w:type="dxa"/>
            <w:vAlign w:val="bottom"/>
            <w:shd w:val="clear" w:color="auto" w:fill="CCEEFF"/>
          </w:tcPr>
          <w:p>
            <w:pPr>
              <w:spacing w:after="0"/>
              <w:rPr>
                <w:sz w:val="12"/>
                <w:szCs w:val="12"/>
                <w:color w:val="auto"/>
              </w:rPr>
            </w:pPr>
          </w:p>
        </w:tc>
        <w:tc>
          <w:tcPr>
            <w:tcW w:w="3560" w:type="dxa"/>
            <w:vAlign w:val="bottom"/>
            <w:gridSpan w:val="11"/>
            <w:shd w:val="clear" w:color="auto" w:fill="CCEEFF"/>
          </w:tcPr>
          <w:p>
            <w:pPr>
              <w:spacing w:after="0" w:line="139" w:lineRule="exact"/>
              <w:rPr>
                <w:sz w:val="20"/>
                <w:szCs w:val="20"/>
                <w:color w:val="auto"/>
              </w:rPr>
            </w:pPr>
            <w:r>
              <w:rPr>
                <w:rFonts w:ascii="Arial" w:cs="Arial" w:eastAsia="Arial" w:hAnsi="Arial"/>
                <w:sz w:val="14"/>
                <w:szCs w:val="14"/>
                <w:color w:val="auto"/>
                <w:w w:val="99"/>
              </w:rPr>
              <w:t>Preferred Warrant Series B, Strike Price $2.31, Expiration</w:t>
            </w:r>
          </w:p>
        </w:tc>
        <w:tc>
          <w:tcPr>
            <w:tcW w:w="120" w:type="dxa"/>
            <w:vAlign w:val="bottom"/>
            <w:shd w:val="clear" w:color="auto" w:fill="CCEEFF"/>
          </w:tcPr>
          <w:p>
            <w:pPr>
              <w:spacing w:after="0"/>
              <w:rPr>
                <w:sz w:val="12"/>
                <w:szCs w:val="12"/>
                <w:color w:val="auto"/>
              </w:rPr>
            </w:pPr>
          </w:p>
        </w:tc>
        <w:tc>
          <w:tcPr>
            <w:tcW w:w="19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4"/>
              </w:rPr>
              <w:t>12/31/2018</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250,000</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5,080</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9,250</w:t>
            </w:r>
          </w:p>
        </w:tc>
        <w:tc>
          <w:tcPr>
            <w:tcW w:w="10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0.00</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3560" w:type="dxa"/>
            <w:vAlign w:val="bottom"/>
            <w:gridSpan w:val="11"/>
            <w:shd w:val="clear" w:color="auto" w:fill="CCEEFF"/>
          </w:tcPr>
          <w:p>
            <w:pPr>
              <w:spacing w:after="0"/>
              <w:rPr>
                <w:sz w:val="20"/>
                <w:szCs w:val="20"/>
                <w:color w:val="auto"/>
              </w:rPr>
            </w:pPr>
            <w:r>
              <w:rPr>
                <w:rFonts w:ascii="Arial" w:cs="Arial" w:eastAsia="Arial" w:hAnsi="Arial"/>
                <w:sz w:val="14"/>
                <w:szCs w:val="14"/>
                <w:color w:val="auto"/>
              </w:rPr>
              <w:t>Date 12/31/2023</w:t>
            </w:r>
          </w:p>
        </w:tc>
        <w:tc>
          <w:tcPr>
            <w:tcW w:w="120" w:type="dxa"/>
            <w:vAlign w:val="bottom"/>
            <w:shd w:val="clear" w:color="auto" w:fill="CCEEFF"/>
          </w:tcPr>
          <w:p>
            <w:pPr>
              <w:spacing w:after="0"/>
              <w:rPr>
                <w:sz w:val="16"/>
                <w:szCs w:val="16"/>
                <w:color w:val="auto"/>
              </w:rPr>
            </w:pPr>
          </w:p>
        </w:tc>
        <w:tc>
          <w:tcPr>
            <w:tcW w:w="1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tcBorders>
              <w:bottom w:val="single" w:sz="8" w:color="auto"/>
            </w:tcBorders>
            <w:vMerge w:val="continue"/>
            <w:shd w:val="clear" w:color="auto" w:fill="CCEEFF"/>
          </w:tcPr>
          <w:p>
            <w:pPr>
              <w:spacing w:after="0"/>
              <w:rPr>
                <w:sz w:val="16"/>
                <w:szCs w:val="16"/>
                <w:color w:val="auto"/>
              </w:rPr>
            </w:pPr>
          </w:p>
        </w:tc>
        <w:tc>
          <w:tcPr>
            <w:tcW w:w="16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3560" w:type="dxa"/>
            <w:vAlign w:val="bottom"/>
            <w:gridSpan w:val="11"/>
          </w:tcPr>
          <w:p>
            <w:pPr>
              <w:ind w:left="120"/>
              <w:spacing w:after="0"/>
              <w:rPr>
                <w:sz w:val="20"/>
                <w:szCs w:val="20"/>
                <w:color w:val="auto"/>
              </w:rPr>
            </w:pPr>
            <w:r>
              <w:rPr>
                <w:rFonts w:ascii="Arial" w:cs="Arial" w:eastAsia="Arial" w:hAnsi="Arial"/>
                <w:sz w:val="14"/>
                <w:szCs w:val="14"/>
                <w:color w:val="auto"/>
              </w:rPr>
              <w:t>Total</w:t>
            </w:r>
          </w:p>
        </w:tc>
        <w:tc>
          <w:tcPr>
            <w:tcW w:w="12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9,764,414</w:t>
            </w: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2,784,684</w:t>
            </w:r>
          </w:p>
        </w:tc>
        <w:tc>
          <w:tcPr>
            <w:tcW w:w="100" w:type="dxa"/>
            <w:vAlign w:val="bottom"/>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0.92</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-3093720</wp:posOffset>
            </wp:positionV>
            <wp:extent cx="35833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583305" cy="128905"/>
                    </a:xfrm>
                    <a:prstGeom prst="rect">
                      <a:avLst/>
                    </a:prstGeom>
                    <a:noFill/>
                  </pic:spPr>
                </pic:pic>
              </a:graphicData>
            </a:graphic>
          </wp:anchor>
        </w:drawing>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See accompanying notes to condensed consolidated financial statements.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40"/>
          </w:cols>
          <w:pgMar w:left="320" w:top="122" w:right="339" w:bottom="1440" w:gutter="0" w:footer="0" w:header="0"/>
        </w:sectPr>
      </w:pPr>
    </w:p>
    <w:bookmarkStart w:id="13" w:name="page14"/>
    <w:bookmarkEnd w:id="13"/>
    <w:p>
      <w:pPr>
        <w:spacing w:after="0"/>
        <w:rPr>
          <w:rFonts w:ascii="Arial" w:cs="Arial" w:eastAsia="Arial" w:hAnsi="Arial"/>
          <w:sz w:val="14"/>
          <w:szCs w:val="14"/>
          <w:color w:val="0000FF"/>
        </w:rPr>
      </w:pPr>
      <w:hyperlink w:anchor="page1">
        <w:r>
          <w:rPr>
            <w:rFonts w:ascii="Arial" w:cs="Arial" w:eastAsia="Arial" w:hAnsi="Arial"/>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left="340" w:right="2500"/>
        <w:spacing w:after="0" w:line="266" w:lineRule="auto"/>
        <w:rPr>
          <w:sz w:val="20"/>
          <w:szCs w:val="20"/>
          <w:color w:val="auto"/>
        </w:rPr>
      </w:pPr>
      <w:r>
        <w:rPr>
          <w:rFonts w:ascii="Arial" w:cs="Arial" w:eastAsia="Arial" w:hAnsi="Arial"/>
          <w:sz w:val="18"/>
          <w:szCs w:val="18"/>
          <w:b w:val="1"/>
          <w:bCs w:val="1"/>
          <w:color w:val="auto"/>
        </w:rPr>
        <w:t>SURO CAPITAL CORP. AND SUBSIDIARIES CONDENSED CONSOLIDATED SCHEDULE OF INVESTMENTS - continued December 31, 2020</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4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Portfolio Investments*</w:t>
            </w:r>
          </w:p>
        </w:tc>
        <w:tc>
          <w:tcPr>
            <w:tcW w:w="100" w:type="dxa"/>
            <w:vAlign w:val="bottom"/>
          </w:tcPr>
          <w:p>
            <w:pPr>
              <w:spacing w:after="0"/>
              <w:rPr>
                <w:sz w:val="14"/>
                <w:szCs w:val="14"/>
                <w:color w:val="auto"/>
              </w:rPr>
            </w:pPr>
          </w:p>
        </w:tc>
        <w:tc>
          <w:tcPr>
            <w:tcW w:w="19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Headquarters/</w:t>
            </w:r>
          </w:p>
        </w:tc>
        <w:tc>
          <w:tcPr>
            <w:tcW w:w="10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Date of Initial</w:t>
            </w:r>
          </w:p>
        </w:tc>
        <w:tc>
          <w:tcPr>
            <w:tcW w:w="180" w:type="dxa"/>
            <w:vAlign w:val="bottom"/>
          </w:tcPr>
          <w:p>
            <w:pPr>
              <w:spacing w:after="0"/>
              <w:rPr>
                <w:sz w:val="14"/>
                <w:szCs w:val="14"/>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6"/>
              </w:rPr>
              <w:t>Shares/</w:t>
            </w:r>
          </w:p>
        </w:tc>
        <w:tc>
          <w:tcPr>
            <w:tcW w:w="240" w:type="dxa"/>
            <w:vAlign w:val="bottom"/>
          </w:tcPr>
          <w:p>
            <w:pPr>
              <w:spacing w:after="0"/>
              <w:rPr>
                <w:sz w:val="14"/>
                <w:szCs w:val="14"/>
                <w:color w:val="auto"/>
              </w:rPr>
            </w:pPr>
          </w:p>
        </w:tc>
        <w:tc>
          <w:tcPr>
            <w:tcW w:w="96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Cost</w:t>
            </w:r>
          </w:p>
        </w:tc>
        <w:tc>
          <w:tcPr>
            <w:tcW w:w="160" w:type="dxa"/>
            <w:vAlign w:val="bottom"/>
          </w:tcPr>
          <w:p>
            <w:pPr>
              <w:spacing w:after="0"/>
              <w:rPr>
                <w:sz w:val="14"/>
                <w:szCs w:val="14"/>
                <w:color w:val="auto"/>
              </w:rPr>
            </w:pPr>
          </w:p>
        </w:tc>
        <w:tc>
          <w:tcPr>
            <w:tcW w:w="10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Fair Value</w:t>
            </w: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 of Net</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540" w:type="dxa"/>
            <w:vAlign w:val="bottom"/>
            <w:gridSpan w:val="4"/>
            <w:vMerge w:val="continue"/>
          </w:tcPr>
          <w:p>
            <w:pPr>
              <w:spacing w:after="0"/>
              <w:rPr>
                <w:sz w:val="16"/>
                <w:szCs w:val="16"/>
                <w:color w:val="auto"/>
              </w:rPr>
            </w:pPr>
          </w:p>
        </w:tc>
        <w:tc>
          <w:tcPr>
            <w:tcW w:w="100" w:type="dxa"/>
            <w:vAlign w:val="bottom"/>
          </w:tcPr>
          <w:p>
            <w:pPr>
              <w:spacing w:after="0"/>
              <w:rPr>
                <w:sz w:val="16"/>
                <w:szCs w:val="16"/>
                <w:color w:val="auto"/>
              </w:rPr>
            </w:pPr>
          </w:p>
        </w:tc>
        <w:tc>
          <w:tcPr>
            <w:tcW w:w="19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Industry</w:t>
            </w:r>
          </w:p>
        </w:tc>
        <w:tc>
          <w:tcPr>
            <w:tcW w:w="10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Investment</w:t>
            </w:r>
          </w:p>
        </w:tc>
        <w:tc>
          <w:tcPr>
            <w:tcW w:w="180" w:type="dxa"/>
            <w:vAlign w:val="bottom"/>
          </w:tcPr>
          <w:p>
            <w:pPr>
              <w:spacing w:after="0"/>
              <w:rPr>
                <w:sz w:val="16"/>
                <w:szCs w:val="16"/>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Principal</w:t>
            </w:r>
          </w:p>
        </w:tc>
        <w:tc>
          <w:tcPr>
            <w:tcW w:w="24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b w:val="1"/>
                <w:bCs w:val="1"/>
                <w:color w:val="auto"/>
              </w:rPr>
              <w:t>Assets</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0" w:type="dxa"/>
            <w:vAlign w:val="bottom"/>
            <w:tcBorders>
              <w:top w:val="single" w:sz="8" w:color="auto"/>
            </w:tcBorders>
            <w:shd w:val="clear" w:color="auto" w:fill="CCEEFF"/>
          </w:tcPr>
          <w:p>
            <w:pPr>
              <w:spacing w:after="0"/>
              <w:rPr>
                <w:sz w:val="12"/>
                <w:szCs w:val="12"/>
                <w:color w:val="auto"/>
              </w:rPr>
            </w:pPr>
          </w:p>
        </w:tc>
        <w:tc>
          <w:tcPr>
            <w:tcW w:w="3540" w:type="dxa"/>
            <w:vAlign w:val="bottom"/>
            <w:tcBorders>
              <w:top w:val="single" w:sz="8" w:color="auto"/>
            </w:tcBorders>
            <w:gridSpan w:val="4"/>
            <w:shd w:val="clear" w:color="auto" w:fill="CCEEFF"/>
          </w:tcPr>
          <w:p>
            <w:pPr>
              <w:spacing w:after="0" w:line="143" w:lineRule="exact"/>
              <w:rPr>
                <w:sz w:val="20"/>
                <w:szCs w:val="20"/>
                <w:color w:val="auto"/>
              </w:rPr>
            </w:pPr>
            <w:r>
              <w:rPr>
                <w:rFonts w:ascii="Arial" w:cs="Arial" w:eastAsia="Arial" w:hAnsi="Arial"/>
                <w:sz w:val="14"/>
                <w:szCs w:val="14"/>
                <w:b w:val="1"/>
                <w:bCs w:val="1"/>
                <w:color w:val="auto"/>
              </w:rPr>
              <w:t>CUX, Inc. (d/b/a CorpU)</w:t>
            </w:r>
          </w:p>
        </w:tc>
        <w:tc>
          <w:tcPr>
            <w:tcW w:w="100" w:type="dxa"/>
            <w:vAlign w:val="bottom"/>
            <w:tcBorders>
              <w:top w:val="single" w:sz="8" w:color="CCEEFF"/>
            </w:tcBorders>
            <w:shd w:val="clear" w:color="auto" w:fill="CCEEFF"/>
          </w:tcPr>
          <w:p>
            <w:pPr>
              <w:spacing w:after="0"/>
              <w:rPr>
                <w:sz w:val="12"/>
                <w:szCs w:val="12"/>
                <w:color w:val="auto"/>
              </w:rPr>
            </w:pPr>
          </w:p>
        </w:tc>
        <w:tc>
          <w:tcPr>
            <w:tcW w:w="1860" w:type="dxa"/>
            <w:vAlign w:val="bottom"/>
            <w:tcBorders>
              <w:top w:val="single" w:sz="8" w:color="auto"/>
            </w:tcBorders>
            <w:shd w:val="clear" w:color="auto" w:fill="CCEEFF"/>
          </w:tcPr>
          <w:p>
            <w:pPr>
              <w:jc w:val="center"/>
              <w:spacing w:after="0" w:line="143" w:lineRule="exact"/>
              <w:rPr>
                <w:sz w:val="20"/>
                <w:szCs w:val="20"/>
                <w:color w:val="auto"/>
              </w:rPr>
            </w:pPr>
            <w:r>
              <w:rPr>
                <w:rFonts w:ascii="Arial" w:cs="Arial" w:eastAsia="Arial" w:hAnsi="Arial"/>
                <w:sz w:val="14"/>
                <w:szCs w:val="14"/>
                <w:color w:val="auto"/>
                <w:w w:val="93"/>
              </w:rPr>
              <w:t>Philadelphia, PA</w:t>
            </w:r>
          </w:p>
        </w:tc>
        <w:tc>
          <w:tcPr>
            <w:tcW w:w="100" w:type="dxa"/>
            <w:vAlign w:val="bottom"/>
            <w:tcBorders>
              <w:top w:val="single" w:sz="8" w:color="CCEEFF"/>
            </w:tcBorders>
            <w:shd w:val="clear" w:color="auto" w:fill="CCEEFF"/>
          </w:tcPr>
          <w:p>
            <w:pPr>
              <w:spacing w:after="0"/>
              <w:rPr>
                <w:sz w:val="12"/>
                <w:szCs w:val="12"/>
                <w:color w:val="auto"/>
              </w:rPr>
            </w:pPr>
          </w:p>
        </w:tc>
        <w:tc>
          <w:tcPr>
            <w:tcW w:w="9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9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9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3540" w:type="dxa"/>
            <w:vAlign w:val="bottom"/>
            <w:gridSpan w:val="4"/>
          </w:tcPr>
          <w:p>
            <w:pPr>
              <w:spacing w:after="0" w:line="135" w:lineRule="exact"/>
              <w:rPr>
                <w:sz w:val="20"/>
                <w:szCs w:val="20"/>
                <w:color w:val="auto"/>
              </w:rPr>
            </w:pPr>
            <w:r>
              <w:rPr>
                <w:rFonts w:ascii="Arial" w:cs="Arial" w:eastAsia="Arial" w:hAnsi="Arial"/>
                <w:sz w:val="14"/>
                <w:szCs w:val="14"/>
                <w:color w:val="auto"/>
                <w:w w:val="96"/>
              </w:rPr>
              <w:t>Senior Subordinated Convertible Promissory Note 4% Due</w:t>
            </w:r>
          </w:p>
        </w:tc>
        <w:tc>
          <w:tcPr>
            <w:tcW w:w="100" w:type="dxa"/>
            <w:vAlign w:val="bottom"/>
          </w:tcPr>
          <w:p>
            <w:pPr>
              <w:spacing w:after="0"/>
              <w:rPr>
                <w:sz w:val="11"/>
                <w:szCs w:val="11"/>
                <w:color w:val="auto"/>
              </w:rPr>
            </w:pPr>
          </w:p>
        </w:tc>
        <w:tc>
          <w:tcPr>
            <w:tcW w:w="1960" w:type="dxa"/>
            <w:vAlign w:val="bottom"/>
            <w:gridSpan w:val="2"/>
            <w:vMerge w:val="restart"/>
          </w:tcPr>
          <w:p>
            <w:pPr>
              <w:jc w:val="center"/>
              <w:ind w:right="100"/>
              <w:spacing w:after="0"/>
              <w:rPr>
                <w:sz w:val="20"/>
                <w:szCs w:val="20"/>
                <w:color w:val="auto"/>
              </w:rPr>
            </w:pPr>
            <w:r>
              <w:rPr>
                <w:rFonts w:ascii="Arial" w:cs="Arial" w:eastAsia="Arial" w:hAnsi="Arial"/>
                <w:sz w:val="14"/>
                <w:szCs w:val="14"/>
                <w:color w:val="auto"/>
                <w:w w:val="91"/>
              </w:rPr>
              <w:t>Corporate Education</w:t>
            </w:r>
          </w:p>
        </w:tc>
        <w:tc>
          <w:tcPr>
            <w:tcW w:w="980" w:type="dxa"/>
            <w:vAlign w:val="bottom"/>
            <w:vMerge w:val="restart"/>
          </w:tcPr>
          <w:p>
            <w:pPr>
              <w:jc w:val="center"/>
              <w:spacing w:after="0"/>
              <w:rPr>
                <w:sz w:val="20"/>
                <w:szCs w:val="20"/>
                <w:color w:val="auto"/>
              </w:rPr>
            </w:pPr>
            <w:r>
              <w:rPr>
                <w:rFonts w:ascii="Arial" w:cs="Arial" w:eastAsia="Arial" w:hAnsi="Arial"/>
                <w:sz w:val="14"/>
                <w:szCs w:val="14"/>
                <w:color w:val="auto"/>
                <w:w w:val="94"/>
              </w:rPr>
              <w:t>11/26/2014</w:t>
            </w:r>
          </w:p>
        </w:tc>
        <w:tc>
          <w:tcPr>
            <w:tcW w:w="100" w:type="dxa"/>
            <w:vAlign w:val="bottom"/>
          </w:tcPr>
          <w:p>
            <w:pPr>
              <w:spacing w:after="0"/>
              <w:rPr>
                <w:sz w:val="11"/>
                <w:szCs w:val="11"/>
                <w:color w:val="auto"/>
              </w:rPr>
            </w:pPr>
          </w:p>
        </w:tc>
        <w:tc>
          <w:tcPr>
            <w:tcW w:w="18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940" w:type="dxa"/>
            <w:vAlign w:val="bottom"/>
            <w:vMerge w:val="restart"/>
          </w:tcPr>
          <w:p>
            <w:pPr>
              <w:jc w:val="right"/>
              <w:ind w:right="8"/>
              <w:spacing w:after="0"/>
              <w:rPr>
                <w:sz w:val="20"/>
                <w:szCs w:val="20"/>
                <w:color w:val="auto"/>
              </w:rPr>
            </w:pPr>
            <w:r>
              <w:rPr>
                <w:rFonts w:ascii="Arial" w:cs="Arial" w:eastAsia="Arial" w:hAnsi="Arial"/>
                <w:sz w:val="14"/>
                <w:szCs w:val="14"/>
                <w:color w:val="auto"/>
              </w:rPr>
              <w:t>1,251,158</w:t>
            </w:r>
          </w:p>
        </w:tc>
        <w:tc>
          <w:tcPr>
            <w:tcW w:w="100" w:type="dxa"/>
            <w:vAlign w:val="bottom"/>
          </w:tcPr>
          <w:p>
            <w:pPr>
              <w:spacing w:after="0"/>
              <w:rPr>
                <w:sz w:val="11"/>
                <w:szCs w:val="11"/>
                <w:color w:val="auto"/>
              </w:rPr>
            </w:pPr>
          </w:p>
        </w:tc>
        <w:tc>
          <w:tcPr>
            <w:tcW w:w="240" w:type="dxa"/>
            <w:vAlign w:val="bottom"/>
            <w:vMerge w:val="restart"/>
          </w:tcPr>
          <w:p>
            <w:pPr>
              <w:jc w:val="right"/>
              <w:ind w:right="88"/>
              <w:spacing w:after="0"/>
              <w:rPr>
                <w:sz w:val="20"/>
                <w:szCs w:val="20"/>
                <w:color w:val="auto"/>
              </w:rPr>
            </w:pPr>
            <w:r>
              <w:rPr>
                <w:rFonts w:ascii="Arial" w:cs="Arial" w:eastAsia="Arial" w:hAnsi="Arial"/>
                <w:sz w:val="14"/>
                <w:szCs w:val="14"/>
                <w:color w:val="auto"/>
                <w:w w:val="76"/>
              </w:rPr>
              <w:t>$</w:t>
            </w:r>
          </w:p>
        </w:tc>
        <w:tc>
          <w:tcPr>
            <w:tcW w:w="860" w:type="dxa"/>
            <w:vAlign w:val="bottom"/>
            <w:vMerge w:val="restart"/>
          </w:tcPr>
          <w:p>
            <w:pPr>
              <w:jc w:val="right"/>
              <w:ind w:right="8"/>
              <w:spacing w:after="0"/>
              <w:rPr>
                <w:sz w:val="20"/>
                <w:szCs w:val="20"/>
                <w:color w:val="auto"/>
              </w:rPr>
            </w:pPr>
            <w:r>
              <w:rPr>
                <w:rFonts w:ascii="Arial" w:cs="Arial" w:eastAsia="Arial" w:hAnsi="Arial"/>
                <w:sz w:val="14"/>
                <w:szCs w:val="14"/>
                <w:color w:val="auto"/>
              </w:rPr>
              <w:t>1,256,191</w:t>
            </w:r>
          </w:p>
        </w:tc>
        <w:tc>
          <w:tcPr>
            <w:tcW w:w="100" w:type="dxa"/>
            <w:vAlign w:val="bottom"/>
          </w:tcPr>
          <w:p>
            <w:pPr>
              <w:spacing w:after="0"/>
              <w:rPr>
                <w:sz w:val="11"/>
                <w:szCs w:val="11"/>
                <w:color w:val="auto"/>
              </w:rPr>
            </w:pP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312,790</w:t>
            </w:r>
          </w:p>
        </w:tc>
        <w:tc>
          <w:tcPr>
            <w:tcW w:w="10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0.10</w:t>
            </w: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189"/>
        </w:trPr>
        <w:tc>
          <w:tcPr>
            <w:tcW w:w="1120" w:type="dxa"/>
            <w:vAlign w:val="bottom"/>
            <w:gridSpan w:val="2"/>
          </w:tcPr>
          <w:p>
            <w:pPr>
              <w:ind w:left="20"/>
              <w:spacing w:after="0" w:line="189" w:lineRule="exact"/>
              <w:rPr>
                <w:sz w:val="20"/>
                <w:szCs w:val="20"/>
                <w:color w:val="auto"/>
              </w:rPr>
            </w:pPr>
            <w:r>
              <w:rPr>
                <w:rFonts w:ascii="Arial" w:cs="Arial" w:eastAsia="Arial" w:hAnsi="Arial"/>
                <w:sz w:val="14"/>
                <w:szCs w:val="14"/>
                <w:color w:val="auto"/>
              </w:rPr>
              <w:t>2/14/2023</w:t>
            </w:r>
            <w:r>
              <w:rPr>
                <w:rFonts w:ascii="Arial" w:cs="Arial" w:eastAsia="Arial" w:hAnsi="Arial"/>
                <w:sz w:val="18"/>
                <w:szCs w:val="18"/>
                <w:color w:val="auto"/>
                <w:vertAlign w:val="superscript"/>
              </w:rPr>
              <w:t>(4)</w:t>
            </w: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60" w:type="dxa"/>
            <w:vAlign w:val="bottom"/>
            <w:gridSpan w:val="2"/>
            <w:vMerge w:val="continue"/>
          </w:tcPr>
          <w:p>
            <w:pPr>
              <w:spacing w:after="0"/>
              <w:rPr>
                <w:sz w:val="16"/>
                <w:szCs w:val="16"/>
                <w:color w:val="auto"/>
              </w:rPr>
            </w:pPr>
          </w:p>
        </w:tc>
        <w:tc>
          <w:tcPr>
            <w:tcW w:w="9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3540" w:type="dxa"/>
            <w:vAlign w:val="bottom"/>
            <w:gridSpan w:val="4"/>
            <w:shd w:val="clear" w:color="auto" w:fill="CCEEFF"/>
          </w:tcPr>
          <w:p>
            <w:pPr>
              <w:spacing w:after="0"/>
              <w:rPr>
                <w:sz w:val="20"/>
                <w:szCs w:val="20"/>
                <w:color w:val="auto"/>
              </w:rPr>
            </w:pPr>
            <w:r>
              <w:rPr>
                <w:rFonts w:ascii="Arial" w:cs="Arial" w:eastAsia="Arial" w:hAnsi="Arial"/>
                <w:sz w:val="14"/>
                <w:szCs w:val="14"/>
                <w:color w:val="auto"/>
              </w:rPr>
              <w:t>Convertible preferred shares, Series D 6%</w:t>
            </w:r>
          </w:p>
        </w:tc>
        <w:tc>
          <w:tcPr>
            <w:tcW w:w="100" w:type="dxa"/>
            <w:vAlign w:val="bottom"/>
            <w:shd w:val="clear" w:color="auto" w:fill="CCEEFF"/>
          </w:tcPr>
          <w:p>
            <w:pPr>
              <w:spacing w:after="0"/>
              <w:rPr>
                <w:sz w:val="16"/>
                <w:szCs w:val="16"/>
                <w:color w:val="auto"/>
              </w:rPr>
            </w:pPr>
          </w:p>
        </w:tc>
        <w:tc>
          <w:tcPr>
            <w:tcW w:w="1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5/31/2013</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169,033</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778,607</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73,882</w:t>
            </w: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0.02</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540" w:type="dxa"/>
            <w:vAlign w:val="bottom"/>
            <w:gridSpan w:val="4"/>
          </w:tcPr>
          <w:p>
            <w:pPr>
              <w:spacing w:after="0"/>
              <w:rPr>
                <w:sz w:val="20"/>
                <w:szCs w:val="20"/>
                <w:color w:val="auto"/>
              </w:rPr>
            </w:pPr>
            <w:r>
              <w:rPr>
                <w:rFonts w:ascii="Arial" w:cs="Arial" w:eastAsia="Arial" w:hAnsi="Arial"/>
                <w:sz w:val="14"/>
                <w:szCs w:val="14"/>
                <w:color w:val="auto"/>
              </w:rPr>
              <w:t>Convertible preferred shares, Series C 8%</w:t>
            </w:r>
          </w:p>
        </w:tc>
        <w:tc>
          <w:tcPr>
            <w:tcW w:w="10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jc w:val="center"/>
              <w:spacing w:after="0"/>
              <w:rPr>
                <w:sz w:val="20"/>
                <w:szCs w:val="20"/>
                <w:color w:val="auto"/>
              </w:rPr>
            </w:pPr>
            <w:r>
              <w:rPr>
                <w:rFonts w:ascii="Arial" w:cs="Arial" w:eastAsia="Arial" w:hAnsi="Arial"/>
                <w:sz w:val="14"/>
                <w:szCs w:val="14"/>
                <w:color w:val="auto"/>
                <w:w w:val="93"/>
              </w:rPr>
              <w:t>3/29/2012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615,763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2,006,077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186"/>
        </w:trPr>
        <w:tc>
          <w:tcPr>
            <w:tcW w:w="20" w:type="dxa"/>
            <w:vAlign w:val="bottom"/>
            <w:tcBorders>
              <w:top w:val="single" w:sz="8" w:color="CCEEFF"/>
            </w:tcBorders>
            <w:shd w:val="clear" w:color="auto" w:fill="CCEEFF"/>
          </w:tcPr>
          <w:p>
            <w:pPr>
              <w:spacing w:after="0"/>
              <w:rPr>
                <w:sz w:val="16"/>
                <w:szCs w:val="16"/>
                <w:color w:val="auto"/>
              </w:rPr>
            </w:pPr>
          </w:p>
        </w:tc>
        <w:tc>
          <w:tcPr>
            <w:tcW w:w="3540" w:type="dxa"/>
            <w:vAlign w:val="bottom"/>
            <w:tcBorders>
              <w:top w:val="single" w:sz="8" w:color="CCEEFF"/>
            </w:tcBorders>
            <w:gridSpan w:val="4"/>
            <w:shd w:val="clear" w:color="auto" w:fill="CCEEFF"/>
          </w:tcPr>
          <w:p>
            <w:pPr>
              <w:ind w:left="120"/>
              <w:spacing w:after="0"/>
              <w:rPr>
                <w:sz w:val="20"/>
                <w:szCs w:val="20"/>
                <w:color w:val="auto"/>
              </w:rPr>
            </w:pPr>
            <w:r>
              <w:rPr>
                <w:rFonts w:ascii="Arial" w:cs="Arial" w:eastAsia="Arial" w:hAnsi="Arial"/>
                <w:sz w:val="14"/>
                <w:szCs w:val="14"/>
                <w:color w:val="auto"/>
              </w:rPr>
              <w:t>Total</w:t>
            </w:r>
          </w:p>
        </w:tc>
        <w:tc>
          <w:tcPr>
            <w:tcW w:w="100" w:type="dxa"/>
            <w:vAlign w:val="bottom"/>
            <w:tcBorders>
              <w:top w:val="single" w:sz="8" w:color="CCEEFF"/>
            </w:tcBorders>
            <w:shd w:val="clear" w:color="auto" w:fill="CCEEFF"/>
          </w:tcPr>
          <w:p>
            <w:pPr>
              <w:spacing w:after="0"/>
              <w:rPr>
                <w:sz w:val="16"/>
                <w:szCs w:val="16"/>
                <w:color w:val="auto"/>
              </w:rPr>
            </w:pPr>
          </w:p>
        </w:tc>
        <w:tc>
          <w:tcPr>
            <w:tcW w:w="18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9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9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auto"/>
            </w:tcBorders>
            <w:shd w:val="clear" w:color="auto" w:fill="CCEEFF"/>
          </w:tcPr>
          <w:p>
            <w:pPr>
              <w:spacing w:after="0"/>
              <w:rPr>
                <w:sz w:val="16"/>
                <w:szCs w:val="16"/>
                <w:color w:val="auto"/>
              </w:rPr>
            </w:pPr>
          </w:p>
        </w:tc>
        <w:tc>
          <w:tcPr>
            <w:tcW w:w="8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4,040,875</w:t>
            </w: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spacing w:after="0"/>
              <w:rPr>
                <w:sz w:val="16"/>
                <w:szCs w:val="16"/>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386,672</w:t>
            </w:r>
          </w:p>
        </w:tc>
        <w:tc>
          <w:tcPr>
            <w:tcW w:w="100" w:type="dxa"/>
            <w:vAlign w:val="bottom"/>
            <w:tcBorders>
              <w:top w:val="single" w:sz="8" w:color="CCEEFF"/>
            </w:tcBorders>
            <w:shd w:val="clear" w:color="auto" w:fill="CCEEFF"/>
          </w:tcPr>
          <w:p>
            <w:pPr>
              <w:spacing w:after="0"/>
              <w:rPr>
                <w:sz w:val="16"/>
                <w:szCs w:val="16"/>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0.12</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3540" w:type="dxa"/>
            <w:vAlign w:val="bottom"/>
            <w:gridSpan w:val="4"/>
          </w:tcPr>
          <w:p>
            <w:pPr>
              <w:spacing w:after="0" w:line="129" w:lineRule="exact"/>
              <w:rPr>
                <w:sz w:val="20"/>
                <w:szCs w:val="20"/>
                <w:color w:val="auto"/>
              </w:rPr>
            </w:pPr>
            <w:r>
              <w:rPr>
                <w:rFonts w:ascii="Arial" w:cs="Arial" w:eastAsia="Arial" w:hAnsi="Arial"/>
                <w:sz w:val="14"/>
                <w:szCs w:val="14"/>
                <w:b w:val="1"/>
                <w:bCs w:val="1"/>
                <w:color w:val="auto"/>
              </w:rPr>
              <w:t>Maven Research, Inc.</w:t>
            </w:r>
          </w:p>
        </w:tc>
        <w:tc>
          <w:tcPr>
            <w:tcW w:w="100" w:type="dxa"/>
            <w:vAlign w:val="bottom"/>
          </w:tcPr>
          <w:p>
            <w:pPr>
              <w:spacing w:after="0"/>
              <w:rPr>
                <w:sz w:val="11"/>
                <w:szCs w:val="11"/>
                <w:color w:val="auto"/>
              </w:rPr>
            </w:pPr>
          </w:p>
        </w:tc>
        <w:tc>
          <w:tcPr>
            <w:tcW w:w="1960" w:type="dxa"/>
            <w:vAlign w:val="bottom"/>
            <w:gridSpan w:val="2"/>
          </w:tcPr>
          <w:p>
            <w:pPr>
              <w:jc w:val="center"/>
              <w:ind w:right="100"/>
              <w:spacing w:after="0" w:line="129" w:lineRule="exact"/>
              <w:rPr>
                <w:sz w:val="20"/>
                <w:szCs w:val="20"/>
                <w:color w:val="auto"/>
              </w:rPr>
            </w:pPr>
            <w:r>
              <w:rPr>
                <w:rFonts w:ascii="Arial" w:cs="Arial" w:eastAsia="Arial" w:hAnsi="Arial"/>
                <w:sz w:val="14"/>
                <w:szCs w:val="14"/>
                <w:color w:val="auto"/>
                <w:w w:val="94"/>
              </w:rPr>
              <w:t>San Francisco, CA</w:t>
            </w: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10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3540" w:type="dxa"/>
            <w:vAlign w:val="bottom"/>
            <w:gridSpan w:val="4"/>
            <w:shd w:val="clear" w:color="auto" w:fill="CCEEFF"/>
          </w:tcPr>
          <w:p>
            <w:pPr>
              <w:spacing w:after="0"/>
              <w:rPr>
                <w:sz w:val="20"/>
                <w:szCs w:val="20"/>
                <w:color w:val="auto"/>
              </w:rPr>
            </w:pPr>
            <w:r>
              <w:rPr>
                <w:rFonts w:ascii="Arial" w:cs="Arial" w:eastAsia="Arial" w:hAnsi="Arial"/>
                <w:sz w:val="14"/>
                <w:szCs w:val="14"/>
                <w:color w:val="auto"/>
              </w:rPr>
              <w:t>Preferred shares, Series C 8%</w:t>
            </w:r>
          </w:p>
        </w:tc>
        <w:tc>
          <w:tcPr>
            <w:tcW w:w="100" w:type="dxa"/>
            <w:vAlign w:val="bottom"/>
            <w:shd w:val="clear" w:color="auto" w:fill="CCEEFF"/>
          </w:tcPr>
          <w:p>
            <w:pPr>
              <w:spacing w:after="0"/>
              <w:rPr>
                <w:sz w:val="16"/>
                <w:szCs w:val="16"/>
                <w:color w:val="auto"/>
              </w:rPr>
            </w:pPr>
          </w:p>
        </w:tc>
        <w:tc>
          <w:tcPr>
            <w:tcW w:w="196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5"/>
              </w:rPr>
              <w:t>Knowledge Networks</w:t>
            </w:r>
          </w:p>
        </w:tc>
        <w:tc>
          <w:tcPr>
            <w:tcW w:w="9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7/2/2012</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318,979</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2,000,447</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540" w:type="dxa"/>
            <w:vAlign w:val="bottom"/>
            <w:gridSpan w:val="4"/>
          </w:tcPr>
          <w:p>
            <w:pPr>
              <w:spacing w:after="0"/>
              <w:rPr>
                <w:sz w:val="20"/>
                <w:szCs w:val="20"/>
                <w:color w:val="auto"/>
              </w:rPr>
            </w:pPr>
            <w:r>
              <w:rPr>
                <w:rFonts w:ascii="Arial" w:cs="Arial" w:eastAsia="Arial" w:hAnsi="Arial"/>
                <w:sz w:val="14"/>
                <w:szCs w:val="14"/>
                <w:color w:val="auto"/>
              </w:rPr>
              <w:t>Preferred shares, Series B 5%</w:t>
            </w:r>
          </w:p>
        </w:tc>
        <w:tc>
          <w:tcPr>
            <w:tcW w:w="10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jc w:val="center"/>
              <w:spacing w:after="0"/>
              <w:rPr>
                <w:sz w:val="20"/>
                <w:szCs w:val="20"/>
                <w:color w:val="auto"/>
              </w:rPr>
            </w:pPr>
            <w:r>
              <w:rPr>
                <w:rFonts w:ascii="Arial" w:cs="Arial" w:eastAsia="Arial" w:hAnsi="Arial"/>
                <w:sz w:val="14"/>
                <w:szCs w:val="14"/>
                <w:color w:val="auto"/>
                <w:w w:val="93"/>
              </w:rPr>
              <w:t>2/28/2012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49,505</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217,206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186"/>
        </w:trPr>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3540" w:type="dxa"/>
            <w:vAlign w:val="bottom"/>
            <w:tcBorders>
              <w:top w:val="single" w:sz="8" w:color="CCEEFF"/>
              <w:bottom w:val="single" w:sz="8" w:color="CCEEFF"/>
            </w:tcBorders>
            <w:gridSpan w:val="4"/>
            <w:shd w:val="clear" w:color="auto" w:fill="CCEEFF"/>
          </w:tcPr>
          <w:p>
            <w:pPr>
              <w:ind w:left="120"/>
              <w:spacing w:after="0"/>
              <w:rPr>
                <w:sz w:val="20"/>
                <w:szCs w:val="20"/>
                <w:color w:val="auto"/>
              </w:rPr>
            </w:pPr>
            <w:r>
              <w:rPr>
                <w:rFonts w:ascii="Arial" w:cs="Arial" w:eastAsia="Arial" w:hAnsi="Arial"/>
                <w:sz w:val="14"/>
                <w:szCs w:val="14"/>
                <w:color w:val="auto"/>
              </w:rPr>
              <w:t>Total</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86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98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CCEEFF"/>
              <w:bottom w:val="single" w:sz="8" w:color="CCEEFF"/>
            </w:tcBorders>
            <w:shd w:val="clear" w:color="auto" w:fill="CCEEFF"/>
          </w:tcPr>
          <w:p>
            <w:pPr>
              <w:spacing w:after="0"/>
              <w:rPr>
                <w:sz w:val="16"/>
                <w:szCs w:val="16"/>
                <w:color w:val="auto"/>
              </w:rPr>
            </w:pPr>
          </w:p>
        </w:tc>
        <w:tc>
          <w:tcPr>
            <w:tcW w:w="94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auto"/>
            </w:tcBorders>
            <w:shd w:val="clear" w:color="auto" w:fill="CCEEFF"/>
          </w:tcPr>
          <w:p>
            <w:pPr>
              <w:spacing w:after="0"/>
              <w:rPr>
                <w:sz w:val="16"/>
                <w:szCs w:val="16"/>
                <w:color w:val="auto"/>
              </w:rPr>
            </w:pPr>
          </w:p>
        </w:tc>
        <w:tc>
          <w:tcPr>
            <w:tcW w:w="8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2,217,653</w:t>
            </w: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spacing w:after="0"/>
              <w:rPr>
                <w:sz w:val="16"/>
                <w:szCs w:val="16"/>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6"/>
                <w:szCs w:val="16"/>
                <w:color w:val="auto"/>
              </w:rPr>
            </w:pPr>
          </w:p>
        </w:tc>
        <w:tc>
          <w:tcPr>
            <w:tcW w:w="9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540" w:type="dxa"/>
            <w:vAlign w:val="bottom"/>
            <w:gridSpan w:val="4"/>
          </w:tcPr>
          <w:p>
            <w:pPr>
              <w:spacing w:after="0" w:line="142" w:lineRule="exact"/>
              <w:rPr>
                <w:sz w:val="20"/>
                <w:szCs w:val="20"/>
                <w:color w:val="auto"/>
              </w:rPr>
            </w:pPr>
            <w:r>
              <w:rPr>
                <w:rFonts w:ascii="Arial" w:cs="Arial" w:eastAsia="Arial" w:hAnsi="Arial"/>
                <w:sz w:val="14"/>
                <w:szCs w:val="14"/>
                <w:b w:val="1"/>
                <w:bCs w:val="1"/>
                <w:color w:val="auto"/>
              </w:rPr>
              <w:t>Curious.com, Inc.</w:t>
            </w:r>
          </w:p>
        </w:tc>
        <w:tc>
          <w:tcPr>
            <w:tcW w:w="100" w:type="dxa"/>
            <w:vAlign w:val="bottom"/>
          </w:tcPr>
          <w:p>
            <w:pPr>
              <w:spacing w:after="0"/>
              <w:rPr>
                <w:sz w:val="12"/>
                <w:szCs w:val="12"/>
                <w:color w:val="auto"/>
              </w:rPr>
            </w:pPr>
          </w:p>
        </w:tc>
        <w:tc>
          <w:tcPr>
            <w:tcW w:w="1860" w:type="dxa"/>
            <w:vAlign w:val="bottom"/>
          </w:tcPr>
          <w:p>
            <w:pPr>
              <w:jc w:val="center"/>
              <w:spacing w:after="0" w:line="142" w:lineRule="exact"/>
              <w:rPr>
                <w:sz w:val="20"/>
                <w:szCs w:val="20"/>
                <w:color w:val="auto"/>
              </w:rPr>
            </w:pPr>
            <w:r>
              <w:rPr>
                <w:rFonts w:ascii="Arial" w:cs="Arial" w:eastAsia="Arial" w:hAnsi="Arial"/>
                <w:sz w:val="14"/>
                <w:szCs w:val="14"/>
                <w:color w:val="auto"/>
                <w:w w:val="95"/>
              </w:rPr>
              <w:t>Menlo Park, CA</w:t>
            </w: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3540" w:type="dxa"/>
            <w:vAlign w:val="bottom"/>
            <w:gridSpan w:val="4"/>
            <w:shd w:val="clear" w:color="auto" w:fill="CCEEFF"/>
          </w:tcPr>
          <w:p>
            <w:pPr>
              <w:spacing w:after="0"/>
              <w:rPr>
                <w:sz w:val="20"/>
                <w:szCs w:val="20"/>
                <w:color w:val="auto"/>
              </w:rPr>
            </w:pPr>
            <w:r>
              <w:rPr>
                <w:rFonts w:ascii="Arial" w:cs="Arial" w:eastAsia="Arial" w:hAnsi="Arial"/>
                <w:sz w:val="14"/>
                <w:szCs w:val="14"/>
                <w:color w:val="auto"/>
              </w:rPr>
              <w:t>Common shares</w:t>
            </w:r>
          </w:p>
        </w:tc>
        <w:tc>
          <w:tcPr>
            <w:tcW w:w="100" w:type="dxa"/>
            <w:vAlign w:val="bottom"/>
            <w:shd w:val="clear" w:color="auto" w:fill="CCEEFF"/>
          </w:tcPr>
          <w:p>
            <w:pPr>
              <w:spacing w:after="0"/>
              <w:rPr>
                <w:sz w:val="16"/>
                <w:szCs w:val="16"/>
                <w:color w:val="auto"/>
              </w:rPr>
            </w:pPr>
          </w:p>
        </w:tc>
        <w:tc>
          <w:tcPr>
            <w:tcW w:w="196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5"/>
              </w:rPr>
              <w:t>Online Education</w:t>
            </w:r>
          </w:p>
        </w:tc>
        <w:tc>
          <w:tcPr>
            <w:tcW w:w="9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11/22/2013</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1,135,944</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12,000,006</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bl>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0" w:type="dxa"/>
            <w:vAlign w:val="bottom"/>
            <w:shd w:val="clear" w:color="auto" w:fill="CCEEFF"/>
          </w:tcPr>
          <w:p>
            <w:pPr>
              <w:spacing w:after="0"/>
              <w:rPr>
                <w:sz w:val="16"/>
                <w:szCs w:val="16"/>
                <w:color w:val="auto"/>
              </w:rPr>
            </w:pPr>
          </w:p>
        </w:tc>
        <w:tc>
          <w:tcPr>
            <w:tcW w:w="3420" w:type="dxa"/>
            <w:vAlign w:val="bottom"/>
            <w:gridSpan w:val="3"/>
            <w:shd w:val="clear" w:color="auto" w:fill="CCEEFF"/>
          </w:tcPr>
          <w:p>
            <w:pPr>
              <w:ind w:left="120"/>
              <w:spacing w:after="0"/>
              <w:rPr>
                <w:sz w:val="20"/>
                <w:szCs w:val="20"/>
                <w:color w:val="auto"/>
              </w:rPr>
            </w:pPr>
            <w:r>
              <w:rPr>
                <w:rFonts w:ascii="Arial" w:cs="Arial" w:eastAsia="Arial" w:hAnsi="Arial"/>
                <w:sz w:val="14"/>
                <w:szCs w:val="14"/>
                <w:b w:val="1"/>
                <w:bCs w:val="1"/>
                <w:color w:val="auto"/>
              </w:rPr>
              <w:t>Total Non-controlled/Affiliate</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w w:val="76"/>
              </w:rPr>
              <w:t>$</w:t>
            </w: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53,865,346</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30,165,773</w:t>
            </w: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10.00 %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3420" w:type="dxa"/>
            <w:vAlign w:val="bottom"/>
            <w:gridSpan w:val="3"/>
            <w:shd w:val="clear" w:color="auto" w:fill="CCEEFF"/>
          </w:tcPr>
          <w:p>
            <w:pPr>
              <w:spacing w:after="0" w:line="189" w:lineRule="exact"/>
              <w:rPr>
                <w:sz w:val="20"/>
                <w:szCs w:val="20"/>
                <w:color w:val="auto"/>
              </w:rPr>
            </w:pPr>
            <w:r>
              <w:rPr>
                <w:rFonts w:ascii="Arial" w:cs="Arial" w:eastAsia="Arial" w:hAnsi="Arial"/>
                <w:sz w:val="14"/>
                <w:szCs w:val="14"/>
                <w:b w:val="1"/>
                <w:bCs w:val="1"/>
                <w:color w:val="auto"/>
              </w:rPr>
              <w:t>CONTROLLED</w:t>
            </w:r>
            <w:r>
              <w:rPr>
                <w:rFonts w:ascii="Arial" w:cs="Arial" w:eastAsia="Arial" w:hAnsi="Arial"/>
                <w:sz w:val="18"/>
                <w:szCs w:val="18"/>
                <w:b w:val="1"/>
                <w:bCs w:val="1"/>
                <w:color w:val="auto"/>
                <w:vertAlign w:val="superscript"/>
              </w:rPr>
              <w:t>(2)</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4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8"/>
              </w:rPr>
              <w:t>SPBRX, INC. (f/k/a GSV Sustainability Partners, Inc.)</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6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7"/>
              </w:rPr>
              <w:t>Cupertino, CA</w:t>
            </w:r>
          </w:p>
        </w:tc>
        <w:tc>
          <w:tcPr>
            <w:tcW w:w="9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60" w:type="dxa"/>
            <w:vAlign w:val="bottom"/>
            <w:tcBorders>
              <w:top w:val="single" w:sz="8" w:color="auto"/>
            </w:tcBorders>
          </w:tcPr>
          <w:p>
            <w:pPr>
              <w:spacing w:after="0" w:line="20" w:lineRule="exact"/>
              <w:rPr>
                <w:sz w:val="1"/>
                <w:szCs w:val="1"/>
                <w:color w:val="auto"/>
              </w:rPr>
            </w:pPr>
          </w:p>
        </w:tc>
        <w:tc>
          <w:tcPr>
            <w:tcW w:w="250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3420" w:type="dxa"/>
            <w:vAlign w:val="bottom"/>
            <w:gridSpan w:val="3"/>
            <w:shd w:val="clear" w:color="auto" w:fill="CCEEFF"/>
          </w:tcPr>
          <w:p>
            <w:pPr>
              <w:spacing w:after="0" w:line="189" w:lineRule="exact"/>
              <w:rPr>
                <w:sz w:val="20"/>
                <w:szCs w:val="20"/>
                <w:color w:val="auto"/>
              </w:rPr>
            </w:pPr>
            <w:r>
              <w:rPr>
                <w:rFonts w:ascii="Arial" w:cs="Arial" w:eastAsia="Arial" w:hAnsi="Arial"/>
                <w:sz w:val="14"/>
                <w:szCs w:val="14"/>
                <w:color w:val="auto"/>
              </w:rPr>
              <w:t>Preferred shares, Class A***</w:t>
            </w:r>
            <w:r>
              <w:rPr>
                <w:rFonts w:ascii="Arial" w:cs="Arial" w:eastAsia="Arial" w:hAnsi="Arial"/>
                <w:sz w:val="18"/>
                <w:szCs w:val="18"/>
                <w:color w:val="auto"/>
                <w:vertAlign w:val="superscript"/>
              </w:rPr>
              <w:t>(6)</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96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3"/>
              </w:rPr>
              <w:t>Clean Technology</w:t>
            </w:r>
          </w:p>
        </w:tc>
        <w:tc>
          <w:tcPr>
            <w:tcW w:w="9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4/15/2014</w:t>
            </w:r>
          </w:p>
        </w:tc>
        <w:tc>
          <w:tcPr>
            <w:tcW w:w="32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14,300,000</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7,151,412</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809,198</w:t>
            </w: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0.27 %</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420" w:type="dxa"/>
            <w:vAlign w:val="bottom"/>
            <w:gridSpan w:val="3"/>
          </w:tcPr>
          <w:p>
            <w:pPr>
              <w:spacing w:after="0"/>
              <w:rPr>
                <w:sz w:val="20"/>
                <w:szCs w:val="20"/>
                <w:color w:val="auto"/>
              </w:rPr>
            </w:pPr>
            <w:r>
              <w:rPr>
                <w:rFonts w:ascii="Arial" w:cs="Arial" w:eastAsia="Arial" w:hAnsi="Arial"/>
                <w:sz w:val="14"/>
                <w:szCs w:val="14"/>
                <w:color w:val="auto"/>
              </w:rPr>
              <w:t>Common shares</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jc w:val="center"/>
              <w:spacing w:after="0"/>
              <w:rPr>
                <w:sz w:val="20"/>
                <w:szCs w:val="20"/>
                <w:color w:val="auto"/>
              </w:rPr>
            </w:pPr>
            <w:r>
              <w:rPr>
                <w:rFonts w:ascii="Arial" w:cs="Arial" w:eastAsia="Arial" w:hAnsi="Arial"/>
                <w:sz w:val="14"/>
                <w:szCs w:val="14"/>
                <w:color w:val="auto"/>
                <w:w w:val="93"/>
              </w:rPr>
              <w:t>4/15/2014</w:t>
            </w:r>
          </w:p>
        </w:tc>
        <w:tc>
          <w:tcPr>
            <w:tcW w:w="320" w:type="dxa"/>
            <w:vAlign w:val="bottom"/>
          </w:tcPr>
          <w:p>
            <w:pPr>
              <w:spacing w:after="0"/>
              <w:rPr>
                <w:sz w:val="16"/>
                <w:szCs w:val="16"/>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100,000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10,000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183"/>
        </w:trPr>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3420" w:type="dxa"/>
            <w:vAlign w:val="bottom"/>
            <w:tcBorders>
              <w:top w:val="single" w:sz="8" w:color="CCEEFF"/>
              <w:bottom w:val="single" w:sz="8" w:color="CCEEFF"/>
            </w:tcBorders>
            <w:gridSpan w:val="3"/>
            <w:shd w:val="clear" w:color="auto" w:fill="CCEEFF"/>
          </w:tcPr>
          <w:p>
            <w:pPr>
              <w:ind w:left="120"/>
              <w:spacing w:after="0"/>
              <w:rPr>
                <w:sz w:val="20"/>
                <w:szCs w:val="20"/>
                <w:color w:val="auto"/>
              </w:rPr>
            </w:pPr>
            <w:r>
              <w:rPr>
                <w:rFonts w:ascii="Arial" w:cs="Arial" w:eastAsia="Arial" w:hAnsi="Arial"/>
                <w:sz w:val="14"/>
                <w:szCs w:val="14"/>
                <w:color w:val="auto"/>
              </w:rPr>
              <w:t>Total</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86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980" w:type="dxa"/>
            <w:vAlign w:val="bottom"/>
            <w:tcBorders>
              <w:top w:val="single" w:sz="8" w:color="CCEEFF"/>
              <w:bottom w:val="single" w:sz="8" w:color="CCEEFF"/>
            </w:tcBorders>
            <w:shd w:val="clear" w:color="auto" w:fill="CCEEFF"/>
          </w:tcPr>
          <w:p>
            <w:pPr>
              <w:spacing w:after="0"/>
              <w:rPr>
                <w:sz w:val="15"/>
                <w:szCs w:val="15"/>
                <w:color w:val="auto"/>
              </w:rPr>
            </w:pPr>
          </w:p>
        </w:tc>
        <w:tc>
          <w:tcPr>
            <w:tcW w:w="320" w:type="dxa"/>
            <w:vAlign w:val="bottom"/>
            <w:tcBorders>
              <w:top w:val="single" w:sz="8" w:color="CCEEFF"/>
              <w:bottom w:val="single" w:sz="8" w:color="CCEEFF"/>
            </w:tcBorders>
            <w:shd w:val="clear" w:color="auto" w:fill="CCEEFF"/>
          </w:tcPr>
          <w:p>
            <w:pPr>
              <w:spacing w:after="0"/>
              <w:rPr>
                <w:sz w:val="15"/>
                <w:szCs w:val="15"/>
                <w:color w:val="auto"/>
              </w:rPr>
            </w:pPr>
          </w:p>
        </w:tc>
        <w:tc>
          <w:tcPr>
            <w:tcW w:w="90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shd w:val="clear" w:color="auto" w:fill="CCEEFF"/>
          </w:tcPr>
          <w:p>
            <w:pPr>
              <w:spacing w:after="0"/>
              <w:rPr>
                <w:sz w:val="15"/>
                <w:szCs w:val="15"/>
                <w:color w:val="auto"/>
              </w:rPr>
            </w:pPr>
          </w:p>
        </w:tc>
        <w:tc>
          <w:tcPr>
            <w:tcW w:w="90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7,161,412</w:t>
            </w: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shd w:val="clear" w:color="auto" w:fill="CCEEFF"/>
          </w:tcPr>
          <w:p>
            <w:pPr>
              <w:spacing w:after="0"/>
              <w:rPr>
                <w:sz w:val="15"/>
                <w:szCs w:val="15"/>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809,198</w:t>
            </w:r>
          </w:p>
        </w:tc>
        <w:tc>
          <w:tcPr>
            <w:tcW w:w="100" w:type="dxa"/>
            <w:vAlign w:val="bottom"/>
            <w:tcBorders>
              <w:top w:val="single" w:sz="8" w:color="CCEEFF"/>
            </w:tcBorders>
            <w:shd w:val="clear" w:color="auto" w:fill="CCEEFF"/>
          </w:tcPr>
          <w:p>
            <w:pPr>
              <w:spacing w:after="0"/>
              <w:rPr>
                <w:sz w:val="15"/>
                <w:szCs w:val="15"/>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0.27 %</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3420" w:type="dxa"/>
            <w:vAlign w:val="bottom"/>
            <w:gridSpan w:val="3"/>
            <w:shd w:val="clear" w:color="auto" w:fill="CCEEFF"/>
          </w:tcPr>
          <w:p>
            <w:pPr>
              <w:ind w:left="120"/>
              <w:spacing w:after="0"/>
              <w:rPr>
                <w:sz w:val="20"/>
                <w:szCs w:val="20"/>
                <w:color w:val="auto"/>
              </w:rPr>
            </w:pPr>
            <w:r>
              <w:rPr>
                <w:rFonts w:ascii="Arial" w:cs="Arial" w:eastAsia="Arial" w:hAnsi="Arial"/>
                <w:sz w:val="14"/>
                <w:szCs w:val="14"/>
                <w:b w:val="1"/>
                <w:bCs w:val="1"/>
                <w:color w:val="auto"/>
              </w:rPr>
              <w:t>Total Controlled</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w w:val="76"/>
              </w:rPr>
              <w:t>$</w:t>
            </w: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7,161,412</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809,198</w:t>
            </w: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0.27 %</w:t>
            </w:r>
          </w:p>
        </w:tc>
        <w:tc>
          <w:tcPr>
            <w:tcW w:w="0" w:type="dxa"/>
            <w:vAlign w:val="bottom"/>
          </w:tcPr>
          <w:p>
            <w:pPr>
              <w:spacing w:after="0"/>
              <w:rPr>
                <w:sz w:val="1"/>
                <w:szCs w:val="1"/>
                <w:color w:val="auto"/>
              </w:rPr>
            </w:pPr>
          </w:p>
        </w:tc>
      </w:tr>
      <w:tr>
        <w:trPr>
          <w:trHeight w:val="216"/>
        </w:trPr>
        <w:tc>
          <w:tcPr>
            <w:tcW w:w="20" w:type="dxa"/>
            <w:vAlign w:val="bottom"/>
            <w:tcBorders>
              <w:bottom w:val="single" w:sz="8" w:color="CCEEFF"/>
            </w:tcBorders>
          </w:tcPr>
          <w:p>
            <w:pPr>
              <w:spacing w:after="0"/>
              <w:rPr>
                <w:sz w:val="18"/>
                <w:szCs w:val="18"/>
                <w:color w:val="auto"/>
              </w:rPr>
            </w:pPr>
          </w:p>
        </w:tc>
        <w:tc>
          <w:tcPr>
            <w:tcW w:w="860" w:type="dxa"/>
            <w:vAlign w:val="bottom"/>
            <w:tcBorders>
              <w:bottom w:val="single" w:sz="8" w:color="CCEEFF"/>
            </w:tcBorders>
          </w:tcPr>
          <w:p>
            <w:pPr>
              <w:spacing w:after="0"/>
              <w:rPr>
                <w:sz w:val="18"/>
                <w:szCs w:val="18"/>
                <w:color w:val="auto"/>
              </w:rPr>
            </w:pPr>
          </w:p>
        </w:tc>
        <w:tc>
          <w:tcPr>
            <w:tcW w:w="250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980" w:type="dxa"/>
            <w:vAlign w:val="bottom"/>
            <w:tcBorders>
              <w:bottom w:val="single" w:sz="8" w:color="CCEEFF"/>
            </w:tcBorders>
          </w:tcPr>
          <w:p>
            <w:pPr>
              <w:spacing w:after="0"/>
              <w:rPr>
                <w:sz w:val="18"/>
                <w:szCs w:val="18"/>
                <w:color w:val="auto"/>
              </w:rPr>
            </w:pPr>
          </w:p>
        </w:tc>
        <w:tc>
          <w:tcPr>
            <w:tcW w:w="320" w:type="dxa"/>
            <w:vAlign w:val="bottom"/>
            <w:tcBorders>
              <w:bottom w:val="single" w:sz="8" w:color="CCEEFF"/>
            </w:tcBorders>
          </w:tcPr>
          <w:p>
            <w:pPr>
              <w:spacing w:after="0"/>
              <w:rPr>
                <w:sz w:val="18"/>
                <w:szCs w:val="18"/>
                <w:color w:val="auto"/>
              </w:rPr>
            </w:pPr>
          </w:p>
        </w:tc>
        <w:tc>
          <w:tcPr>
            <w:tcW w:w="9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20" w:type="dxa"/>
            <w:vAlign w:val="bottom"/>
            <w:shd w:val="clear" w:color="auto" w:fill="CCEEFF"/>
          </w:tcPr>
          <w:p>
            <w:pPr>
              <w:spacing w:after="0"/>
              <w:rPr>
                <w:sz w:val="15"/>
                <w:szCs w:val="15"/>
                <w:color w:val="auto"/>
              </w:rPr>
            </w:pPr>
          </w:p>
        </w:tc>
        <w:tc>
          <w:tcPr>
            <w:tcW w:w="3420" w:type="dxa"/>
            <w:vAlign w:val="bottom"/>
            <w:gridSpan w:val="3"/>
            <w:shd w:val="clear" w:color="auto" w:fill="CCEEFF"/>
          </w:tcPr>
          <w:p>
            <w:pPr>
              <w:ind w:left="120"/>
              <w:spacing w:after="0"/>
              <w:rPr>
                <w:sz w:val="20"/>
                <w:szCs w:val="20"/>
                <w:color w:val="auto"/>
              </w:rPr>
            </w:pPr>
            <w:r>
              <w:rPr>
                <w:rFonts w:ascii="Arial" w:cs="Arial" w:eastAsia="Arial" w:hAnsi="Arial"/>
                <w:sz w:val="14"/>
                <w:szCs w:val="14"/>
                <w:b w:val="1"/>
                <w:bCs w:val="1"/>
                <w:color w:val="auto"/>
              </w:rPr>
              <w:t>Total Portfolio Investments</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w w:val="76"/>
              </w:rPr>
              <w:t>$</w:t>
            </w: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166,365,927</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280,779,774</w:t>
            </w: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93.10 %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20" w:type="dxa"/>
            <w:vAlign w:val="bottom"/>
            <w:tcBorders>
              <w:bottom w:val="single" w:sz="8" w:color="CCEEFF"/>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spacing w:after="0" w:line="149" w:lineRule="exact"/>
              <w:rPr>
                <w:sz w:val="20"/>
                <w:szCs w:val="20"/>
                <w:color w:val="auto"/>
              </w:rPr>
            </w:pPr>
            <w:r>
              <w:rPr>
                <w:rFonts w:ascii="Arial" w:cs="Arial" w:eastAsia="Arial" w:hAnsi="Arial"/>
                <w:sz w:val="14"/>
                <w:szCs w:val="14"/>
                <w:b w:val="1"/>
                <w:bCs w:val="1"/>
                <w:color w:val="auto"/>
                <w:w w:val="93"/>
              </w:rPr>
              <w:t>U.S. Treasury</w:t>
            </w:r>
          </w:p>
        </w:tc>
        <w:tc>
          <w:tcPr>
            <w:tcW w:w="2560" w:type="dxa"/>
            <w:vAlign w:val="bottom"/>
            <w:tcBorders>
              <w:bottom w:val="single" w:sz="8" w:color="CCEEFF"/>
            </w:tcBorders>
            <w:gridSpan w:val="2"/>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8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98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CCEEFF"/>
            </w:tcBorders>
            <w:shd w:val="clear" w:color="auto" w:fill="CCEEFF"/>
          </w:tcPr>
          <w:p>
            <w:pPr>
              <w:spacing w:after="0"/>
              <w:rPr>
                <w:sz w:val="14"/>
                <w:szCs w:val="14"/>
                <w:color w:val="auto"/>
              </w:rPr>
            </w:pPr>
          </w:p>
        </w:tc>
        <w:tc>
          <w:tcPr>
            <w:tcW w:w="9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9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9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92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420" w:type="dxa"/>
            <w:vAlign w:val="bottom"/>
            <w:gridSpan w:val="3"/>
          </w:tcPr>
          <w:p>
            <w:pPr>
              <w:spacing w:after="0" w:line="189" w:lineRule="exact"/>
              <w:rPr>
                <w:sz w:val="20"/>
                <w:szCs w:val="20"/>
                <w:color w:val="auto"/>
              </w:rPr>
            </w:pPr>
            <w:r>
              <w:rPr>
                <w:rFonts w:ascii="Arial" w:cs="Arial" w:eastAsia="Arial" w:hAnsi="Arial"/>
                <w:sz w:val="14"/>
                <w:szCs w:val="14"/>
                <w:color w:val="auto"/>
              </w:rPr>
              <w:t>U.S. Treasury bill, 0%, due 1/2/2021***</w:t>
            </w:r>
            <w:r>
              <w:rPr>
                <w:rFonts w:ascii="Arial" w:cs="Arial" w:eastAsia="Arial" w:hAnsi="Arial"/>
                <w:sz w:val="18"/>
                <w:szCs w:val="18"/>
                <w:color w:val="auto"/>
                <w:vertAlign w:val="superscript"/>
              </w:rPr>
              <w:t>(3)</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jc w:val="center"/>
              <w:spacing w:after="0"/>
              <w:rPr>
                <w:sz w:val="20"/>
                <w:szCs w:val="20"/>
                <w:color w:val="auto"/>
              </w:rPr>
            </w:pPr>
            <w:r>
              <w:rPr>
                <w:rFonts w:ascii="Arial" w:cs="Arial" w:eastAsia="Arial" w:hAnsi="Arial"/>
                <w:sz w:val="14"/>
                <w:szCs w:val="14"/>
                <w:color w:val="auto"/>
                <w:w w:val="94"/>
              </w:rPr>
              <w:t>12/30/2020</w:t>
            </w:r>
          </w:p>
        </w:tc>
        <w:tc>
          <w:tcPr>
            <w:tcW w:w="3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150,000,000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150,000,000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150,000,000</w:t>
            </w: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49.74 %</w:t>
            </w:r>
          </w:p>
        </w:tc>
        <w:tc>
          <w:tcPr>
            <w:tcW w:w="0" w:type="dxa"/>
            <w:vAlign w:val="bottom"/>
          </w:tcPr>
          <w:p>
            <w:pPr>
              <w:spacing w:after="0"/>
              <w:rPr>
                <w:sz w:val="1"/>
                <w:szCs w:val="1"/>
                <w:color w:val="auto"/>
              </w:rPr>
            </w:pPr>
          </w:p>
        </w:tc>
      </w:tr>
      <w:tr>
        <w:trPr>
          <w:trHeight w:val="216"/>
        </w:trPr>
        <w:tc>
          <w:tcPr>
            <w:tcW w:w="2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c>
          <w:tcPr>
            <w:tcW w:w="250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60" w:type="dxa"/>
            <w:vAlign w:val="bottom"/>
            <w:tcBorders>
              <w:bottom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420" w:type="dxa"/>
            <w:vAlign w:val="bottom"/>
            <w:gridSpan w:val="3"/>
          </w:tcPr>
          <w:p>
            <w:pPr>
              <w:spacing w:after="0"/>
              <w:rPr>
                <w:sz w:val="20"/>
                <w:szCs w:val="20"/>
                <w:color w:val="auto"/>
              </w:rPr>
            </w:pPr>
            <w:r>
              <w:rPr>
                <w:rFonts w:ascii="Arial" w:cs="Arial" w:eastAsia="Arial" w:hAnsi="Arial"/>
                <w:sz w:val="14"/>
                <w:szCs w:val="14"/>
                <w:b w:val="1"/>
                <w:bCs w:val="1"/>
                <w:color w:val="auto"/>
              </w:rPr>
              <w:t>TOTAL INVESTMENTS</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w w:val="76"/>
              </w:rPr>
              <w:t>$</w:t>
            </w:r>
          </w:p>
        </w:tc>
        <w:tc>
          <w:tcPr>
            <w:tcW w:w="9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316,365,927</w:t>
            </w:r>
          </w:p>
        </w:tc>
        <w:tc>
          <w:tcPr>
            <w:tcW w:w="100" w:type="dxa"/>
            <w:vAlign w:val="bottom"/>
          </w:tcPr>
          <w:p>
            <w:pPr>
              <w:spacing w:after="0"/>
              <w:rPr>
                <w:sz w:val="15"/>
                <w:szCs w:val="15"/>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430,779,774</w:t>
            </w:r>
          </w:p>
        </w:tc>
        <w:tc>
          <w:tcPr>
            <w:tcW w:w="100" w:type="dxa"/>
            <w:vAlign w:val="bottom"/>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142.83 %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80" w:type="dxa"/>
            <w:vAlign w:val="bottom"/>
            <w:gridSpan w:val="8"/>
            <w:vMerge w:val="restart"/>
          </w:tcPr>
          <w:p>
            <w:pPr>
              <w:ind w:left="80"/>
              <w:spacing w:after="0"/>
              <w:rPr>
                <w:sz w:val="20"/>
                <w:szCs w:val="20"/>
                <w:color w:val="auto"/>
              </w:rPr>
            </w:pPr>
            <w:r>
              <w:rPr>
                <w:rFonts w:ascii="Arial" w:cs="Arial" w:eastAsia="Arial" w:hAnsi="Arial"/>
                <w:sz w:val="14"/>
                <w:szCs w:val="14"/>
                <w:i w:val="1"/>
                <w:iCs w:val="1"/>
                <w:color w:val="auto"/>
                <w:w w:val="95"/>
              </w:rPr>
              <w:t>See accompanying notes to condensed consolidated financial statements.</w:t>
            </w: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80" w:type="dxa"/>
            <w:vAlign w:val="bottom"/>
            <w:gridSpan w:val="8"/>
            <w:vMerge w:val="continue"/>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-452755</wp:posOffset>
            </wp:positionV>
            <wp:extent cx="6172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172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-572770</wp:posOffset>
            </wp:positionV>
            <wp:extent cx="2254250"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25425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-1601470</wp:posOffset>
            </wp:positionV>
            <wp:extent cx="4954905"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4954905" cy="128905"/>
                    </a:xfrm>
                    <a:prstGeom prst="rect">
                      <a:avLst/>
                    </a:prstGeom>
                    <a:noFill/>
                  </pic:spPr>
                </pic:pic>
              </a:graphicData>
            </a:graphic>
          </wp:anchor>
        </w:drawing>
      </w:r>
    </w:p>
    <w:p>
      <w:pPr>
        <w:spacing w:after="0" w:line="236" w:lineRule="auto"/>
        <w:rPr>
          <w:sz w:val="20"/>
          <w:szCs w:val="20"/>
          <w:color w:val="auto"/>
        </w:rPr>
      </w:pPr>
      <w:r>
        <w:rPr>
          <w:rFonts w:ascii="Arial" w:cs="Arial" w:eastAsia="Arial" w:hAnsi="Arial"/>
          <w:sz w:val="11"/>
          <w:szCs w:val="11"/>
          <w:color w:val="auto"/>
        </w:rPr>
        <w:t>__________________________________________</w:t>
      </w:r>
    </w:p>
    <w:p>
      <w:pPr>
        <w:spacing w:after="0" w:line="3" w:lineRule="exact"/>
        <w:rPr>
          <w:sz w:val="20"/>
          <w:szCs w:val="20"/>
          <w:color w:val="auto"/>
        </w:rPr>
      </w:pPr>
    </w:p>
    <w:p>
      <w:pPr>
        <w:jc w:val="right"/>
        <w:ind w:left="500" w:hanging="492"/>
        <w:spacing w:after="0" w:line="281" w:lineRule="auto"/>
        <w:tabs>
          <w:tab w:leader="none" w:pos="324" w:val="left"/>
        </w:tabs>
        <w:numPr>
          <w:ilvl w:val="0"/>
          <w:numId w:val="9"/>
        </w:numPr>
        <w:rPr>
          <w:rFonts w:ascii="Arial" w:cs="Arial" w:eastAsia="Arial" w:hAnsi="Arial"/>
          <w:sz w:val="16"/>
          <w:szCs w:val="16"/>
          <w:color w:val="auto"/>
        </w:rPr>
      </w:pPr>
      <w:r>
        <w:rPr>
          <w:rFonts w:ascii="Arial" w:cs="Arial" w:eastAsia="Arial" w:hAnsi="Arial"/>
          <w:sz w:val="14"/>
          <w:szCs w:val="14"/>
          <w:color w:val="auto"/>
        </w:rPr>
        <w:t>All portfolio investments are non-control/non-affiliated and non-income-producing, unless otherwise identified. Equity investments are subject to lock-up restrictions upon their initial public offering (“IPO”). Preferred dividends are generally only payable when declared and paid by the portfolio company's board of directors. The Company’s directors, officers, employees and staff, as applicable, may serve on the board of directors of the Company’s portfolio investments. (Refer to “Note 3— Related-Party Arrangements”). All portfolio investments are considered Level 3 and valued using significant unobservable inputs, unless otherwise noted. (Refer to</w:t>
      </w:r>
    </w:p>
    <w:p>
      <w:pPr>
        <w:spacing w:after="0" w:line="3" w:lineRule="exact"/>
        <w:rPr>
          <w:sz w:val="20"/>
          <w:szCs w:val="20"/>
          <w:color w:val="auto"/>
        </w:rPr>
      </w:pPr>
    </w:p>
    <w:p>
      <w:pPr>
        <w:ind w:left="500"/>
        <w:spacing w:after="0" w:line="262" w:lineRule="auto"/>
        <w:rPr>
          <w:sz w:val="20"/>
          <w:szCs w:val="20"/>
          <w:color w:val="auto"/>
        </w:rPr>
      </w:pPr>
      <w:r>
        <w:rPr>
          <w:rFonts w:ascii="Arial" w:cs="Arial" w:eastAsia="Arial" w:hAnsi="Arial"/>
          <w:sz w:val="15"/>
          <w:szCs w:val="15"/>
          <w:color w:val="auto"/>
        </w:rPr>
        <w:t>“Note 4—Investments at Fair Value”). All of the Company's portfolio investments are restricted as to resale, unless otherwise noted, and were valued at fair value as determined in good faith by the Company’s Board of Directors. (Refer to "Note 2—Significant Accounting Policies—</w:t>
      </w:r>
      <w:r>
        <w:rPr>
          <w:rFonts w:ascii="Arial" w:cs="Arial" w:eastAsia="Arial" w:hAnsi="Arial"/>
          <w:sz w:val="15"/>
          <w:szCs w:val="15"/>
          <w:i w:val="1"/>
          <w:iCs w:val="1"/>
          <w:color w:val="auto"/>
        </w:rPr>
        <w:t>Investments at Fair Value</w:t>
      </w:r>
      <w:r>
        <w:rPr>
          <w:rFonts w:ascii="Arial" w:cs="Arial" w:eastAsia="Arial" w:hAnsi="Arial"/>
          <w:sz w:val="15"/>
          <w:szCs w:val="15"/>
          <w:color w:val="auto"/>
        </w:rPr>
        <w:t>").</w:t>
      </w:r>
    </w:p>
    <w:p>
      <w:pPr>
        <w:spacing w:after="0" w:line="1" w:lineRule="exact"/>
        <w:rPr>
          <w:sz w:val="20"/>
          <w:szCs w:val="20"/>
          <w:color w:val="auto"/>
        </w:rPr>
      </w:pPr>
    </w:p>
    <w:p>
      <w:pPr>
        <w:ind w:left="500" w:hanging="492"/>
        <w:spacing w:after="0" w:line="246" w:lineRule="auto"/>
        <w:tabs>
          <w:tab w:leader="none" w:pos="377" w:val="left"/>
        </w:tabs>
        <w:numPr>
          <w:ilvl w:val="0"/>
          <w:numId w:val="10"/>
        </w:numPr>
        <w:rPr>
          <w:rFonts w:ascii="Arial" w:cs="Arial" w:eastAsia="Arial" w:hAnsi="Arial"/>
          <w:sz w:val="16"/>
          <w:szCs w:val="16"/>
          <w:color w:val="auto"/>
        </w:rPr>
      </w:pPr>
      <w:r>
        <w:rPr>
          <w:rFonts w:ascii="Arial" w:cs="Arial" w:eastAsia="Arial" w:hAnsi="Arial"/>
          <w:sz w:val="16"/>
          <w:szCs w:val="16"/>
          <w:color w:val="auto"/>
        </w:rPr>
        <w:t>Indicates assets that SuRo Capital Corp. believes do not represent “qualifying assets” under Section 55(a) of the Investment Company Act of 1940, as amended (the “1940 Act”). Of the Company’s total investments as of December 31, 2020, 22.56% of its total investments are non-qualifying assets.</w:t>
      </w:r>
    </w:p>
    <w:p>
      <w:pPr>
        <w:ind w:left="420" w:hanging="412"/>
        <w:spacing w:after="0"/>
        <w:tabs>
          <w:tab w:leader="none" w:pos="4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Investment is income-producing.</w:t>
      </w:r>
    </w:p>
    <w:p>
      <w:pPr>
        <w:spacing w:after="0" w:line="234" w:lineRule="exact"/>
        <w:rPr>
          <w:sz w:val="20"/>
          <w:szCs w:val="20"/>
          <w:color w:val="auto"/>
        </w:rPr>
      </w:pPr>
    </w:p>
    <w:p>
      <w:pPr>
        <w:jc w:val="both"/>
        <w:ind w:left="500" w:hanging="492"/>
        <w:spacing w:after="0" w:line="256" w:lineRule="auto"/>
        <w:tabs>
          <w:tab w:leader="none" w:pos="5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“Affiliate Investments” are investments in those companies that are “Affiliated Companies” of SuRo Capital Corp., as defined in the 1940 Act. In general, a company is deemed to be an “Affiliate” of SuRo Capital Corp. if SuRo Capital Corp. owns 5% or more of the voting securities (</w:t>
      </w:r>
      <w:r>
        <w:rPr>
          <w:rFonts w:ascii="Arial" w:cs="Arial" w:eastAsia="Arial" w:hAnsi="Arial"/>
          <w:sz w:val="16"/>
          <w:szCs w:val="16"/>
          <w:i w:val="1"/>
          <w:iCs w:val="1"/>
          <w:color w:val="auto"/>
        </w:rPr>
        <w:t>i.e.</w:t>
      </w:r>
      <w:r>
        <w:rPr>
          <w:rFonts w:ascii="Arial" w:cs="Arial" w:eastAsia="Arial" w:hAnsi="Arial"/>
          <w:sz w:val="16"/>
          <w:szCs w:val="16"/>
          <w:color w:val="auto"/>
        </w:rPr>
        <w:t>, securities with the right to elect directors) of such company. For the Schedule of Investments In, and Advances To, Affiliates, as required by SEC Regulation S-X, Rule 12-14, refer to “Note 4—Investments at Fair Value”.</w:t>
      </w:r>
    </w:p>
    <w:p>
      <w:pPr>
        <w:spacing w:after="0" w:line="213" w:lineRule="exact"/>
        <w:rPr>
          <w:rFonts w:ascii="Arial" w:cs="Arial" w:eastAsia="Arial" w:hAnsi="Arial"/>
          <w:sz w:val="16"/>
          <w:szCs w:val="16"/>
          <w:color w:val="auto"/>
        </w:rPr>
      </w:pPr>
    </w:p>
    <w:p>
      <w:pPr>
        <w:jc w:val="both"/>
        <w:ind w:left="500" w:hanging="492"/>
        <w:spacing w:after="0" w:line="278" w:lineRule="auto"/>
        <w:tabs>
          <w:tab w:leader="none" w:pos="500" w:val="left"/>
        </w:tabs>
        <w:numPr>
          <w:ilvl w:val="0"/>
          <w:numId w:val="12"/>
        </w:numPr>
        <w:rPr>
          <w:rFonts w:ascii="Arial" w:cs="Arial" w:eastAsia="Arial" w:hAnsi="Arial"/>
          <w:sz w:val="15"/>
          <w:szCs w:val="15"/>
          <w:color w:val="auto"/>
        </w:rPr>
      </w:pPr>
      <w:r>
        <w:rPr>
          <w:rFonts w:ascii="Arial" w:cs="Arial" w:eastAsia="Arial" w:hAnsi="Arial"/>
          <w:sz w:val="15"/>
          <w:szCs w:val="15"/>
          <w:color w:val="auto"/>
        </w:rPr>
        <w:t>“Control Investments” are investments in those companies that are “Controlled Companies” of SuRo Capital Corp., as defined in the 1940 Act. In general, under the 1940 Act, the Company would “Control” a portfolio company if the Company owned more than 25% of its outstanding voting securities (i.e., securities with the right to elect directors) and/or had the power to exercise control over the management or policies of such portfolio company. For the Schedule of Investments In, and Advances To, Affiliates, as required by SEC Regulation S-X, Rule 12-14, refer to “Note 4—Investments at Fair Value”.</w:t>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40"/>
          </w:cols>
          <w:pgMar w:left="320" w:top="122" w:right="339" w:bottom="1440" w:gutter="0" w:footer="0" w:header="0"/>
        </w:sectPr>
      </w:pPr>
    </w:p>
    <w:bookmarkStart w:id="14" w:name="page15"/>
    <w:bookmarkEnd w:id="14"/>
    <w:p>
      <w:pPr>
        <w:spacing w:after="0"/>
        <w:rPr>
          <w:rFonts w:ascii="Arial" w:cs="Arial" w:eastAsia="Arial" w:hAnsi="Arial"/>
          <w:sz w:val="14"/>
          <w:szCs w:val="14"/>
          <w:color w:val="0000FF"/>
        </w:rPr>
      </w:pPr>
      <w:hyperlink w:anchor="page1">
        <w:r>
          <w:rPr>
            <w:rFonts w:ascii="Arial" w:cs="Arial" w:eastAsia="Arial" w:hAnsi="Arial"/>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500" w:hanging="492"/>
        <w:spacing w:after="0" w:line="275" w:lineRule="auto"/>
        <w:tabs>
          <w:tab w:leader="none" w:pos="5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Denotes an investment considered Level 1 or Level 2 and valued using observable inputs. As of December 31, 2020, 1 portfolio investment held by SuRo Capital Corp. was considered Level 1 or Level 2. Refer to “Note 4—Investments at Fair Value”.</w:t>
      </w:r>
    </w:p>
    <w:p>
      <w:pPr>
        <w:spacing w:after="0" w:line="199" w:lineRule="exact"/>
        <w:rPr>
          <w:rFonts w:ascii="Arial" w:cs="Arial" w:eastAsia="Arial" w:hAnsi="Arial"/>
          <w:sz w:val="16"/>
          <w:szCs w:val="16"/>
          <w:color w:val="auto"/>
        </w:rPr>
      </w:pPr>
    </w:p>
    <w:p>
      <w:pPr>
        <w:ind w:left="500" w:hanging="492"/>
        <w:spacing w:after="0"/>
        <w:tabs>
          <w:tab w:leader="none" w:pos="5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As of December 31, 2020, the investments noted had been placed on non-accrual status.</w:t>
      </w:r>
    </w:p>
    <w:p>
      <w:pPr>
        <w:spacing w:after="0" w:line="248" w:lineRule="exact"/>
        <w:rPr>
          <w:rFonts w:ascii="Arial" w:cs="Arial" w:eastAsia="Arial" w:hAnsi="Arial"/>
          <w:sz w:val="16"/>
          <w:szCs w:val="16"/>
          <w:color w:val="auto"/>
        </w:rPr>
      </w:pPr>
    </w:p>
    <w:p>
      <w:pPr>
        <w:ind w:left="500" w:hanging="492"/>
        <w:spacing w:after="0"/>
        <w:tabs>
          <w:tab w:leader="none" w:pos="5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SuRo Capital Corp.’s investments in StormWind, LLC are held through SuRo Capital Corp.'s wholly owned subsidiary, GSVC SW Holdings, Inc.</w:t>
      </w:r>
    </w:p>
    <w:p>
      <w:pPr>
        <w:spacing w:after="0" w:line="248" w:lineRule="exact"/>
        <w:rPr>
          <w:rFonts w:ascii="Arial" w:cs="Arial" w:eastAsia="Arial" w:hAnsi="Arial"/>
          <w:sz w:val="16"/>
          <w:szCs w:val="16"/>
          <w:color w:val="auto"/>
        </w:rPr>
      </w:pPr>
    </w:p>
    <w:p>
      <w:pPr>
        <w:jc w:val="both"/>
        <w:ind w:left="500" w:hanging="492"/>
        <w:spacing w:after="0" w:line="256" w:lineRule="auto"/>
        <w:tabs>
          <w:tab w:leader="none" w:pos="5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SPBRX, INC. (f/k/a GSV Sustainability Partners, Inc.) preferred shares held by SuRo Capital Corp. do not entitle SuRo Capital Corp. to a preferred dividend rate. During the year ended December 31, 2020, SPBRX, INC. (f/k/a GSV Sustainability Partners, Inc.) declared, and SuRo Capital Corp. received, an aggregate of $450,000 in dividend distributions. SuRo Capital Corp. does not anticipate that SPBRX, INC. will pay distributions on a quarterly or regular basis or become a predictable distributor of distributions.</w:t>
      </w:r>
    </w:p>
    <w:p>
      <w:pPr>
        <w:spacing w:after="0" w:line="213" w:lineRule="exact"/>
        <w:rPr>
          <w:rFonts w:ascii="Arial" w:cs="Arial" w:eastAsia="Arial" w:hAnsi="Arial"/>
          <w:sz w:val="16"/>
          <w:szCs w:val="16"/>
          <w:color w:val="auto"/>
        </w:rPr>
      </w:pPr>
    </w:p>
    <w:p>
      <w:pPr>
        <w:jc w:val="both"/>
        <w:ind w:left="500" w:hanging="492"/>
        <w:spacing w:after="0" w:line="315" w:lineRule="auto"/>
        <w:tabs>
          <w:tab w:leader="none" w:pos="500" w:val="left"/>
        </w:tabs>
        <w:numPr>
          <w:ilvl w:val="0"/>
          <w:numId w:val="13"/>
        </w:numPr>
        <w:rPr>
          <w:rFonts w:ascii="Arial" w:cs="Arial" w:eastAsia="Arial" w:hAnsi="Arial"/>
          <w:sz w:val="14"/>
          <w:szCs w:val="14"/>
          <w:color w:val="auto"/>
        </w:rPr>
      </w:pPr>
      <w:r>
        <w:rPr>
          <w:rFonts w:ascii="Arial" w:cs="Arial" w:eastAsia="Arial" w:hAnsi="Arial"/>
          <w:sz w:val="14"/>
          <w:szCs w:val="14"/>
          <w:color w:val="auto"/>
        </w:rPr>
        <w:t>On August 23, 2019, SuRo Capital Corp. amended the structure of its investment in NestGSV, Inc. (d/b/a OneValley, Inc.). As part of the agreement, SuRo Capital Corp.’s equity holdings (warrants notwithstanding) were restructured into a derivative security. NestGSV, Inc. (d/b/a OneValley,Inc.) has the right to call the position at any time over a five year period, while SuRo Capital Corp. can put the shares to NestGSV, Inc. (d/b/a OneValley, Inc.) at the end of the five year period.</w:t>
      </w:r>
    </w:p>
    <w:p>
      <w:pPr>
        <w:spacing w:after="0" w:line="176" w:lineRule="exact"/>
        <w:rPr>
          <w:rFonts w:ascii="Arial" w:cs="Arial" w:eastAsia="Arial" w:hAnsi="Arial"/>
          <w:sz w:val="14"/>
          <w:szCs w:val="14"/>
          <w:color w:val="auto"/>
        </w:rPr>
      </w:pPr>
    </w:p>
    <w:p>
      <w:pPr>
        <w:jc w:val="both"/>
        <w:ind w:left="500" w:hanging="492"/>
        <w:spacing w:after="0" w:line="261" w:lineRule="auto"/>
        <w:tabs>
          <w:tab w:leader="none" w:pos="5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During the year ended December 31, 2020, Treehouse Real Estate Investment Trust Inc. declared, and SuRo Capital Corp. received, an aggregate of $50,000 in dividend distributions. SuRo Capital Corp. does not anticipate that Treehouse Real Estate Investment Trust Inc. will pay distributions on a recurring or regular basis or become a predictable distributor of distributions.</w:t>
      </w:r>
    </w:p>
    <w:p>
      <w:pPr>
        <w:spacing w:after="0" w:line="209" w:lineRule="exact"/>
        <w:rPr>
          <w:rFonts w:ascii="Arial" w:cs="Arial" w:eastAsia="Arial" w:hAnsi="Arial"/>
          <w:sz w:val="16"/>
          <w:szCs w:val="16"/>
          <w:color w:val="auto"/>
        </w:rPr>
      </w:pPr>
    </w:p>
    <w:p>
      <w:pPr>
        <w:ind w:left="500" w:right="20" w:hanging="492"/>
        <w:spacing w:after="0" w:line="310" w:lineRule="auto"/>
        <w:tabs>
          <w:tab w:leader="none" w:pos="500" w:val="left"/>
        </w:tabs>
        <w:numPr>
          <w:ilvl w:val="0"/>
          <w:numId w:val="13"/>
        </w:numPr>
        <w:rPr>
          <w:rFonts w:ascii="Arial" w:cs="Arial" w:eastAsia="Arial" w:hAnsi="Arial"/>
          <w:sz w:val="15"/>
          <w:szCs w:val="15"/>
          <w:color w:val="auto"/>
        </w:rPr>
      </w:pPr>
      <w:r>
        <w:rPr>
          <w:rFonts w:ascii="Arial" w:cs="Arial" w:eastAsia="Arial" w:hAnsi="Arial"/>
          <w:sz w:val="15"/>
          <w:szCs w:val="15"/>
          <w:color w:val="auto"/>
        </w:rPr>
        <w:t>During the year ended December 31, 2020, GreenAcreage Real Estate Corp. declared an aggregate of $317,617 in dividend distributions. SuRo Capital Corp. does not anticipate that GreenAcreage Real Estate Corp. will pay distributions on a recurring or regular basis or become a predictable distributor of distributions.</w:t>
      </w:r>
    </w:p>
    <w:p>
      <w:pPr>
        <w:spacing w:after="0" w:line="175" w:lineRule="exact"/>
        <w:rPr>
          <w:rFonts w:ascii="Arial" w:cs="Arial" w:eastAsia="Arial" w:hAnsi="Arial"/>
          <w:sz w:val="15"/>
          <w:szCs w:val="15"/>
          <w:color w:val="auto"/>
        </w:rPr>
      </w:pPr>
    </w:p>
    <w:p>
      <w:pPr>
        <w:jc w:val="both"/>
        <w:ind w:left="500" w:hanging="492"/>
        <w:spacing w:after="0" w:line="270" w:lineRule="auto"/>
        <w:tabs>
          <w:tab w:leader="none" w:pos="500" w:val="left"/>
        </w:tabs>
        <w:numPr>
          <w:ilvl w:val="0"/>
          <w:numId w:val="13"/>
        </w:numPr>
        <w:rPr>
          <w:rFonts w:ascii="Arial" w:cs="Arial" w:eastAsia="Arial" w:hAnsi="Arial"/>
          <w:sz w:val="15"/>
          <w:szCs w:val="15"/>
          <w:color w:val="auto"/>
        </w:rPr>
      </w:pPr>
      <w:r>
        <w:rPr>
          <w:rFonts w:ascii="Arial" w:cs="Arial" w:eastAsia="Arial" w:hAnsi="Arial"/>
          <w:sz w:val="15"/>
          <w:szCs w:val="15"/>
          <w:color w:val="auto"/>
        </w:rPr>
        <w:t>On June 19, 2020, SuRo Capital Corp. extended a $6,900,000, non-recourse, collateralized loan to Palantir Lending Trust SPV I. The collateralized loan to Palantir Lending Trust SPV I matures on June 19, 2022 and includes a 15% interest rate. Through the collateralized loan, SuRo Capital Corp. participates in additional upside in a future Palantir Technologies, Inc. liquidity event by receiving a percentage of the share price appreciation as captured in the Equity Participation in Underlying Collateral security. As of December 31, 2020, $8,671,618 has been received from Palantir Lending Trust SPV I. Of the proceeds received, $6,900,000 fully repaid the outstanding principal, $782,125 was attributed to the accrued guaranteed interest, and $989,494 was generated by the Equity Participation in Underlying Collateral. As of December 31, 2020, the balance of the loan and all guaranteed interest has been fully repaid, and SuRo Capital Corp. retains the right to upside on 1,312,290 shares as captured in the Equity Participation in Underlying Collateral security.</w:t>
      </w:r>
    </w:p>
    <w:p>
      <w:pPr>
        <w:spacing w:after="0" w:line="207" w:lineRule="exact"/>
        <w:rPr>
          <w:rFonts w:ascii="Arial" w:cs="Arial" w:eastAsia="Arial" w:hAnsi="Arial"/>
          <w:sz w:val="15"/>
          <w:szCs w:val="15"/>
          <w:color w:val="auto"/>
        </w:rPr>
      </w:pPr>
    </w:p>
    <w:p>
      <w:pPr>
        <w:jc w:val="both"/>
        <w:ind w:left="500" w:hanging="492"/>
        <w:spacing w:after="0" w:line="256" w:lineRule="auto"/>
        <w:tabs>
          <w:tab w:leader="none" w:pos="494" w:val="left"/>
        </w:tabs>
        <w:numPr>
          <w:ilvl w:val="0"/>
          <w:numId w:val="13"/>
        </w:numPr>
        <w:rPr>
          <w:rFonts w:ascii="Arial" w:cs="Arial" w:eastAsia="Arial" w:hAnsi="Arial"/>
          <w:sz w:val="16"/>
          <w:szCs w:val="16"/>
          <w:color w:val="auto"/>
        </w:rPr>
      </w:pPr>
      <w:r>
        <w:rPr>
          <w:rFonts w:ascii="Arial" w:cs="Arial" w:eastAsia="Arial" w:hAnsi="Arial"/>
          <w:sz w:val="16"/>
          <w:szCs w:val="16"/>
          <w:color w:val="auto"/>
        </w:rPr>
        <w:t>On May 11, 2020, SuRo Capital Corp. made a follow-on investment in a junior preferred convertible note to Neutron Holdings, Inc. (d/b/a Lime) as part of a recapitalization of Neutron Holdings, Inc. (d/b/a Lime), led by Uber Technologies, Inc. On May 11, 2020, SuRo Capital Corp.'s existing Series D Preferred shares were converted to Series 1-D Junior Preferred shares. As part of the transaction, SuRo Capital Corp. was issued, and received on August 24, 2020, 2,032,967 common warrants with a strike price of $0.01 and an expiration date of May 11, 2027.</w:t>
      </w:r>
    </w:p>
    <w:p>
      <w:pPr>
        <w:spacing w:after="0" w:line="213" w:lineRule="exact"/>
        <w:rPr>
          <w:rFonts w:ascii="Arial" w:cs="Arial" w:eastAsia="Arial" w:hAnsi="Arial"/>
          <w:sz w:val="16"/>
          <w:szCs w:val="16"/>
          <w:color w:val="auto"/>
        </w:rPr>
      </w:pPr>
    </w:p>
    <w:p>
      <w:pPr>
        <w:ind w:left="500" w:hanging="492"/>
        <w:spacing w:after="0" w:line="310" w:lineRule="auto"/>
        <w:tabs>
          <w:tab w:leader="none" w:pos="500" w:val="left"/>
        </w:tabs>
        <w:numPr>
          <w:ilvl w:val="0"/>
          <w:numId w:val="13"/>
        </w:numPr>
        <w:rPr>
          <w:rFonts w:ascii="Arial" w:cs="Arial" w:eastAsia="Arial" w:hAnsi="Arial"/>
          <w:sz w:val="15"/>
          <w:szCs w:val="15"/>
          <w:color w:val="auto"/>
        </w:rPr>
      </w:pPr>
      <w:r>
        <w:rPr>
          <w:rFonts w:ascii="Arial" w:cs="Arial" w:eastAsia="Arial" w:hAnsi="Arial"/>
          <w:sz w:val="15"/>
          <w:szCs w:val="15"/>
          <w:color w:val="auto"/>
        </w:rPr>
        <w:t>On June 6, 2020, the convertible note SuRo Capital Corp. had extended to Aspiration Partners, Inc. converted into Series C-3 Preferred shares at a 15% discount to Aspiration Partners, Inc.'s most recent financing round. SuRo Capital Corp. received 24,912 Series C-3 Preferred shares as a result of the conversion.</w:t>
      </w:r>
    </w:p>
    <w:p>
      <w:pPr>
        <w:spacing w:after="0" w:line="175" w:lineRule="exact"/>
        <w:rPr>
          <w:rFonts w:ascii="Arial" w:cs="Arial" w:eastAsia="Arial" w:hAnsi="Arial"/>
          <w:sz w:val="15"/>
          <w:szCs w:val="15"/>
          <w:color w:val="auto"/>
        </w:rPr>
      </w:pPr>
    </w:p>
    <w:p>
      <w:pPr>
        <w:jc w:val="both"/>
        <w:ind w:left="500" w:hanging="492"/>
        <w:spacing w:after="0" w:line="252" w:lineRule="auto"/>
        <w:tabs>
          <w:tab w:leader="none" w:pos="5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On September 30, 2020, Palantir Technologies, Inc. went public via a modified direct listing on the New York Stock Exchange. Under the terms of the modified direct listing, as disclosed in Palantir Technologies, Inc.'s Amendment No. 1 to Form S-1 Registration Statement, 20% of SuRo Capital Corp.'s Class A common shares in Palantir Technologies, Inc. held at the time of the direct public listing were considered unrestricted, while the remaining 80% were subject to sales restrictions and are not eligible for sale until the third business day following the filing of Palantir Technologies, Inc.'s fiscal year 2020 Form 10-K filing in 2021. As of December 31, 2020, SuRo Capital Corp. holds 4,618,952 public shares of Palantir Technologies, Inc. common stock, all of which are subject to certain lock-up restrictions.</w:t>
      </w:r>
    </w:p>
    <w:p>
      <w:pPr>
        <w:spacing w:after="0" w:line="217" w:lineRule="exact"/>
        <w:rPr>
          <w:rFonts w:ascii="Arial" w:cs="Arial" w:eastAsia="Arial" w:hAnsi="Arial"/>
          <w:sz w:val="16"/>
          <w:szCs w:val="16"/>
          <w:color w:val="auto"/>
        </w:rPr>
      </w:pPr>
    </w:p>
    <w:p>
      <w:pPr>
        <w:ind w:left="500" w:right="20" w:hanging="492"/>
        <w:spacing w:after="0" w:line="275" w:lineRule="auto"/>
        <w:tabs>
          <w:tab w:leader="none" w:pos="5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On July 29, 2020 SuRo Capital Corp. exited its investment in 4C Insights (f/k/a The Echo Systems Corp.). In connection with this exit, SuRo Capital Corp. received 112,374 Class A common shares in Kinetiq Holdings, LLC in addition to cash proceeds and amounts currently held in escrow.</w:t>
      </w:r>
    </w:p>
    <w:p>
      <w:pPr>
        <w:spacing w:after="0" w:line="199" w:lineRule="exact"/>
        <w:rPr>
          <w:rFonts w:ascii="Arial" w:cs="Arial" w:eastAsia="Arial" w:hAnsi="Arial"/>
          <w:sz w:val="16"/>
          <w:szCs w:val="16"/>
          <w:color w:val="auto"/>
        </w:rPr>
      </w:pPr>
    </w:p>
    <w:p>
      <w:pPr>
        <w:jc w:val="both"/>
        <w:ind w:left="500" w:hanging="492"/>
        <w:spacing w:after="0" w:line="256" w:lineRule="auto"/>
        <w:tabs>
          <w:tab w:leader="none" w:pos="5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On November 9, 2020, SharesPost, Inc. completed its merger with Forge Global, Inc. As part of the merger, SuRo Capital Corp. received Class AA Common Shares, Junior Preferred Stock and Junior Warrants of Forge. In addition, as part of the merger, certain assets held by SharesPost, Inc. that were not acquired by Forge were spun-out into a new entity called SP Holdings Group, Inc. In addition to the shares received from Forge, SuRo Capital Corp. also received Series B Preferred Stock and Common Shares in SP Holdings Group, Inc.</w:t>
      </w:r>
    </w:p>
    <w:p>
      <w:pPr>
        <w:spacing w:after="0" w:line="213" w:lineRule="exact"/>
        <w:rPr>
          <w:rFonts w:ascii="Arial" w:cs="Arial" w:eastAsia="Arial" w:hAnsi="Arial"/>
          <w:sz w:val="16"/>
          <w:szCs w:val="16"/>
          <w:color w:val="auto"/>
        </w:rPr>
      </w:pPr>
    </w:p>
    <w:p>
      <w:pPr>
        <w:ind w:left="500" w:hanging="492"/>
        <w:spacing w:after="0" w:line="275" w:lineRule="auto"/>
        <w:tabs>
          <w:tab w:leader="none" w:pos="5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SuRo Capital Corp.’s investments in Residential Homes for Rent, LLC (d/b/a Second Avenue) are held through SuRo Capital Corp.'s wholly owned subsidiary, GSVC AV Holdings, Inc.</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40"/>
          </w:cols>
          <w:pgMar w:left="320" w:top="122" w:right="339" w:bottom="1440" w:gutter="0" w:footer="0" w:header="0"/>
        </w:sectPr>
      </w:pPr>
    </w:p>
    <w:bookmarkStart w:id="15" w:name="page16"/>
    <w:bookmarkEnd w:id="1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SURO CAPITAL CORP. AND SUBSIDIARIES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2021</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1—NATURE OF OPERATIONS</w:t>
      </w:r>
    </w:p>
    <w:p>
      <w:pPr>
        <w:spacing w:after="0" w:line="256" w:lineRule="exact"/>
        <w:rPr>
          <w:sz w:val="20"/>
          <w:szCs w:val="20"/>
          <w:color w:val="auto"/>
        </w:rPr>
      </w:pPr>
    </w:p>
    <w:p>
      <w:pPr>
        <w:jc w:val="both"/>
        <w:ind w:firstLine="364"/>
        <w:spacing w:after="0" w:line="257" w:lineRule="auto"/>
        <w:rPr>
          <w:sz w:val="20"/>
          <w:szCs w:val="20"/>
          <w:color w:val="auto"/>
        </w:rPr>
      </w:pPr>
      <w:r>
        <w:rPr>
          <w:rFonts w:ascii="Arial" w:cs="Arial" w:eastAsia="Arial" w:hAnsi="Arial"/>
          <w:sz w:val="18"/>
          <w:szCs w:val="18"/>
          <w:color w:val="auto"/>
        </w:rPr>
        <w:t>SuRo Capital Corp. ("we", "us", "our", “Company” or “SuRo Capital”), formerly known as Sutter Rock Capital Corp. and as GSV Capital Corp. and formed in September 2010 as a Maryland corporation, is an internally-managed, non-diversified closed-end management investment company. The Company has elected to be regulated as a business development company ("BDC") under the Investment Company Act of 1940, as amended (the “1940 Act”), and has elected to be treated, and intends to qualify annually, as a regulated investment company (“RIC”) under Subchapter M of the Internal Revenue Code of 1986, as amended (the “Code”).</w:t>
      </w:r>
    </w:p>
    <w:p>
      <w:pPr>
        <w:spacing w:after="0" w:line="215" w:lineRule="exact"/>
        <w:rPr>
          <w:sz w:val="20"/>
          <w:szCs w:val="20"/>
          <w:color w:val="auto"/>
        </w:rPr>
      </w:pPr>
    </w:p>
    <w:p>
      <w:pPr>
        <w:jc w:val="both"/>
        <w:ind w:firstLine="364"/>
        <w:spacing w:after="0" w:line="273" w:lineRule="auto"/>
        <w:rPr>
          <w:sz w:val="20"/>
          <w:szCs w:val="20"/>
          <w:color w:val="auto"/>
        </w:rPr>
      </w:pPr>
      <w:r>
        <w:rPr>
          <w:rFonts w:ascii="Arial" w:cs="Arial" w:eastAsia="Arial" w:hAnsi="Arial"/>
          <w:sz w:val="17"/>
          <w:szCs w:val="17"/>
          <w:color w:val="auto"/>
        </w:rPr>
        <w:t>On and effective March 12, 2019, our Board of Directors approved internalizing our operating structure ("Internalization") and we began operating as an internally-managed non-diversified closed-end management investment company that has elected to be regulated as a BDC under the 1940 Act. Prior to March 12, 2019, we were externally managed by our former investment adviser, GSV Asset Management, LLC (“GSV Asset Management”), pursuant to an investment advisory agreement (the “Investment Advisory Agreement”), and our former administrator, GSV Capital Service Company, LLC (“GSV Capital Service Company”), provided the administrative services necessary for our operations pursuant to an administration agreement (the “Administration Agreement”). Refer to "Note 3 — Related-Party Arrangements" for further detail.</w:t>
      </w:r>
    </w:p>
    <w:p>
      <w:pPr>
        <w:spacing w:after="0" w:line="205" w:lineRule="exact"/>
        <w:rPr>
          <w:sz w:val="20"/>
          <w:szCs w:val="20"/>
          <w:color w:val="auto"/>
        </w:rPr>
      </w:pPr>
    </w:p>
    <w:p>
      <w:pPr>
        <w:jc w:val="both"/>
        <w:ind w:firstLine="364"/>
        <w:spacing w:after="0" w:line="263" w:lineRule="auto"/>
        <w:rPr>
          <w:sz w:val="20"/>
          <w:szCs w:val="20"/>
          <w:color w:val="auto"/>
        </w:rPr>
      </w:pPr>
      <w:r>
        <w:rPr>
          <w:rFonts w:ascii="Arial" w:cs="Arial" w:eastAsia="Arial" w:hAnsi="Arial"/>
          <w:sz w:val="18"/>
          <w:szCs w:val="18"/>
          <w:color w:val="auto"/>
        </w:rPr>
        <w:t>The Company’s date of inception was January 6, 2011, which is the date it commenced its development stage activities. The Company’s common stock is currently listed on the Nasdaq Capital Market under the symbol “SSSS” (formerly "GSVC"). The Company began its investment operations during the second quarter of 2011.</w:t>
      </w:r>
    </w:p>
    <w:p>
      <w:pPr>
        <w:spacing w:after="0" w:line="211" w:lineRule="exact"/>
        <w:rPr>
          <w:sz w:val="20"/>
          <w:szCs w:val="20"/>
          <w:color w:val="auto"/>
        </w:rPr>
      </w:pPr>
    </w:p>
    <w:p>
      <w:pPr>
        <w:jc w:val="both"/>
        <w:ind w:firstLine="364"/>
        <w:spacing w:after="0" w:line="255" w:lineRule="auto"/>
        <w:rPr>
          <w:sz w:val="20"/>
          <w:szCs w:val="20"/>
          <w:color w:val="auto"/>
        </w:rPr>
      </w:pPr>
      <w:r>
        <w:rPr>
          <w:rFonts w:ascii="Arial" w:cs="Arial" w:eastAsia="Arial" w:hAnsi="Arial"/>
          <w:sz w:val="18"/>
          <w:szCs w:val="18"/>
          <w:color w:val="auto"/>
        </w:rPr>
        <w:t>The table below displays the Company’s subsidiaries as of March 31, 2021, which, other than GSV Capital Lending, LLC (“GCL”), are collectively referred to as the “Taxable Subsidiaries.” The Taxable Subsidiaries were formed to hold portfolio investments. The Taxable Subsidiaries, including their associated portfolio investments, are consolidated with the Company for accounting purposes, but have elected to be treated as separate entities for U.S. federal income tax purposes, except for SuRo Capital Sports, LLC, which is subject to pass-through tax treatment. GCL was formed to originate portfolio loan investments within the state of California and is consolidated with the Company for accounting purposes. Refer to “Note 2—Significant Accounting Policies—</w:t>
      </w:r>
      <w:r>
        <w:rPr>
          <w:rFonts w:ascii="Arial" w:cs="Arial" w:eastAsia="Arial" w:hAnsi="Arial"/>
          <w:sz w:val="18"/>
          <w:szCs w:val="18"/>
          <w:i w:val="1"/>
          <w:iCs w:val="1"/>
          <w:color w:val="auto"/>
        </w:rPr>
        <w:t>Basis of Consolidation</w:t>
      </w:r>
      <w:r>
        <w:rPr>
          <w:rFonts w:ascii="Arial" w:cs="Arial" w:eastAsia="Arial" w:hAnsi="Arial"/>
          <w:sz w:val="18"/>
          <w:szCs w:val="18"/>
          <w:color w:val="auto"/>
        </w:rPr>
        <w:t>” below for further detail.</w:t>
      </w:r>
    </w:p>
    <w:p>
      <w:pPr>
        <w:spacing w:after="0" w:line="86"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3740" w:type="dxa"/>
            <w:vAlign w:val="bottom"/>
            <w:vMerge w:val="restart"/>
          </w:tcPr>
          <w:p>
            <w:pPr>
              <w:spacing w:after="0"/>
              <w:rPr>
                <w:sz w:val="20"/>
                <w:szCs w:val="20"/>
                <w:color w:val="auto"/>
              </w:rPr>
            </w:pPr>
            <w:r>
              <w:rPr>
                <w:rFonts w:ascii="Arial" w:cs="Arial" w:eastAsia="Arial" w:hAnsi="Arial"/>
                <w:sz w:val="14"/>
                <w:szCs w:val="14"/>
                <w:b w:val="1"/>
                <w:bCs w:val="1"/>
                <w:color w:val="auto"/>
              </w:rPr>
              <w:t>Subsidiary</w:t>
            </w:r>
          </w:p>
        </w:tc>
        <w:tc>
          <w:tcPr>
            <w:tcW w:w="4480" w:type="dxa"/>
            <w:vAlign w:val="bottom"/>
          </w:tcPr>
          <w:p>
            <w:pPr>
              <w:ind w:left="3080"/>
              <w:spacing w:after="0"/>
              <w:rPr>
                <w:sz w:val="20"/>
                <w:szCs w:val="20"/>
                <w:color w:val="auto"/>
              </w:rPr>
            </w:pPr>
            <w:r>
              <w:rPr>
                <w:rFonts w:ascii="Arial" w:cs="Arial" w:eastAsia="Arial" w:hAnsi="Arial"/>
                <w:sz w:val="14"/>
                <w:szCs w:val="14"/>
                <w:b w:val="1"/>
                <w:bCs w:val="1"/>
                <w:color w:val="auto"/>
              </w:rPr>
              <w:t>Jurisdiction of</w:t>
            </w:r>
          </w:p>
        </w:tc>
        <w:tc>
          <w:tcPr>
            <w:tcW w:w="1640" w:type="dxa"/>
            <w:vAlign w:val="bottom"/>
          </w:tcPr>
          <w:p>
            <w:pPr>
              <w:jc w:val="center"/>
              <w:spacing w:after="0"/>
              <w:rPr>
                <w:sz w:val="20"/>
                <w:szCs w:val="20"/>
                <w:color w:val="auto"/>
              </w:rPr>
            </w:pPr>
            <w:r>
              <w:rPr>
                <w:rFonts w:ascii="Arial" w:cs="Arial" w:eastAsia="Arial" w:hAnsi="Arial"/>
                <w:sz w:val="14"/>
                <w:szCs w:val="14"/>
                <w:b w:val="1"/>
                <w:bCs w:val="1"/>
                <w:color w:val="auto"/>
                <w:w w:val="96"/>
              </w:rPr>
              <w:t>Formation</w:t>
            </w:r>
          </w:p>
        </w:tc>
        <w:tc>
          <w:tcPr>
            <w:tcW w:w="1140" w:type="dxa"/>
            <w:vAlign w:val="bottom"/>
          </w:tcPr>
          <w:p>
            <w:pPr>
              <w:jc w:val="center"/>
              <w:ind w:left="388"/>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86"/>
        </w:trPr>
        <w:tc>
          <w:tcPr>
            <w:tcW w:w="3740" w:type="dxa"/>
            <w:vAlign w:val="bottom"/>
            <w:vMerge w:val="continue"/>
          </w:tcPr>
          <w:p>
            <w:pPr>
              <w:spacing w:after="0"/>
              <w:rPr>
                <w:sz w:val="16"/>
                <w:szCs w:val="16"/>
                <w:color w:val="auto"/>
              </w:rPr>
            </w:pPr>
          </w:p>
        </w:tc>
        <w:tc>
          <w:tcPr>
            <w:tcW w:w="4480" w:type="dxa"/>
            <w:vAlign w:val="bottom"/>
          </w:tcPr>
          <w:p>
            <w:pPr>
              <w:ind w:left="3100"/>
              <w:spacing w:after="0"/>
              <w:rPr>
                <w:sz w:val="20"/>
                <w:szCs w:val="20"/>
                <w:color w:val="auto"/>
              </w:rPr>
            </w:pPr>
            <w:r>
              <w:rPr>
                <w:rFonts w:ascii="Arial" w:cs="Arial" w:eastAsia="Arial" w:hAnsi="Arial"/>
                <w:sz w:val="14"/>
                <w:szCs w:val="14"/>
                <w:b w:val="1"/>
                <w:bCs w:val="1"/>
                <w:color w:val="auto"/>
              </w:rPr>
              <w:t>Incorporation</w:t>
            </w:r>
          </w:p>
        </w:tc>
        <w:tc>
          <w:tcPr>
            <w:tcW w:w="1640" w:type="dxa"/>
            <w:vAlign w:val="bottom"/>
          </w:tcPr>
          <w:p>
            <w:pPr>
              <w:jc w:val="center"/>
              <w:spacing w:after="0"/>
              <w:rPr>
                <w:sz w:val="20"/>
                <w:szCs w:val="20"/>
                <w:color w:val="auto"/>
              </w:rPr>
            </w:pPr>
            <w:r>
              <w:rPr>
                <w:rFonts w:ascii="Arial" w:cs="Arial" w:eastAsia="Arial" w:hAnsi="Arial"/>
                <w:sz w:val="14"/>
                <w:szCs w:val="14"/>
                <w:b w:val="1"/>
                <w:bCs w:val="1"/>
                <w:color w:val="auto"/>
                <w:w w:val="98"/>
              </w:rPr>
              <w:t>Date</w:t>
            </w:r>
          </w:p>
        </w:tc>
        <w:tc>
          <w:tcPr>
            <w:tcW w:w="1140" w:type="dxa"/>
            <w:vAlign w:val="bottom"/>
          </w:tcPr>
          <w:p>
            <w:pPr>
              <w:jc w:val="center"/>
              <w:ind w:left="388"/>
              <w:spacing w:after="0"/>
              <w:rPr>
                <w:sz w:val="20"/>
                <w:szCs w:val="20"/>
                <w:color w:val="auto"/>
              </w:rPr>
            </w:pPr>
            <w:r>
              <w:rPr>
                <w:rFonts w:ascii="Arial" w:cs="Arial" w:eastAsia="Arial" w:hAnsi="Arial"/>
                <w:sz w:val="14"/>
                <w:szCs w:val="14"/>
                <w:b w:val="1"/>
                <w:bCs w:val="1"/>
                <w:color w:val="auto"/>
                <w:w w:val="94"/>
              </w:rPr>
              <w:t>Owned</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64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GCL</w:t>
            </w:r>
          </w:p>
        </w:tc>
        <w:tc>
          <w:tcPr>
            <w:tcW w:w="12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Delaware</w:t>
            </w:r>
          </w:p>
        </w:tc>
        <w:tc>
          <w:tcPr>
            <w:tcW w:w="100" w:type="dxa"/>
            <w:vAlign w:val="bottom"/>
            <w:tcBorders>
              <w:top w:val="single" w:sz="8" w:color="CCEEFF"/>
            </w:tcBorders>
            <w:shd w:val="clear" w:color="auto" w:fill="CCEEFF"/>
          </w:tcPr>
          <w:p>
            <w:pPr>
              <w:spacing w:after="0"/>
              <w:rPr>
                <w:sz w:val="19"/>
                <w:szCs w:val="19"/>
                <w:color w:val="auto"/>
              </w:rPr>
            </w:pPr>
          </w:p>
        </w:tc>
        <w:tc>
          <w:tcPr>
            <w:tcW w:w="19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5"/>
              </w:rPr>
              <w:t>April 13, 2012</w:t>
            </w:r>
          </w:p>
        </w:tc>
        <w:tc>
          <w:tcPr>
            <w:tcW w:w="10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100%</w:t>
            </w:r>
          </w:p>
        </w:tc>
      </w:tr>
      <w:tr>
        <w:trPr>
          <w:trHeight w:val="213"/>
        </w:trPr>
        <w:tc>
          <w:tcPr>
            <w:tcW w:w="6600" w:type="dxa"/>
            <w:vAlign w:val="bottom"/>
            <w:gridSpan w:val="2"/>
          </w:tcPr>
          <w:p>
            <w:pPr>
              <w:ind w:left="20"/>
              <w:spacing w:after="0"/>
              <w:rPr>
                <w:sz w:val="20"/>
                <w:szCs w:val="20"/>
                <w:color w:val="auto"/>
              </w:rPr>
            </w:pPr>
            <w:r>
              <w:rPr>
                <w:rFonts w:ascii="Arial" w:cs="Arial" w:eastAsia="Arial" w:hAnsi="Arial"/>
                <w:sz w:val="16"/>
                <w:szCs w:val="16"/>
                <w:b w:val="1"/>
                <w:bCs w:val="1"/>
                <w:color w:val="auto"/>
              </w:rPr>
              <w:t>Subsidiaries below are referred to collectively, as the “Taxable Subsidiaries”</w:t>
            </w: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32"/>
        </w:trPr>
        <w:tc>
          <w:tcPr>
            <w:tcW w:w="6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GSVC AE Holdings, Inc. (“GAE”)</w:t>
            </w:r>
          </w:p>
        </w:tc>
        <w:tc>
          <w:tcPr>
            <w:tcW w:w="14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Delaware</w:t>
            </w:r>
          </w:p>
        </w:tc>
        <w:tc>
          <w:tcPr>
            <w:tcW w:w="20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1"/>
              </w:rPr>
              <w:t>November 28, 2012</w:t>
            </w:r>
          </w:p>
        </w:tc>
        <w:tc>
          <w:tcPr>
            <w:tcW w:w="106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100%</w:t>
            </w:r>
          </w:p>
        </w:tc>
      </w:tr>
      <w:tr>
        <w:trPr>
          <w:trHeight w:val="230"/>
        </w:trPr>
        <w:tc>
          <w:tcPr>
            <w:tcW w:w="6600" w:type="dxa"/>
            <w:vAlign w:val="bottom"/>
            <w:gridSpan w:val="2"/>
          </w:tcPr>
          <w:p>
            <w:pPr>
              <w:ind w:left="20"/>
              <w:spacing w:after="0"/>
              <w:rPr>
                <w:sz w:val="20"/>
                <w:szCs w:val="20"/>
                <w:color w:val="auto"/>
              </w:rPr>
            </w:pPr>
            <w:r>
              <w:rPr>
                <w:rFonts w:ascii="Arial" w:cs="Arial" w:eastAsia="Arial" w:hAnsi="Arial"/>
                <w:sz w:val="18"/>
                <w:szCs w:val="18"/>
                <w:color w:val="auto"/>
              </w:rPr>
              <w:t>GSVC AV Holdings, Inc. (“GAV”)</w:t>
            </w:r>
          </w:p>
        </w:tc>
        <w:tc>
          <w:tcPr>
            <w:tcW w:w="1480" w:type="dxa"/>
            <w:vAlign w:val="bottom"/>
            <w:gridSpan w:val="2"/>
          </w:tcPr>
          <w:p>
            <w:pPr>
              <w:ind w:left="340"/>
              <w:spacing w:after="0"/>
              <w:rPr>
                <w:sz w:val="20"/>
                <w:szCs w:val="20"/>
                <w:color w:val="auto"/>
              </w:rPr>
            </w:pPr>
            <w:r>
              <w:rPr>
                <w:rFonts w:ascii="Arial" w:cs="Arial" w:eastAsia="Arial" w:hAnsi="Arial"/>
                <w:sz w:val="18"/>
                <w:szCs w:val="18"/>
                <w:color w:val="auto"/>
              </w:rPr>
              <w:t>Delaware</w:t>
            </w:r>
          </w:p>
        </w:tc>
        <w:tc>
          <w:tcPr>
            <w:tcW w:w="208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November 28, 2012</w:t>
            </w:r>
          </w:p>
        </w:tc>
        <w:tc>
          <w:tcPr>
            <w:tcW w:w="1060" w:type="dxa"/>
            <w:vAlign w:val="bottom"/>
          </w:tcPr>
          <w:p>
            <w:pPr>
              <w:jc w:val="right"/>
              <w:ind w:right="230"/>
              <w:spacing w:after="0"/>
              <w:rPr>
                <w:sz w:val="20"/>
                <w:szCs w:val="20"/>
                <w:color w:val="auto"/>
              </w:rPr>
            </w:pPr>
            <w:r>
              <w:rPr>
                <w:rFonts w:ascii="Arial" w:cs="Arial" w:eastAsia="Arial" w:hAnsi="Arial"/>
                <w:sz w:val="18"/>
                <w:szCs w:val="18"/>
                <w:color w:val="auto"/>
              </w:rPr>
              <w:t>100%</w:t>
            </w:r>
          </w:p>
        </w:tc>
      </w:tr>
      <w:tr>
        <w:trPr>
          <w:trHeight w:val="230"/>
        </w:trPr>
        <w:tc>
          <w:tcPr>
            <w:tcW w:w="6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GSVC SW Holdings, Inc. (“GSW”)</w:t>
            </w:r>
          </w:p>
        </w:tc>
        <w:tc>
          <w:tcPr>
            <w:tcW w:w="14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Delaware</w:t>
            </w:r>
          </w:p>
        </w:tc>
        <w:tc>
          <w:tcPr>
            <w:tcW w:w="20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1"/>
              </w:rPr>
              <w:t>November 28, 2012</w:t>
            </w:r>
          </w:p>
        </w:tc>
        <w:tc>
          <w:tcPr>
            <w:tcW w:w="106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100%</w:t>
            </w:r>
          </w:p>
        </w:tc>
      </w:tr>
      <w:tr>
        <w:trPr>
          <w:trHeight w:val="229"/>
        </w:trPr>
        <w:tc>
          <w:tcPr>
            <w:tcW w:w="6600" w:type="dxa"/>
            <w:vAlign w:val="bottom"/>
            <w:gridSpan w:val="2"/>
          </w:tcPr>
          <w:p>
            <w:pPr>
              <w:ind w:left="20"/>
              <w:spacing w:after="0"/>
              <w:rPr>
                <w:sz w:val="20"/>
                <w:szCs w:val="20"/>
                <w:color w:val="auto"/>
              </w:rPr>
            </w:pPr>
            <w:r>
              <w:rPr>
                <w:rFonts w:ascii="Arial" w:cs="Arial" w:eastAsia="Arial" w:hAnsi="Arial"/>
                <w:sz w:val="18"/>
                <w:szCs w:val="18"/>
                <w:color w:val="auto"/>
              </w:rPr>
              <w:t>GSVC SVDS Holdings, Inc. (“SVDS”)</w:t>
            </w:r>
          </w:p>
        </w:tc>
        <w:tc>
          <w:tcPr>
            <w:tcW w:w="1480" w:type="dxa"/>
            <w:vAlign w:val="bottom"/>
            <w:gridSpan w:val="2"/>
          </w:tcPr>
          <w:p>
            <w:pPr>
              <w:ind w:left="340"/>
              <w:spacing w:after="0"/>
              <w:rPr>
                <w:sz w:val="20"/>
                <w:szCs w:val="20"/>
                <w:color w:val="auto"/>
              </w:rPr>
            </w:pPr>
            <w:r>
              <w:rPr>
                <w:rFonts w:ascii="Arial" w:cs="Arial" w:eastAsia="Arial" w:hAnsi="Arial"/>
                <w:sz w:val="18"/>
                <w:szCs w:val="18"/>
                <w:color w:val="auto"/>
              </w:rPr>
              <w:t>Delaware</w:t>
            </w:r>
          </w:p>
        </w:tc>
        <w:tc>
          <w:tcPr>
            <w:tcW w:w="208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August 13, 2013</w:t>
            </w:r>
          </w:p>
        </w:tc>
        <w:tc>
          <w:tcPr>
            <w:tcW w:w="1060" w:type="dxa"/>
            <w:vAlign w:val="bottom"/>
          </w:tcPr>
          <w:p>
            <w:pPr>
              <w:jc w:val="right"/>
              <w:ind w:right="230"/>
              <w:spacing w:after="0"/>
              <w:rPr>
                <w:sz w:val="20"/>
                <w:szCs w:val="20"/>
                <w:color w:val="auto"/>
              </w:rPr>
            </w:pPr>
            <w:r>
              <w:rPr>
                <w:rFonts w:ascii="Arial" w:cs="Arial" w:eastAsia="Arial" w:hAnsi="Arial"/>
                <w:sz w:val="18"/>
                <w:szCs w:val="18"/>
                <w:color w:val="auto"/>
              </w:rPr>
              <w:t>100%</w:t>
            </w:r>
          </w:p>
        </w:tc>
      </w:tr>
      <w:tr>
        <w:trPr>
          <w:trHeight w:val="230"/>
        </w:trPr>
        <w:tc>
          <w:tcPr>
            <w:tcW w:w="6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SuRo Capital Sports, LLC ("SuRo Sports")</w:t>
            </w:r>
          </w:p>
        </w:tc>
        <w:tc>
          <w:tcPr>
            <w:tcW w:w="14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Delaware</w:t>
            </w:r>
          </w:p>
        </w:tc>
        <w:tc>
          <w:tcPr>
            <w:tcW w:w="20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1"/>
              </w:rPr>
              <w:t>March 19, 2021</w:t>
            </w:r>
          </w:p>
        </w:tc>
        <w:tc>
          <w:tcPr>
            <w:tcW w:w="106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100%</w:t>
            </w:r>
          </w:p>
        </w:tc>
      </w:tr>
    </w:tbl>
    <w:p>
      <w:pPr>
        <w:spacing w:after="0" w:line="310" w:lineRule="exact"/>
        <w:rPr>
          <w:sz w:val="20"/>
          <w:szCs w:val="20"/>
          <w:color w:val="auto"/>
        </w:rPr>
      </w:pPr>
    </w:p>
    <w:p>
      <w:pPr>
        <w:jc w:val="both"/>
        <w:ind w:firstLine="364"/>
        <w:spacing w:after="0" w:line="291" w:lineRule="auto"/>
        <w:rPr>
          <w:sz w:val="20"/>
          <w:szCs w:val="20"/>
          <w:color w:val="auto"/>
        </w:rPr>
      </w:pPr>
      <w:r>
        <w:rPr>
          <w:rFonts w:ascii="Arial" w:cs="Arial" w:eastAsia="Arial" w:hAnsi="Arial"/>
          <w:sz w:val="16"/>
          <w:szCs w:val="16"/>
          <w:color w:val="auto"/>
        </w:rPr>
        <w:t>The Company’s investment objective is to maximize its portfolio’s total return, principally by seeking capital gains on its equity and equity-related investments, and to a lesser extent, income from debt investments. The Company invests principally in the equity securities of what it believes to be rapidly growing venture-capital-backed emerging companies. The Company may acquire its investments in these portfolio companies through offerings of the prospective portfolio companies, transactions on secondary marketplaces for private companies, or negotiations with selling stockholders. In addition, the Company may invest in private credit and in founders equity, founders warrants, forward purchase agreements, and private investment in public equity transactions of special purpose acquisition companies. The Company may also invest on an opportunistic basis in select publicly traded equity securities or certain non-U.S. companies that otherwise meet its investment criteria, subject to any applicable limitations under the 1940 Act.</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40"/>
          </w:cols>
          <w:pgMar w:left="320" w:top="122" w:right="339" w:bottom="1440" w:gutter="0" w:footer="0" w:header="0"/>
        </w:sectPr>
      </w:pPr>
    </w:p>
    <w:bookmarkStart w:id="16" w:name="page17"/>
    <w:bookmarkEnd w:id="1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SURO CAPITAL CORP. AND SUBSIDIARIES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2021</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2—SIGNIFICANT ACCOUNTING POLICIES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56" w:lineRule="exact"/>
        <w:rPr>
          <w:sz w:val="20"/>
          <w:szCs w:val="20"/>
          <w:color w:val="auto"/>
        </w:rPr>
      </w:pPr>
    </w:p>
    <w:p>
      <w:pPr>
        <w:jc w:val="both"/>
        <w:ind w:firstLine="364"/>
        <w:spacing w:after="0" w:line="273" w:lineRule="auto"/>
        <w:rPr>
          <w:sz w:val="20"/>
          <w:szCs w:val="20"/>
          <w:color w:val="auto"/>
        </w:rPr>
      </w:pPr>
      <w:r>
        <w:rPr>
          <w:rFonts w:ascii="Arial" w:cs="Arial" w:eastAsia="Arial" w:hAnsi="Arial"/>
          <w:sz w:val="17"/>
          <w:szCs w:val="17"/>
          <w:color w:val="auto"/>
        </w:rPr>
        <w:t xml:space="preserve">The interim unaudited condensed consolidated financial statements of the Company are prepared on the accrual basis of accounting in conformity with U.S. generally accepted accounting principles (“GAAP”) and pursuant to the requirements for reporting on Form 10-Q and Regulation S-X under the Securities Exchange Act of 1934, as amended (the “Exchange Act”). The Company is an investment company following the specialized accounting and reporting guidance specified in the Financial Accounting Standards Board’s (“FASB”) Accounting Standards Codification (“ASC”) Topic 946, </w:t>
      </w:r>
      <w:r>
        <w:rPr>
          <w:rFonts w:ascii="Arial" w:cs="Arial" w:eastAsia="Arial" w:hAnsi="Arial"/>
          <w:sz w:val="17"/>
          <w:szCs w:val="17"/>
          <w:i w:val="1"/>
          <w:iCs w:val="1"/>
          <w:color w:val="auto"/>
        </w:rPr>
        <w:t>Financial</w:t>
      </w:r>
      <w:r>
        <w:rPr>
          <w:rFonts w:ascii="Arial" w:cs="Arial" w:eastAsia="Arial" w:hAnsi="Arial"/>
          <w:sz w:val="17"/>
          <w:szCs w:val="17"/>
          <w:color w:val="auto"/>
        </w:rPr>
        <w:t xml:space="preserve"> </w:t>
      </w:r>
      <w:r>
        <w:rPr>
          <w:rFonts w:ascii="Arial" w:cs="Arial" w:eastAsia="Arial" w:hAnsi="Arial"/>
          <w:sz w:val="17"/>
          <w:szCs w:val="17"/>
          <w:i w:val="1"/>
          <w:iCs w:val="1"/>
          <w:color w:val="auto"/>
        </w:rPr>
        <w:t>Services—Investment Companies</w:t>
      </w:r>
      <w:r>
        <w:rPr>
          <w:rFonts w:ascii="Arial" w:cs="Arial" w:eastAsia="Arial" w:hAnsi="Arial"/>
          <w:sz w:val="17"/>
          <w:szCs w:val="17"/>
          <w:color w:val="auto"/>
        </w:rPr>
        <w:t>. In the opinion of management, all adjustments, all of which were of a normal recurring nature, were considered</w:t>
      </w:r>
      <w:r>
        <w:rPr>
          <w:rFonts w:ascii="Arial" w:cs="Arial" w:eastAsia="Arial" w:hAnsi="Arial"/>
          <w:sz w:val="17"/>
          <w:szCs w:val="17"/>
          <w:i w:val="1"/>
          <w:iCs w:val="1"/>
          <w:color w:val="auto"/>
        </w:rPr>
        <w:t xml:space="preserve"> </w:t>
      </w:r>
      <w:r>
        <w:rPr>
          <w:rFonts w:ascii="Arial" w:cs="Arial" w:eastAsia="Arial" w:hAnsi="Arial"/>
          <w:sz w:val="17"/>
          <w:szCs w:val="17"/>
          <w:color w:val="auto"/>
        </w:rPr>
        <w:t>necessary for the fair presentation of consolidated financial statements for the interim period have been included.</w:t>
      </w:r>
    </w:p>
    <w:p>
      <w:pPr>
        <w:spacing w:after="0" w:line="205" w:lineRule="exact"/>
        <w:rPr>
          <w:sz w:val="20"/>
          <w:szCs w:val="20"/>
          <w:color w:val="auto"/>
        </w:rPr>
      </w:pPr>
    </w:p>
    <w:p>
      <w:pPr>
        <w:jc w:val="both"/>
        <w:ind w:firstLine="364"/>
        <w:spacing w:after="0" w:line="259" w:lineRule="auto"/>
        <w:rPr>
          <w:sz w:val="20"/>
          <w:szCs w:val="20"/>
          <w:color w:val="auto"/>
        </w:rPr>
      </w:pPr>
      <w:r>
        <w:rPr>
          <w:rFonts w:ascii="Arial" w:cs="Arial" w:eastAsia="Arial" w:hAnsi="Arial"/>
          <w:sz w:val="18"/>
          <w:szCs w:val="18"/>
          <w:color w:val="auto"/>
        </w:rPr>
        <w:t>The results of operations for the current interim period are not necessarily indicative of results that ultimately may be achieved for any other interim period or for the year ending December 31, 2021. The interim unaudited condensed consolidated financial statements and notes hereto should be read in conjunction with the audited consolidated financial statements and notes thereto contained in the Company’s annual report on Form 10-K for the year ended December 31, 2020.</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Consolidation</w:t>
      </w:r>
    </w:p>
    <w:p>
      <w:pPr>
        <w:spacing w:after="0" w:line="256" w:lineRule="exact"/>
        <w:rPr>
          <w:sz w:val="20"/>
          <w:szCs w:val="20"/>
          <w:color w:val="auto"/>
        </w:rPr>
      </w:pPr>
    </w:p>
    <w:p>
      <w:pPr>
        <w:jc w:val="both"/>
        <w:ind w:firstLine="364"/>
        <w:spacing w:after="0" w:line="275" w:lineRule="auto"/>
        <w:rPr>
          <w:sz w:val="20"/>
          <w:szCs w:val="20"/>
          <w:color w:val="auto"/>
        </w:rPr>
      </w:pPr>
      <w:r>
        <w:rPr>
          <w:rFonts w:ascii="Arial" w:cs="Arial" w:eastAsia="Arial" w:hAnsi="Arial"/>
          <w:sz w:val="17"/>
          <w:szCs w:val="17"/>
          <w:color w:val="auto"/>
        </w:rPr>
        <w:t>Under Article 6 of Regulation S-X and the American Institute of Certified Public Accountants’ (“AICPA”) Audit and Accounting Guide for Investment Companies, the Company is precluded from consolidating any entity other than another investment company, a controlled operating company that provides substantially all of its services and benefits to the Company, and certain entities established for tax purposes where the Company holds a 100% interest. Accordingly, the Company’s condensed consolidated financial statements include its accounts and the accounts of the Taxable Subsidiaries and GCL, its wholly-owned subsidiaries. All intercompany balances and transactions have been eliminated in consolidation.</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256" w:lineRule="exact"/>
        <w:rPr>
          <w:sz w:val="20"/>
          <w:szCs w:val="20"/>
          <w:color w:val="auto"/>
        </w:rPr>
      </w:pPr>
    </w:p>
    <w:p>
      <w:pPr>
        <w:jc w:val="both"/>
        <w:ind w:firstLine="364"/>
        <w:spacing w:after="0" w:line="257" w:lineRule="auto"/>
        <w:rPr>
          <w:sz w:val="20"/>
          <w:szCs w:val="20"/>
          <w:color w:val="auto"/>
        </w:rPr>
      </w:pPr>
      <w:r>
        <w:rPr>
          <w:rFonts w:ascii="Arial" w:cs="Arial" w:eastAsia="Arial" w:hAnsi="Arial"/>
          <w:sz w:val="18"/>
          <w:szCs w:val="18"/>
          <w:color w:val="auto"/>
        </w:rPr>
        <w:t>The preparation of condensed consolidated financial statements in accordance with GAAP requires the Company’s management to make a number of significant estimates. These include estimates of the fair value of certain assets and liabilities and other estimates that affect the reported amounts of certain assets and liabilities as of the date of the condensed consolidated financial statements and the reported amounts of certain revenues and expenses during the reporting period. It is likely that changes in these estimates will occur in the near term. The Company’s estimates are inherently subjective in nature and actual results could differ materially from such estimates.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Uncertainties and Risk Factors</w:t>
      </w:r>
    </w:p>
    <w:p>
      <w:pPr>
        <w:spacing w:after="0" w:line="256" w:lineRule="exact"/>
        <w:rPr>
          <w:sz w:val="20"/>
          <w:szCs w:val="20"/>
          <w:color w:val="auto"/>
        </w:rPr>
      </w:pPr>
    </w:p>
    <w:p>
      <w:pPr>
        <w:jc w:val="both"/>
        <w:ind w:firstLine="364"/>
        <w:spacing w:after="0" w:line="311" w:lineRule="auto"/>
        <w:rPr>
          <w:sz w:val="20"/>
          <w:szCs w:val="20"/>
          <w:color w:val="auto"/>
        </w:rPr>
      </w:pPr>
      <w:r>
        <w:rPr>
          <w:rFonts w:ascii="Arial" w:cs="Arial" w:eastAsia="Arial" w:hAnsi="Arial"/>
          <w:sz w:val="16"/>
          <w:szCs w:val="16"/>
          <w:color w:val="auto"/>
        </w:rPr>
        <w:t>The Company is subject to a number of risks and uncertainties in the nature of its operations, as well as vulnerability due to certain concentrations. Refer to "Risk Factors” in Part II, Item 1A of this Form 10-Q for a detailed discussion of the risks and uncertainties inherent in the nature of the Company’s operations. Refer to “Note 4—Investments at Fair Value” for an overview of the Company’s industry and geographic concentrations.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 at Fair Value</w:t>
      </w:r>
    </w:p>
    <w:p>
      <w:pPr>
        <w:spacing w:after="0" w:line="256" w:lineRule="exact"/>
        <w:rPr>
          <w:sz w:val="20"/>
          <w:szCs w:val="20"/>
          <w:color w:val="auto"/>
        </w:rPr>
      </w:pPr>
    </w:p>
    <w:p>
      <w:pPr>
        <w:jc w:val="both"/>
        <w:ind w:firstLine="364"/>
        <w:spacing w:after="0" w:line="277" w:lineRule="auto"/>
        <w:rPr>
          <w:sz w:val="20"/>
          <w:szCs w:val="20"/>
          <w:color w:val="auto"/>
        </w:rPr>
      </w:pPr>
      <w:r>
        <w:rPr>
          <w:rFonts w:ascii="Arial" w:cs="Arial" w:eastAsia="Arial" w:hAnsi="Arial"/>
          <w:sz w:val="18"/>
          <w:szCs w:val="18"/>
          <w:color w:val="auto"/>
        </w:rPr>
        <w:t>The Company applies fair value accounting in accordance with GAAP and the AICPA’s Audit and Accounting Guide for Investment Companies. The Company values its assets on a quarterly basis, or more frequently if required under the 1940 Act.</w:t>
      </w:r>
    </w:p>
    <w:p>
      <w:pPr>
        <w:spacing w:after="0" w:line="197" w:lineRule="exact"/>
        <w:rPr>
          <w:sz w:val="20"/>
          <w:szCs w:val="20"/>
          <w:color w:val="auto"/>
        </w:rPr>
      </w:pPr>
    </w:p>
    <w:p>
      <w:pPr>
        <w:jc w:val="both"/>
        <w:ind w:firstLine="364"/>
        <w:spacing w:after="0" w:line="257" w:lineRule="auto"/>
        <w:rPr>
          <w:sz w:val="20"/>
          <w:szCs w:val="20"/>
          <w:color w:val="auto"/>
        </w:rPr>
      </w:pPr>
      <w:r>
        <w:rPr>
          <w:rFonts w:ascii="Arial" w:cs="Arial" w:eastAsia="Arial" w:hAnsi="Arial"/>
          <w:sz w:val="18"/>
          <w:szCs w:val="18"/>
          <w:color w:val="auto"/>
        </w:rPr>
        <w:t>Fair value is defined as the price that would be received to sell an asset or paid to transfer a liability in an orderly transaction between market participants at the measurement date. GAAP establishes a framework for measuring fair value that includes a hierarchy used to classify the inputs used in measuring fair value. The hierarchy prioritizes the inputs to valuation techniques used to measure fair value into three levels. The level in the fair value hierarchy within which the fair value measurement falls is determined based on the lowest level input that is significant to the fair value measurement. The levels of the fair value hierarchy are as follows:</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240"/>
          </w:cols>
          <w:pgMar w:left="320" w:top="122" w:right="339" w:bottom="1440" w:gutter="0" w:footer="0" w:header="0"/>
          <w:type w:val="continuous"/>
        </w:sectPr>
      </w:pPr>
    </w:p>
    <w:bookmarkStart w:id="17" w:name="page18"/>
    <w:bookmarkEnd w:id="1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SURO CAPITAL CORP. AND SUBSIDIARIES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2021</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right="20" w:firstLine="364"/>
        <w:spacing w:after="0" w:line="282" w:lineRule="auto"/>
        <w:rPr>
          <w:sz w:val="20"/>
          <w:szCs w:val="20"/>
          <w:color w:val="auto"/>
        </w:rPr>
      </w:pPr>
      <w:r>
        <w:rPr>
          <w:rFonts w:ascii="Arial" w:cs="Arial" w:eastAsia="Arial" w:hAnsi="Arial"/>
          <w:sz w:val="18"/>
          <w:szCs w:val="18"/>
          <w:b w:val="1"/>
          <w:bCs w:val="1"/>
          <w:color w:val="auto"/>
        </w:rPr>
        <w:t>Level 1</w:t>
      </w:r>
      <w:r>
        <w:rPr>
          <w:rFonts w:ascii="Arial" w:cs="Arial" w:eastAsia="Arial" w:hAnsi="Arial"/>
          <w:sz w:val="18"/>
          <w:szCs w:val="18"/>
          <w:color w:val="auto"/>
        </w:rPr>
        <w:t>—Valuations based on unadjusted quoted prices for identical assets or liabilities in an active market that the Company has the ability to access</w:t>
      </w:r>
      <w:r>
        <w:rPr>
          <w:rFonts w:ascii="Arial" w:cs="Arial" w:eastAsia="Arial" w:hAnsi="Arial"/>
          <w:sz w:val="18"/>
          <w:szCs w:val="18"/>
          <w:b w:val="1"/>
          <w:bCs w:val="1"/>
          <w:color w:val="auto"/>
        </w:rPr>
        <w:t xml:space="preserve"> </w:t>
      </w:r>
      <w:r>
        <w:rPr>
          <w:rFonts w:ascii="Arial" w:cs="Arial" w:eastAsia="Arial" w:hAnsi="Arial"/>
          <w:sz w:val="18"/>
          <w:szCs w:val="18"/>
          <w:color w:val="auto"/>
        </w:rPr>
        <w:t>at the measurement date.</w:t>
      </w:r>
    </w:p>
    <w:p>
      <w:pPr>
        <w:spacing w:after="0" w:line="189" w:lineRule="exact"/>
        <w:rPr>
          <w:sz w:val="20"/>
          <w:szCs w:val="20"/>
          <w:color w:val="auto"/>
        </w:rPr>
      </w:pPr>
    </w:p>
    <w:p>
      <w:pPr>
        <w:jc w:val="both"/>
        <w:ind w:firstLine="364"/>
        <w:spacing w:after="0" w:line="266" w:lineRule="auto"/>
        <w:rPr>
          <w:sz w:val="20"/>
          <w:szCs w:val="20"/>
          <w:color w:val="auto"/>
        </w:rPr>
      </w:pPr>
      <w:r>
        <w:rPr>
          <w:rFonts w:ascii="Arial" w:cs="Arial" w:eastAsia="Arial" w:hAnsi="Arial"/>
          <w:sz w:val="18"/>
          <w:szCs w:val="18"/>
          <w:b w:val="1"/>
          <w:bCs w:val="1"/>
          <w:color w:val="auto"/>
        </w:rPr>
        <w:t>Level 2</w:t>
      </w:r>
      <w:r>
        <w:rPr>
          <w:rFonts w:ascii="Arial" w:cs="Arial" w:eastAsia="Arial" w:hAnsi="Arial"/>
          <w:sz w:val="18"/>
          <w:szCs w:val="18"/>
          <w:color w:val="auto"/>
        </w:rPr>
        <w:t>—Valuations based on observable inputs other than Level 1 prices, such as quoted prices for similar assets or liabilities; quoted prices in</w:t>
      </w:r>
      <w:r>
        <w:rPr>
          <w:rFonts w:ascii="Arial" w:cs="Arial" w:eastAsia="Arial" w:hAnsi="Arial"/>
          <w:sz w:val="18"/>
          <w:szCs w:val="18"/>
          <w:b w:val="1"/>
          <w:bCs w:val="1"/>
          <w:color w:val="auto"/>
        </w:rPr>
        <w:t xml:space="preserve"> </w:t>
      </w:r>
      <w:r>
        <w:rPr>
          <w:rFonts w:ascii="Arial" w:cs="Arial" w:eastAsia="Arial" w:hAnsi="Arial"/>
          <w:sz w:val="18"/>
          <w:szCs w:val="18"/>
          <w:color w:val="auto"/>
        </w:rPr>
        <w:t>markets that are not active; or other inputs that are observable or can be corroborated by observable market data at the measurement date for substantially the full term of the assets or liabilities.</w:t>
      </w:r>
    </w:p>
    <w:p>
      <w:pPr>
        <w:spacing w:after="0" w:line="203" w:lineRule="exact"/>
        <w:rPr>
          <w:sz w:val="20"/>
          <w:szCs w:val="20"/>
          <w:color w:val="auto"/>
        </w:rPr>
      </w:pPr>
    </w:p>
    <w:p>
      <w:pPr>
        <w:jc w:val="both"/>
        <w:ind w:firstLine="364"/>
        <w:spacing w:after="0" w:line="314" w:lineRule="auto"/>
        <w:rPr>
          <w:sz w:val="20"/>
          <w:szCs w:val="20"/>
          <w:color w:val="auto"/>
        </w:rPr>
      </w:pPr>
      <w:r>
        <w:rPr>
          <w:rFonts w:ascii="Arial" w:cs="Arial" w:eastAsia="Arial" w:hAnsi="Arial"/>
          <w:sz w:val="16"/>
          <w:szCs w:val="16"/>
          <w:b w:val="1"/>
          <w:bCs w:val="1"/>
          <w:color w:val="auto"/>
        </w:rPr>
        <w:t>Level 3</w:t>
      </w:r>
      <w:r>
        <w:rPr>
          <w:rFonts w:ascii="Arial" w:cs="Arial" w:eastAsia="Arial" w:hAnsi="Arial"/>
          <w:sz w:val="16"/>
          <w:szCs w:val="16"/>
          <w:color w:val="auto"/>
        </w:rPr>
        <w:t>—Valuations based on unobservable inputs that reflect management’s best estimate of what market participants would use in pricing the asset</w:t>
      </w:r>
      <w:r>
        <w:rPr>
          <w:rFonts w:ascii="Arial" w:cs="Arial" w:eastAsia="Arial" w:hAnsi="Arial"/>
          <w:sz w:val="16"/>
          <w:szCs w:val="16"/>
          <w:b w:val="1"/>
          <w:bCs w:val="1"/>
          <w:color w:val="auto"/>
        </w:rPr>
        <w:t xml:space="preserve"> </w:t>
      </w:r>
      <w:r>
        <w:rPr>
          <w:rFonts w:ascii="Arial" w:cs="Arial" w:eastAsia="Arial" w:hAnsi="Arial"/>
          <w:sz w:val="16"/>
          <w:szCs w:val="16"/>
          <w:color w:val="auto"/>
        </w:rPr>
        <w:t>or liability at the measurement date. Consideration is given to the risk inherent in the valuation technique and the risk inherent in the inputs to the model. The majority of the Company’s investments are Level 3 investments and are subject to a high degree of judgment and uncertainty in determining fair value.</w:t>
      </w:r>
    </w:p>
    <w:p>
      <w:pPr>
        <w:spacing w:after="0" w:line="173" w:lineRule="exact"/>
        <w:rPr>
          <w:sz w:val="20"/>
          <w:szCs w:val="20"/>
          <w:color w:val="auto"/>
        </w:rPr>
      </w:pPr>
    </w:p>
    <w:p>
      <w:pPr>
        <w:jc w:val="both"/>
        <w:ind w:firstLine="364"/>
        <w:spacing w:after="0" w:line="257" w:lineRule="auto"/>
        <w:rPr>
          <w:sz w:val="20"/>
          <w:szCs w:val="20"/>
          <w:color w:val="auto"/>
        </w:rPr>
      </w:pPr>
      <w:r>
        <w:rPr>
          <w:rFonts w:ascii="Arial" w:cs="Arial" w:eastAsia="Arial" w:hAnsi="Arial"/>
          <w:sz w:val="18"/>
          <w:szCs w:val="18"/>
          <w:color w:val="auto"/>
        </w:rPr>
        <w:t>When the inputs used to measure fair value fall within different levels of the hierarchy, the level within which the fair value measurement is categorized is based on the lowest level input that is significant to the fair value measurement in its entirety. For example, a Level 3 fair value measurement may include inputs that are observable (Levels 1 and 2) and unobservable (Level 3). Therefore, gains and losses for such assets and liabilities categorized within the Level 3 table set forth in “Note 4—Investments at Fair Value” may include changes in fair value that are attributable to both observable inputs (Levels 1 and 2) and unobservable inputs (Level 3).</w:t>
      </w:r>
    </w:p>
    <w:p>
      <w:pPr>
        <w:spacing w:after="0" w:line="215" w:lineRule="exact"/>
        <w:rPr>
          <w:sz w:val="20"/>
          <w:szCs w:val="20"/>
          <w:color w:val="auto"/>
        </w:rPr>
      </w:pPr>
    </w:p>
    <w:p>
      <w:pPr>
        <w:jc w:val="both"/>
        <w:ind w:firstLine="364"/>
        <w:spacing w:after="0" w:line="301" w:lineRule="auto"/>
        <w:rPr>
          <w:sz w:val="20"/>
          <w:szCs w:val="20"/>
          <w:color w:val="auto"/>
        </w:rPr>
      </w:pPr>
      <w:r>
        <w:rPr>
          <w:rFonts w:ascii="Arial" w:cs="Arial" w:eastAsia="Arial" w:hAnsi="Arial"/>
          <w:sz w:val="16"/>
          <w:szCs w:val="16"/>
          <w:color w:val="auto"/>
        </w:rPr>
        <w:t>A review of fair value hierarchy classifications is conducted on a quarterly basis. Changes in the observability of valuation inputs may result in a reclassification for certain financial assets or liabilities. Reclassifications impacting Level 3 of the fair value hierarchy are reported as transfers in/out of the Level 3 category as of the beginning of the measurement period in which the reclassifications occur. Refer to “Levelling Policy” below for a detailed discussion of the levelling of the Company’s financial assets or liabilities and events that may cause a reclassification within the fair value hierarchy.</w:t>
      </w:r>
    </w:p>
    <w:p>
      <w:pPr>
        <w:spacing w:after="0" w:line="184" w:lineRule="exact"/>
        <w:rPr>
          <w:sz w:val="20"/>
          <w:szCs w:val="20"/>
          <w:color w:val="auto"/>
        </w:rPr>
      </w:pPr>
    </w:p>
    <w:p>
      <w:pPr>
        <w:jc w:val="both"/>
        <w:ind w:firstLine="364"/>
        <w:spacing w:after="0" w:line="255" w:lineRule="auto"/>
        <w:rPr>
          <w:sz w:val="20"/>
          <w:szCs w:val="20"/>
          <w:color w:val="auto"/>
        </w:rPr>
      </w:pPr>
      <w:r>
        <w:rPr>
          <w:rFonts w:ascii="Arial" w:cs="Arial" w:eastAsia="Arial" w:hAnsi="Arial"/>
          <w:sz w:val="18"/>
          <w:szCs w:val="18"/>
          <w:color w:val="auto"/>
        </w:rPr>
        <w:t>Securities for which market quotations are readily available on an exchange are valued at the most recently available closing price of such security as of the valuation date, unless there are legal or contractual restrictions on the sale or use of such security that under ASC 820-10-35 should be incorporated into the security’s fair value measurement as a characteristic of the security that would transfer to market participants who would buy the security. The Company may also obtain quotes with respect to certain of its investments from pricing services, brokers or dealers in order to value assets. When doing so, the Company determines whether the quote obtained is sufficient according to GAAP to determine the fair value of the security. If determined to be adequate, the Company uses the quote obtained.</w:t>
      </w:r>
    </w:p>
    <w:p>
      <w:pPr>
        <w:spacing w:after="0" w:line="219" w:lineRule="exact"/>
        <w:rPr>
          <w:sz w:val="20"/>
          <w:szCs w:val="20"/>
          <w:color w:val="auto"/>
        </w:rPr>
      </w:pPr>
    </w:p>
    <w:p>
      <w:pPr>
        <w:jc w:val="both"/>
        <w:ind w:firstLine="364"/>
        <w:spacing w:after="0" w:line="263" w:lineRule="auto"/>
        <w:rPr>
          <w:sz w:val="20"/>
          <w:szCs w:val="20"/>
          <w:color w:val="auto"/>
        </w:rPr>
      </w:pPr>
      <w:r>
        <w:rPr>
          <w:rFonts w:ascii="Arial" w:cs="Arial" w:eastAsia="Arial" w:hAnsi="Arial"/>
          <w:sz w:val="18"/>
          <w:szCs w:val="18"/>
          <w:color w:val="auto"/>
        </w:rPr>
        <w:t>Securities for which reliable market quotations are not readily available or for which the pricing source does not provide a valuation or methodology, or provides a valuation or methodology that, in the judgment of management, our Board of Directors or the valuation committee of the Company’s Board of Directors (the “Valuation Committee”), does not reliably represent fair value, shall each be valued as follows:</w:t>
      </w:r>
    </w:p>
    <w:p>
      <w:pPr>
        <w:spacing w:after="0" w:line="211" w:lineRule="exact"/>
        <w:rPr>
          <w:sz w:val="20"/>
          <w:szCs w:val="20"/>
          <w:color w:val="auto"/>
        </w:rPr>
      </w:pPr>
    </w:p>
    <w:p>
      <w:pPr>
        <w:ind w:left="660" w:right="20" w:hanging="328"/>
        <w:spacing w:after="0" w:line="277" w:lineRule="auto"/>
        <w:tabs>
          <w:tab w:leader="none" w:pos="792"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quarterly valuation process begins with each portfolio company or investment being initially valued by the investment professionals responsible for the portfolio investment;</w:t>
      </w:r>
    </w:p>
    <w:p>
      <w:pPr>
        <w:spacing w:after="0" w:line="197" w:lineRule="exact"/>
        <w:rPr>
          <w:rFonts w:ascii="Arial" w:cs="Arial" w:eastAsia="Arial" w:hAnsi="Arial"/>
          <w:sz w:val="18"/>
          <w:szCs w:val="18"/>
          <w:color w:val="auto"/>
        </w:rPr>
      </w:pPr>
    </w:p>
    <w:p>
      <w:pPr>
        <w:ind w:left="640" w:hanging="308"/>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Preliminary valuation conclusions are then documented and discussed with senior management;</w:t>
      </w:r>
    </w:p>
    <w:p>
      <w:pPr>
        <w:spacing w:after="0" w:line="252" w:lineRule="exact"/>
        <w:rPr>
          <w:rFonts w:ascii="Arial" w:cs="Arial" w:eastAsia="Arial" w:hAnsi="Arial"/>
          <w:sz w:val="18"/>
          <w:szCs w:val="18"/>
          <w:color w:val="auto"/>
        </w:rPr>
      </w:pPr>
    </w:p>
    <w:p>
      <w:pPr>
        <w:ind w:left="660" w:hanging="328"/>
        <w:spacing w:after="0" w:line="342" w:lineRule="auto"/>
        <w:tabs>
          <w:tab w:leader="none" w:pos="695" w:val="left"/>
        </w:tabs>
        <w:numPr>
          <w:ilvl w:val="0"/>
          <w:numId w:val="14"/>
        </w:numPr>
        <w:rPr>
          <w:rFonts w:ascii="Arial" w:cs="Arial" w:eastAsia="Arial" w:hAnsi="Arial"/>
          <w:sz w:val="16"/>
          <w:szCs w:val="16"/>
          <w:color w:val="auto"/>
        </w:rPr>
      </w:pPr>
      <w:r>
        <w:rPr>
          <w:rFonts w:ascii="Arial" w:cs="Arial" w:eastAsia="Arial" w:hAnsi="Arial"/>
          <w:sz w:val="16"/>
          <w:szCs w:val="16"/>
          <w:color w:val="auto"/>
        </w:rPr>
        <w:t>An independent third-party valuation firm is engaged by the Valuation Committee to conduct independent appraisals and review management’s preliminary valuations and make its own independent assessment, for all investments for which there are no readily available market quotations;</w:t>
      </w:r>
    </w:p>
    <w:p>
      <w:pPr>
        <w:spacing w:after="0" w:line="150" w:lineRule="exact"/>
        <w:rPr>
          <w:rFonts w:ascii="Arial" w:cs="Arial" w:eastAsia="Arial" w:hAnsi="Arial"/>
          <w:sz w:val="16"/>
          <w:szCs w:val="16"/>
          <w:color w:val="auto"/>
        </w:rPr>
      </w:pPr>
    </w:p>
    <w:p>
      <w:pPr>
        <w:ind w:left="660" w:right="20" w:hanging="328"/>
        <w:spacing w:after="0" w:line="277" w:lineRule="auto"/>
        <w:tabs>
          <w:tab w:leader="none" w:pos="682"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Valuation Committee discusses the valuations and recommends to the Company’s Board of Directors a fair value for each investment in the portfolio based on the input of management and the independent third-party valuation firm; and</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40"/>
          </w:cols>
          <w:pgMar w:left="320" w:top="122" w:right="339" w:bottom="1440" w:gutter="0" w:footer="0" w:header="0"/>
        </w:sectPr>
      </w:pPr>
    </w:p>
    <w:bookmarkStart w:id="18" w:name="page19"/>
    <w:bookmarkEnd w:id="1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SURO CAPITAL CORP. AND SUBSIDIARIES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2021</w:t>
      </w:r>
    </w:p>
    <w:p>
      <w:pPr>
        <w:spacing w:after="0" w:line="400" w:lineRule="exact"/>
        <w:rPr>
          <w:sz w:val="20"/>
          <w:szCs w:val="20"/>
          <w:color w:val="auto"/>
        </w:rPr>
      </w:pPr>
    </w:p>
    <w:p>
      <w:pPr>
        <w:ind w:left="660" w:hanging="328"/>
        <w:spacing w:after="0" w:line="277" w:lineRule="auto"/>
        <w:tabs>
          <w:tab w:leader="none" w:pos="67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Company’s Board of Directors then discusses the valuations recommended by the Valuation Committee and determines in good faith the fair value of each investment in the portfolio.</w:t>
      </w:r>
    </w:p>
    <w:p>
      <w:pPr>
        <w:spacing w:after="0" w:line="197" w:lineRule="exact"/>
        <w:rPr>
          <w:sz w:val="20"/>
          <w:szCs w:val="20"/>
          <w:color w:val="auto"/>
        </w:rPr>
      </w:pPr>
    </w:p>
    <w:p>
      <w:pPr>
        <w:jc w:val="both"/>
        <w:ind w:firstLine="364"/>
        <w:spacing w:after="0" w:line="255" w:lineRule="auto"/>
        <w:rPr>
          <w:sz w:val="20"/>
          <w:szCs w:val="20"/>
          <w:color w:val="auto"/>
        </w:rPr>
      </w:pPr>
      <w:r>
        <w:rPr>
          <w:rFonts w:ascii="Arial" w:cs="Arial" w:eastAsia="Arial" w:hAnsi="Arial"/>
          <w:sz w:val="18"/>
          <w:szCs w:val="18"/>
          <w:color w:val="auto"/>
        </w:rPr>
        <w:t>In making a good faith determination of the fair value of investments, the Company considers valuation methodologies consistent with industry practice. Valuation methods utilized include, but are not limited to the following: comparisons to prices from secondary market transactions; venture capital financings; public offerings; purchase or sales transactions; as well as analysis of financial ratios and valuation metrics of the portfolio companies that issued such private equity securities to peer companies that are public, analysis of the portfolio companies’ most recent financial statements and forecasts, and the markets in which the portfolio company does business, and other relevant factors. The Company assigns a weighting based upon the relevance of each method to determine the fair value of each investment.</w:t>
      </w:r>
    </w:p>
    <w:p>
      <w:pPr>
        <w:spacing w:after="0" w:line="219" w:lineRule="exact"/>
        <w:rPr>
          <w:sz w:val="20"/>
          <w:szCs w:val="20"/>
          <w:color w:val="auto"/>
        </w:rPr>
      </w:pPr>
    </w:p>
    <w:p>
      <w:pPr>
        <w:jc w:val="both"/>
        <w:ind w:firstLine="364"/>
        <w:spacing w:after="0" w:line="279" w:lineRule="auto"/>
        <w:rPr>
          <w:sz w:val="20"/>
          <w:szCs w:val="20"/>
          <w:color w:val="auto"/>
        </w:rPr>
      </w:pPr>
      <w:r>
        <w:rPr>
          <w:rFonts w:ascii="Arial" w:cs="Arial" w:eastAsia="Arial" w:hAnsi="Arial"/>
          <w:sz w:val="17"/>
          <w:szCs w:val="17"/>
          <w:color w:val="auto"/>
        </w:rPr>
        <w:t>For investments that are not publicly traded or that do not have readily available market quotations, the Valuation Committee generally engages an independent valuation firm to provide an independent valuation, which the Company’s Board of Directors considers, among other factors, in making its fair value determinations for these investments. For the current quarter and prior fiscal year, the Valuation Committee engaged an independent valuation firm to perform valuations of 100% of the Company’s investments for which there were no readily available market quotations.</w:t>
      </w:r>
    </w:p>
    <w:p>
      <w:pPr>
        <w:spacing w:after="0" w:line="198" w:lineRule="exact"/>
        <w:rPr>
          <w:sz w:val="20"/>
          <w:szCs w:val="20"/>
          <w:color w:val="auto"/>
        </w:rPr>
      </w:pPr>
    </w:p>
    <w:p>
      <w:pPr>
        <w:jc w:val="both"/>
        <w:ind w:firstLine="364"/>
        <w:spacing w:after="0" w:line="259" w:lineRule="auto"/>
        <w:rPr>
          <w:sz w:val="20"/>
          <w:szCs w:val="20"/>
          <w:color w:val="auto"/>
        </w:rPr>
      </w:pPr>
      <w:r>
        <w:rPr>
          <w:rFonts w:ascii="Arial" w:cs="Arial" w:eastAsia="Arial" w:hAnsi="Arial"/>
          <w:sz w:val="18"/>
          <w:szCs w:val="18"/>
          <w:color w:val="auto"/>
        </w:rPr>
        <w:t>Due to the inherent uncertainty of determining the fair value of investments that do not have a readily available market value, the fair value of the Company’s investments may fluctuate from period to period. Because of the inherent uncertainty of valuation, these estimated values may differ significantly from the values that would have been reported had a ready market for the investments existed, and it is reasonably possible that the difference could be material.</w:t>
      </w:r>
    </w:p>
    <w:p>
      <w:pPr>
        <w:spacing w:after="0" w:line="214" w:lineRule="exact"/>
        <w:rPr>
          <w:sz w:val="20"/>
          <w:szCs w:val="20"/>
          <w:color w:val="auto"/>
        </w:rPr>
      </w:pPr>
    </w:p>
    <w:p>
      <w:pPr>
        <w:jc w:val="both"/>
        <w:ind w:firstLine="364"/>
        <w:spacing w:after="0" w:line="342" w:lineRule="auto"/>
        <w:rPr>
          <w:sz w:val="20"/>
          <w:szCs w:val="20"/>
          <w:color w:val="auto"/>
        </w:rPr>
      </w:pPr>
      <w:r>
        <w:rPr>
          <w:rFonts w:ascii="Arial" w:cs="Arial" w:eastAsia="Arial" w:hAnsi="Arial"/>
          <w:sz w:val="16"/>
          <w:szCs w:val="16"/>
          <w:color w:val="auto"/>
        </w:rPr>
        <w:t>In addition, changes in the market environment and other events that may occur over the life of the investments may cause the realized gains or losses on investments to be different from the net change in unrealized appreciation or depreciation currently reflected in the consolidated financial statements.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Investments</w:t>
      </w:r>
    </w:p>
    <w:p>
      <w:pPr>
        <w:spacing w:after="0" w:line="252" w:lineRule="exact"/>
        <w:rPr>
          <w:sz w:val="20"/>
          <w:szCs w:val="20"/>
          <w:color w:val="auto"/>
        </w:rPr>
      </w:pPr>
    </w:p>
    <w:p>
      <w:pPr>
        <w:jc w:val="both"/>
        <w:ind w:firstLine="364"/>
        <w:spacing w:after="0" w:line="293" w:lineRule="auto"/>
        <w:rPr>
          <w:sz w:val="20"/>
          <w:szCs w:val="20"/>
          <w:color w:val="auto"/>
        </w:rPr>
      </w:pPr>
      <w:r>
        <w:rPr>
          <w:rFonts w:ascii="Arial" w:cs="Arial" w:eastAsia="Arial" w:hAnsi="Arial"/>
          <w:sz w:val="16"/>
          <w:szCs w:val="16"/>
          <w:color w:val="auto"/>
        </w:rPr>
        <w:t>Equity investments for which market quotations are readily available in an active market are generally valued at the most recently available closing market prices and are classified as Level 1 assets. Equity investments with readily available market quotations that are subject to sales restrictions due to an initial public offering (“IPO”) by the portfolio company will be classified as Level 1. Any other equity investments with readily available market quotations that are subject to sales restrictions that would transfer to market participants who would buy the security may be valued at a discount for a lack of marketability (“DLOM”), to the most recently available closing market prices depending upon the nature of the sales restriction. These investments are generally classified as Level 2 assets. The DLOM used is generally based upon the market value of publicly traded put options with similar terms.</w:t>
      </w:r>
    </w:p>
    <w:p>
      <w:pPr>
        <w:spacing w:after="0" w:line="191" w:lineRule="exact"/>
        <w:rPr>
          <w:sz w:val="20"/>
          <w:szCs w:val="20"/>
          <w:color w:val="auto"/>
        </w:rPr>
      </w:pPr>
    </w:p>
    <w:p>
      <w:pPr>
        <w:jc w:val="both"/>
        <w:ind w:firstLine="364"/>
        <w:spacing w:after="0" w:line="291" w:lineRule="auto"/>
        <w:rPr>
          <w:sz w:val="20"/>
          <w:szCs w:val="20"/>
          <w:color w:val="auto"/>
        </w:rPr>
      </w:pPr>
      <w:r>
        <w:rPr>
          <w:rFonts w:ascii="Arial" w:cs="Arial" w:eastAsia="Arial" w:hAnsi="Arial"/>
          <w:sz w:val="16"/>
          <w:szCs w:val="16"/>
          <w:color w:val="auto"/>
        </w:rPr>
        <w:t>The fair values of the Company’s equity investments for which market quotations are not readily available are determined based on various factors and are classified as Level 3 assets. To determine the fair value of a portfolio company for which market quotations are not readily available, the Company may analyze the relevant portfolio company’s most recently available historical and projected financial results, public market comparables, and other factors. The Company may also consider other events, including the transaction in which the Company acquired its securities, subsequent equity sales by the portfolio company, and mergers or acquisitions affecting the portfolio company. In addition, the Company may consider the trends of the portfolio company’s basic financial metrics from the time of its original investment until the measurement date, with material improvement of these metrics indicating a possible increase in fair value, while material deterioration of these metrics may indicate a possible reduction in fair value.</w:t>
      </w:r>
    </w:p>
    <w:p>
      <w:pPr>
        <w:spacing w:after="0" w:line="193" w:lineRule="exact"/>
        <w:rPr>
          <w:sz w:val="20"/>
          <w:szCs w:val="20"/>
          <w:color w:val="auto"/>
        </w:rPr>
      </w:pPr>
    </w:p>
    <w:p>
      <w:pPr>
        <w:jc w:val="both"/>
        <w:ind w:firstLine="364"/>
        <w:spacing w:after="0" w:line="296" w:lineRule="auto"/>
        <w:rPr>
          <w:sz w:val="20"/>
          <w:szCs w:val="20"/>
          <w:color w:val="auto"/>
        </w:rPr>
      </w:pPr>
      <w:r>
        <w:rPr>
          <w:rFonts w:ascii="Arial" w:cs="Arial" w:eastAsia="Arial" w:hAnsi="Arial"/>
          <w:sz w:val="16"/>
          <w:szCs w:val="16"/>
          <w:color w:val="auto"/>
        </w:rPr>
        <w:t>In determining the value of equity or equity-linked securities (including warrants to purchase common or preferred stock) in a portfolio company, the Company considers the rights, preferences and limitations of such securities. In cases where a portfolio company’s capital structure includes multiple classes of preferred and common stock and equity-linked securities with different rights and preferences, the Company may use an option pricing model to allocate value to each equity-linked security, unless it believes a liquidity event such as an acquisition or a dissolution is imminent, or the portfolio company is unlikely to continue as a going concern. When equity-linked securities expire worthless, any cost associated with these positions is</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40"/>
          </w:cols>
          <w:pgMar w:left="320" w:top="122" w:right="339" w:bottom="1440" w:gutter="0" w:footer="0" w:header="0"/>
        </w:sectPr>
      </w:pPr>
    </w:p>
    <w:bookmarkStart w:id="19" w:name="page20"/>
    <w:bookmarkEnd w:id="1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SURO CAPITAL CORP. AND SUBSIDIARIES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2021</w:t>
      </w:r>
    </w:p>
    <w:p>
      <w:pPr>
        <w:spacing w:after="0" w:line="400"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recognized as a realized loss on investments in the Condensed Consolidated Statements of Operations and Condensed Consolidated Statements of Cash Flows. In the event these securities are exercised into common or preferred stock, the cost associated with these securities is reassigned to the cost basis of the new common or preferred stock. These conversions are noted as non-cash operating items on the Condensed Consolidated Statements of Cash Flows.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Investments</w:t>
      </w:r>
    </w:p>
    <w:p>
      <w:pPr>
        <w:spacing w:after="0" w:line="252" w:lineRule="exact"/>
        <w:rPr>
          <w:sz w:val="20"/>
          <w:szCs w:val="20"/>
          <w:color w:val="auto"/>
        </w:rPr>
      </w:pPr>
    </w:p>
    <w:p>
      <w:pPr>
        <w:jc w:val="both"/>
        <w:ind w:firstLine="364"/>
        <w:spacing w:after="0" w:line="259" w:lineRule="auto"/>
        <w:rPr>
          <w:sz w:val="20"/>
          <w:szCs w:val="20"/>
          <w:color w:val="auto"/>
        </w:rPr>
      </w:pPr>
      <w:r>
        <w:rPr>
          <w:rFonts w:ascii="Arial" w:cs="Arial" w:eastAsia="Arial" w:hAnsi="Arial"/>
          <w:sz w:val="18"/>
          <w:szCs w:val="18"/>
          <w:color w:val="auto"/>
        </w:rPr>
        <w:t>Given the nature of the Company’s current debt investments (excluding U.S. Treasuries), principally convertible and promissory notes issued by venture-capital-backed portfolio companies, these investments are classified as Level 3 assets because there is no known or accessible market or market indexes for these investment securities to be traded or exchanged. The Company’s debt investments are valued at estimated fair value as determined by the Company’s Board of Directors.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Options</w:t>
      </w:r>
    </w:p>
    <w:p>
      <w:pPr>
        <w:spacing w:after="0" w:line="252" w:lineRule="exact"/>
        <w:rPr>
          <w:sz w:val="20"/>
          <w:szCs w:val="20"/>
          <w:color w:val="auto"/>
        </w:rPr>
      </w:pPr>
    </w:p>
    <w:p>
      <w:pPr>
        <w:jc w:val="both"/>
        <w:ind w:firstLine="364"/>
        <w:spacing w:after="0" w:line="259" w:lineRule="auto"/>
        <w:rPr>
          <w:sz w:val="20"/>
          <w:szCs w:val="20"/>
          <w:color w:val="auto"/>
        </w:rPr>
      </w:pPr>
      <w:r>
        <w:rPr>
          <w:rFonts w:ascii="Arial" w:cs="Arial" w:eastAsia="Arial" w:hAnsi="Arial"/>
          <w:sz w:val="18"/>
          <w:szCs w:val="18"/>
          <w:color w:val="auto"/>
        </w:rPr>
        <w:t>The Company’s Board of Directors will ascribe value to options based on fair value analyses that can include discounted cash flow analyses, option pricing models, comparable analyses and other techniques as deemed appropriate. These investments are classified as Level 3 assets because there is no known or accessible market or market indexes for these investment securities to be traded or exchanged. The Company’s options are valued at estimated fair value as determined by the Company’s Board of Directors.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Portfolio Company Investment Classification</w:t>
      </w:r>
    </w:p>
    <w:p>
      <w:pPr>
        <w:spacing w:after="0" w:line="252" w:lineRule="exact"/>
        <w:rPr>
          <w:sz w:val="20"/>
          <w:szCs w:val="20"/>
          <w:color w:val="auto"/>
        </w:rPr>
      </w:pPr>
    </w:p>
    <w:p>
      <w:pPr>
        <w:jc w:val="both"/>
        <w:ind w:firstLine="364"/>
        <w:spacing w:after="0" w:line="254" w:lineRule="auto"/>
        <w:rPr>
          <w:sz w:val="20"/>
          <w:szCs w:val="20"/>
          <w:color w:val="auto"/>
        </w:rPr>
      </w:pPr>
      <w:r>
        <w:rPr>
          <w:rFonts w:ascii="Arial" w:cs="Arial" w:eastAsia="Arial" w:hAnsi="Arial"/>
          <w:sz w:val="18"/>
          <w:szCs w:val="18"/>
          <w:color w:val="auto"/>
        </w:rPr>
        <w:t>The Company is a non-diversified company within the meaning of the 1940 Act. The Company classifies its investments by level of control. As defined in the 1940 Act, control investments are those where there is the power to exercise a controlling influence over the management or policies of a company. Control is generally deemed to exist when a company or individual directly or indirectly owns beneficially more than 25% of the voting securities of an investee company. Affiliated investments and affiliated companies are defined by a lesser degree of influence and are deemed to exist when a company or individual directly or indirectly owns, controls or holds the power to vote 5% or more of the outstanding voting securities of a portfolio company. Refer to the Condensed Consolidated Schedules of Investments as of March 31, 2021 and December 31, 2020, for details regarding the nature and composition of the Company’s investment portfolio.</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Levelling Policy</w:t>
      </w:r>
    </w:p>
    <w:p>
      <w:pPr>
        <w:spacing w:after="0" w:line="252" w:lineRule="exact"/>
        <w:rPr>
          <w:sz w:val="20"/>
          <w:szCs w:val="20"/>
          <w:color w:val="auto"/>
        </w:rPr>
      </w:pPr>
    </w:p>
    <w:p>
      <w:pPr>
        <w:jc w:val="both"/>
        <w:ind w:firstLine="364"/>
        <w:spacing w:after="0" w:line="270" w:lineRule="auto"/>
        <w:rPr>
          <w:sz w:val="20"/>
          <w:szCs w:val="20"/>
          <w:color w:val="auto"/>
        </w:rPr>
      </w:pPr>
      <w:r>
        <w:rPr>
          <w:rFonts w:ascii="Arial" w:cs="Arial" w:eastAsia="Arial" w:hAnsi="Arial"/>
          <w:sz w:val="17"/>
          <w:szCs w:val="17"/>
          <w:color w:val="auto"/>
        </w:rPr>
        <w:t>The portfolio companies in which the Company invests may offer their shares in IPOs. The Company’s shares in such portfolio companies are typically subject to lock-up agreements for 180 days following the IPO. Upon the IPO date, the Company transfers its investment from Level 3 to Level 1 due to the presence of an active market, or Level 2 if limited by the lock-up agreement. The Company prices the investment at the closing price on a public exchange as of the measurement date. In situations where there are lock-up restrictions, as well as legal or contractual restrictions on the sale or use of such security that under ASC 820-10-35 should be incorporated into the security’s fair value measurement as a characteristic of the security that would transfer to market participants who would buy the security, the Company will classify the investment as Level 2 subject to an appropriate DLOM to reflect the restrictions upon sale. The Company transfers investments between levels based on the fair value at the beginning of the measurement period in accordance with FASB ASC 820. For investments transferred out of Level 3 due to an IPO, the Company transfers these investments based on their fair value at the IPO date.</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Transactions</w:t>
      </w:r>
    </w:p>
    <w:p>
      <w:pPr>
        <w:spacing w:after="0" w:line="256" w:lineRule="exact"/>
        <w:rPr>
          <w:sz w:val="20"/>
          <w:szCs w:val="20"/>
          <w:color w:val="auto"/>
        </w:rPr>
      </w:pPr>
    </w:p>
    <w:p>
      <w:pPr>
        <w:jc w:val="both"/>
        <w:ind w:firstLine="364"/>
        <w:spacing w:after="0" w:line="259" w:lineRule="auto"/>
        <w:rPr>
          <w:sz w:val="20"/>
          <w:szCs w:val="20"/>
          <w:color w:val="auto"/>
        </w:rPr>
      </w:pPr>
      <w:r>
        <w:rPr>
          <w:rFonts w:ascii="Arial" w:cs="Arial" w:eastAsia="Arial" w:hAnsi="Arial"/>
          <w:sz w:val="18"/>
          <w:szCs w:val="18"/>
          <w:color w:val="auto"/>
        </w:rPr>
        <w:t>Securities transactions are accounted for on the date the transaction for the purchase or sale of the securities is entered into by the Company (</w:t>
      </w:r>
      <w:r>
        <w:rPr>
          <w:rFonts w:ascii="Arial" w:cs="Arial" w:eastAsia="Arial" w:hAnsi="Arial"/>
          <w:sz w:val="18"/>
          <w:szCs w:val="18"/>
          <w:i w:val="1"/>
          <w:iCs w:val="1"/>
          <w:color w:val="auto"/>
        </w:rPr>
        <w:t>i.e.</w:t>
      </w:r>
      <w:r>
        <w:rPr>
          <w:rFonts w:ascii="Arial" w:cs="Arial" w:eastAsia="Arial" w:hAnsi="Arial"/>
          <w:sz w:val="18"/>
          <w:szCs w:val="18"/>
          <w:color w:val="auto"/>
        </w:rPr>
        <w:t>, trade date). Securities transactions outside conventional channels, such as private transactions, are recorded as of the date the Company obtains the right to demand the securities purchased or to collect the proceeds from a sale and incurs an obligation to pay for securities purchased or to deliver securities sold,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40"/>
          </w:cols>
          <w:pgMar w:left="320" w:top="121" w:right="339" w:bottom="1440" w:gutter="0" w:footer="0" w:header="0"/>
        </w:sectPr>
      </w:pPr>
    </w:p>
    <w:bookmarkStart w:id="20" w:name="page21"/>
    <w:bookmarkEnd w:id="2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SURO CAPITAL CORP. AND SUBSIDIARIES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2021</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Valuation of Other Financial Instruments</w:t>
      </w:r>
    </w:p>
    <w:p>
      <w:pPr>
        <w:spacing w:after="0" w:line="256" w:lineRule="exact"/>
        <w:rPr>
          <w:sz w:val="20"/>
          <w:szCs w:val="20"/>
          <w:color w:val="auto"/>
        </w:rPr>
      </w:pPr>
    </w:p>
    <w:p>
      <w:pPr>
        <w:jc w:val="both"/>
        <w:ind w:firstLine="364"/>
        <w:spacing w:after="0" w:line="277" w:lineRule="auto"/>
        <w:rPr>
          <w:sz w:val="20"/>
          <w:szCs w:val="20"/>
          <w:color w:val="auto"/>
        </w:rPr>
      </w:pPr>
      <w:r>
        <w:rPr>
          <w:rFonts w:ascii="Arial" w:cs="Arial" w:eastAsia="Arial" w:hAnsi="Arial"/>
          <w:sz w:val="18"/>
          <w:szCs w:val="18"/>
          <w:color w:val="auto"/>
        </w:rPr>
        <w:t>The carrying amounts of the Company’s other, non-investment financial instruments, consisting of cash, receivables, accounts payable, and accrued expenses, approximate fair value due to their short-term nature.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w:t>
      </w:r>
    </w:p>
    <w:p>
      <w:pPr>
        <w:spacing w:after="0" w:line="252" w:lineRule="exact"/>
        <w:rPr>
          <w:sz w:val="20"/>
          <w:szCs w:val="20"/>
          <w:color w:val="auto"/>
        </w:rPr>
      </w:pPr>
    </w:p>
    <w:p>
      <w:pPr>
        <w:jc w:val="both"/>
        <w:ind w:firstLine="364"/>
        <w:spacing w:after="0" w:line="259" w:lineRule="auto"/>
        <w:rPr>
          <w:sz w:val="20"/>
          <w:szCs w:val="20"/>
          <w:color w:val="auto"/>
        </w:rPr>
      </w:pPr>
      <w:r>
        <w:rPr>
          <w:rFonts w:ascii="Arial" w:cs="Arial" w:eastAsia="Arial" w:hAnsi="Arial"/>
          <w:sz w:val="18"/>
          <w:szCs w:val="18"/>
          <w:color w:val="auto"/>
        </w:rPr>
        <w:t>The Company places its cash with U.S. Bank, N.A., Bridge Bank (a subsidiary of Western Alliance Bank), and Silicon Valley Bank, and at times, cash held in these accounts may exceed the Federal Deposit Insurance Corporation insured limit. The Company believes that U.S. Bank, N.A., Bridge Bank (a subsidiary of Western Alliance Bank), and Silicon Valley Bank are high-quality financial institutions and that the risk of loss associated with any uninsured balance is remote.</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Escrow Proceeds Receivable</w:t>
      </w:r>
    </w:p>
    <w:p>
      <w:pPr>
        <w:spacing w:after="0" w:line="252" w:lineRule="exact"/>
        <w:rPr>
          <w:sz w:val="20"/>
          <w:szCs w:val="20"/>
          <w:color w:val="auto"/>
        </w:rPr>
      </w:pPr>
    </w:p>
    <w:p>
      <w:pPr>
        <w:jc w:val="both"/>
        <w:ind w:firstLine="364"/>
        <w:spacing w:after="0" w:line="296" w:lineRule="auto"/>
        <w:rPr>
          <w:sz w:val="20"/>
          <w:szCs w:val="20"/>
          <w:color w:val="auto"/>
        </w:rPr>
      </w:pPr>
      <w:r>
        <w:rPr>
          <w:rFonts w:ascii="Arial" w:cs="Arial" w:eastAsia="Arial" w:hAnsi="Arial"/>
          <w:sz w:val="16"/>
          <w:szCs w:val="16"/>
          <w:color w:val="auto"/>
        </w:rPr>
        <w:t>A portion of the proceeds from the sale of portfolio investments are held in escrow as a recourse for indemnity claims that may arise under the sale agreement. Amounts held in escrow are held at estimated realizable value and included in net realized gains (losses) on investments in the Condensed Consolidated Statements of Operations for the period in which they occurred and are adjusted as needed. Any remaining escrow proceeds balances from these transactions reasonably expected to be received are reflected on the Condensed Consolidated Statement of Assets and Liabilities as escrow proceeds receivable. As of March 31, 2021 and December 31, 2020, the Company had $852,307 and $852,462, respectively, in escrow proceeds receivable.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Financing Costs</w:t>
      </w:r>
    </w:p>
    <w:p>
      <w:pPr>
        <w:spacing w:after="0" w:line="252" w:lineRule="exact"/>
        <w:rPr>
          <w:sz w:val="20"/>
          <w:szCs w:val="20"/>
          <w:color w:val="auto"/>
        </w:rPr>
      </w:pPr>
    </w:p>
    <w:p>
      <w:pPr>
        <w:jc w:val="both"/>
        <w:ind w:firstLine="364"/>
        <w:spacing w:after="0" w:line="272" w:lineRule="auto"/>
        <w:rPr>
          <w:sz w:val="20"/>
          <w:szCs w:val="20"/>
          <w:color w:val="auto"/>
        </w:rPr>
      </w:pPr>
      <w:r>
        <w:rPr>
          <w:rFonts w:ascii="Arial" w:cs="Arial" w:eastAsia="Arial" w:hAnsi="Arial"/>
          <w:sz w:val="17"/>
          <w:szCs w:val="17"/>
          <w:color w:val="auto"/>
        </w:rPr>
        <w:t>The Company records origination costs related to lines of credit as deferred financing costs. These costs are deferred and amortized as part of interest expense using the straight-line method over the respective life of the line of credit. For modifications to a line of credit, any unamortized origination costs are expensed. Included within deferred financing costs are offering costs incurred relating to the Company’s shelf registration statement on Form N-2. The Company defers these offering costs until capital is raised pursuant to the shelf registration statement or until the shelf registration statement expires. For equity capital raised, the offering costs reduce paid-in capital resulting from the offering. For debt capital raised, the associated offering costs are amortized over the life of the debt instrument. As of March 31, 2021 and December 31, 2020, the Company had deferred financing costs of $285,814 and $297,196, respectively, on the Condensed Consolidated Statement of Assets and Liabilities.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60" w:type="dxa"/>
            <w:vAlign w:val="bottom"/>
            <w:gridSpan w:val="2"/>
          </w:tcPr>
          <w:p>
            <w:pPr>
              <w:ind w:left="120"/>
              <w:spacing w:after="0"/>
              <w:rPr>
                <w:sz w:val="20"/>
                <w:szCs w:val="20"/>
                <w:color w:val="auto"/>
              </w:rPr>
            </w:pPr>
            <w:r>
              <w:rPr>
                <w:rFonts w:ascii="Arial" w:cs="Arial" w:eastAsia="Arial" w:hAnsi="Arial"/>
                <w:sz w:val="14"/>
                <w:szCs w:val="14"/>
                <w:b w:val="1"/>
                <w:bCs w:val="1"/>
                <w:color w:val="auto"/>
              </w:rPr>
              <w:t>March 31, 2021</w:t>
            </w:r>
          </w:p>
        </w:tc>
        <w:tc>
          <w:tcPr>
            <w:tcW w:w="180" w:type="dxa"/>
            <w:vAlign w:val="bottom"/>
          </w:tcPr>
          <w:p>
            <w:pPr>
              <w:spacing w:after="0"/>
              <w:rPr>
                <w:sz w:val="16"/>
                <w:szCs w:val="16"/>
                <w:color w:val="auto"/>
              </w:rPr>
            </w:pPr>
          </w:p>
        </w:tc>
        <w:tc>
          <w:tcPr>
            <w:tcW w:w="1520" w:type="dxa"/>
            <w:vAlign w:val="bottom"/>
          </w:tcPr>
          <w:p>
            <w:pPr>
              <w:jc w:val="right"/>
              <w:ind w:right="175"/>
              <w:spacing w:after="0"/>
              <w:rPr>
                <w:sz w:val="20"/>
                <w:szCs w:val="20"/>
                <w:color w:val="auto"/>
              </w:rPr>
            </w:pPr>
            <w:r>
              <w:rPr>
                <w:rFonts w:ascii="Arial" w:cs="Arial" w:eastAsia="Arial" w:hAnsi="Arial"/>
                <w:sz w:val="14"/>
                <w:szCs w:val="14"/>
                <w:b w:val="1"/>
                <w:bCs w:val="1"/>
                <w:color w:val="auto"/>
                <w:w w:val="98"/>
              </w:rPr>
              <w:t>December 31, 2020</w:t>
            </w:r>
          </w:p>
        </w:tc>
      </w:tr>
      <w:tr>
        <w:trPr>
          <w:trHeight w:val="229"/>
        </w:trPr>
        <w:tc>
          <w:tcPr>
            <w:tcW w:w="77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credit facility costs</w:t>
            </w: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11,382</w:t>
            </w:r>
          </w:p>
        </w:tc>
      </w:tr>
      <w:tr>
        <w:trPr>
          <w:trHeight w:val="230"/>
        </w:trPr>
        <w:tc>
          <w:tcPr>
            <w:tcW w:w="77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Deferred offering costs</w:t>
            </w:r>
          </w:p>
        </w:tc>
        <w:tc>
          <w:tcPr>
            <w:tcW w:w="2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285,814</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285,814</w:t>
            </w:r>
          </w:p>
        </w:tc>
      </w:tr>
      <w:tr>
        <w:trPr>
          <w:trHeight w:val="248"/>
        </w:trPr>
        <w:tc>
          <w:tcPr>
            <w:tcW w:w="7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Deferred Financing Costs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285,814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297,196</w:t>
            </w:r>
          </w:p>
        </w:tc>
      </w:tr>
      <w:tr>
        <w:trPr>
          <w:trHeight w:val="20"/>
        </w:trPr>
        <w:tc>
          <w:tcPr>
            <w:tcW w:w="77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-333375</wp:posOffset>
            </wp:positionV>
            <wp:extent cx="4903470" cy="1543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4903470" cy="154305"/>
                    </a:xfrm>
                    <a:prstGeom prst="rect">
                      <a:avLst/>
                    </a:prstGeom>
                    <a:noFill/>
                  </pic:spPr>
                </pic:pic>
              </a:graphicData>
            </a:graphic>
          </wp:anchor>
        </w:drawing>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Leases &amp; Related Deposits</w:t>
      </w:r>
    </w:p>
    <w:p>
      <w:pPr>
        <w:spacing w:after="0" w:line="252"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 xml:space="preserve">The Company accounts for its operating leases as prescribed by ASC 842, </w:t>
      </w:r>
      <w:r>
        <w:rPr>
          <w:rFonts w:ascii="Arial" w:cs="Arial" w:eastAsia="Arial" w:hAnsi="Arial"/>
          <w:sz w:val="18"/>
          <w:szCs w:val="18"/>
          <w:i w:val="1"/>
          <w:iCs w:val="1"/>
          <w:color w:val="auto"/>
        </w:rPr>
        <w:t>Leases</w:t>
      </w:r>
      <w:r>
        <w:rPr>
          <w:rFonts w:ascii="Arial" w:cs="Arial" w:eastAsia="Arial" w:hAnsi="Arial"/>
          <w:sz w:val="18"/>
          <w:szCs w:val="18"/>
          <w:color w:val="auto"/>
        </w:rPr>
        <w:t>, which requires lessees to recognize a right of use asset on the balance sheet, representing its right to use the underlying asset for the lease term, and a corresponding lease liability for all leases with terms greater than 12 months. The lease expense is presented as a single lease cost that is amortized on a straight-line basis over the life of the lease. Non-lease components (maintenance, property tax, insurance and parking) are not included in the lease cost. On June 3, 2019, the Company entered a 5-year operating lease for primary office space for which the Company has recorded a right-of-use asset and a corresponding lease liability for the operating lease obligation. These amounts have been discounted using the rate implicit in the lease. Refer to “Note 7—Commitments and Contingencies—</w:t>
      </w:r>
      <w:r>
        <w:rPr>
          <w:rFonts w:ascii="Arial" w:cs="Arial" w:eastAsia="Arial" w:hAnsi="Arial"/>
          <w:sz w:val="18"/>
          <w:szCs w:val="18"/>
          <w:i w:val="1"/>
          <w:iCs w:val="1"/>
          <w:color w:val="auto"/>
        </w:rPr>
        <w:t>Operating Leases and Related</w:t>
      </w:r>
      <w:r>
        <w:rPr>
          <w:rFonts w:ascii="Arial" w:cs="Arial" w:eastAsia="Arial" w:hAnsi="Arial"/>
          <w:sz w:val="18"/>
          <w:szCs w:val="18"/>
          <w:color w:val="auto"/>
        </w:rPr>
        <w:t xml:space="preserve"> </w:t>
      </w:r>
      <w:r>
        <w:rPr>
          <w:rFonts w:ascii="Arial" w:cs="Arial" w:eastAsia="Arial" w:hAnsi="Arial"/>
          <w:sz w:val="18"/>
          <w:szCs w:val="18"/>
          <w:i w:val="1"/>
          <w:iCs w:val="1"/>
          <w:color w:val="auto"/>
        </w:rPr>
        <w:t>Deposits</w:t>
      </w:r>
      <w:r>
        <w:rPr>
          <w:rFonts w:ascii="Arial" w:cs="Arial" w:eastAsia="Arial" w:hAnsi="Arial"/>
          <w:sz w:val="18"/>
          <w:szCs w:val="18"/>
          <w:color w:val="auto"/>
        </w:rPr>
        <w:t>” for further detail.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40"/>
          </w:cols>
          <w:pgMar w:left="320" w:top="121" w:right="339" w:bottom="1440" w:gutter="0" w:footer="0" w:header="0"/>
        </w:sectPr>
      </w:pPr>
    </w:p>
    <w:bookmarkStart w:id="21" w:name="page22"/>
    <w:bookmarkEnd w:id="2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SURO CAPITAL CORP. AND SUBSIDIARIES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2021</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52"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 xml:space="preserve">Using the fair value recognition provisions as prescribed by ASC 718, </w:t>
      </w:r>
      <w:r>
        <w:rPr>
          <w:rFonts w:ascii="Arial" w:cs="Arial" w:eastAsia="Arial" w:hAnsi="Arial"/>
          <w:sz w:val="18"/>
          <w:szCs w:val="18"/>
          <w:i w:val="1"/>
          <w:iCs w:val="1"/>
          <w:color w:val="auto"/>
        </w:rPr>
        <w:t>Stock Compensation</w:t>
      </w:r>
      <w:r>
        <w:rPr>
          <w:rFonts w:ascii="Arial" w:cs="Arial" w:eastAsia="Arial" w:hAnsi="Arial"/>
          <w:sz w:val="18"/>
          <w:szCs w:val="18"/>
          <w:color w:val="auto"/>
        </w:rPr>
        <w:t>, stock-based compensation cost is measured at the grant date based on the estimated fair value of the award and is recognized as expense over the appropriate service period. Determining the fair value of stock-based awards requires considerable judgment, including estimating the expected term of stock options and the expected volatility of our stock price. Differences between actual results and these estimates could have a material effect on our financial results. Forfeitures are accounted for as they occur. Refer to “Note 11—Stock-Based Compensation” for further detail.</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256" w:lineRule="exact"/>
        <w:rPr>
          <w:sz w:val="20"/>
          <w:szCs w:val="20"/>
          <w:color w:val="auto"/>
        </w:rPr>
      </w:pPr>
    </w:p>
    <w:p>
      <w:pPr>
        <w:jc w:val="both"/>
        <w:ind w:firstLine="364"/>
        <w:spacing w:after="0" w:line="342" w:lineRule="auto"/>
        <w:rPr>
          <w:sz w:val="20"/>
          <w:szCs w:val="20"/>
          <w:color w:val="auto"/>
        </w:rPr>
      </w:pPr>
      <w:r>
        <w:rPr>
          <w:rFonts w:ascii="Arial" w:cs="Arial" w:eastAsia="Arial" w:hAnsi="Arial"/>
          <w:sz w:val="16"/>
          <w:szCs w:val="16"/>
          <w:color w:val="auto"/>
        </w:rPr>
        <w:t>The Company recognizes gains or losses on the sale of investments using the specific identification method. The Company recognizes interest income, adjusted for amortization of premium and accretion of discount, on an accrual basis. The Company recognizes dividend income on the ex-dividend date.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Transaction Costs and Escrow Deposits</w:t>
      </w:r>
    </w:p>
    <w:p>
      <w:pPr>
        <w:spacing w:after="0" w:line="256" w:lineRule="exact"/>
        <w:rPr>
          <w:sz w:val="20"/>
          <w:szCs w:val="20"/>
          <w:color w:val="auto"/>
        </w:rPr>
      </w:pPr>
    </w:p>
    <w:p>
      <w:pPr>
        <w:jc w:val="both"/>
        <w:ind w:firstLine="364"/>
        <w:spacing w:after="0" w:line="293" w:lineRule="auto"/>
        <w:rPr>
          <w:sz w:val="20"/>
          <w:szCs w:val="20"/>
          <w:color w:val="auto"/>
        </w:rPr>
      </w:pPr>
      <w:r>
        <w:rPr>
          <w:rFonts w:ascii="Arial" w:cs="Arial" w:eastAsia="Arial" w:hAnsi="Arial"/>
          <w:sz w:val="16"/>
          <w:szCs w:val="16"/>
          <w:color w:val="auto"/>
        </w:rPr>
        <w:t>Commissions and other costs associated with an investment transaction, including legal expenses not reimbursed by the portfolio company, are included in the cost basis of purchases and deducted from the proceeds of sales. The Company makes certain acquisitions on secondary markets, which may involve making deposits to escrow accounts until certain conditions are met, including the underlying private company’s right of first refusal. If the underlying private company does not exercise or assign its right of first refusal and all other conditions are met, then the funds in the escrow account are delivered to the seller and the account is closed. Such transactions would be reflected on the Condensed Consolidated Statement of Assets and Liabilities as escrow deposits. As of March 31, 2021 and December 31, 2020, the Company had no material escrow deposits.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Unrealized Appreciation or Depreciation of Investments</w:t>
      </w:r>
    </w:p>
    <w:p>
      <w:pPr>
        <w:spacing w:after="0" w:line="256" w:lineRule="exact"/>
        <w:rPr>
          <w:sz w:val="20"/>
          <w:szCs w:val="20"/>
          <w:color w:val="auto"/>
        </w:rPr>
      </w:pPr>
    </w:p>
    <w:p>
      <w:pPr>
        <w:ind w:left="420"/>
        <w:spacing w:after="0"/>
        <w:rPr>
          <w:sz w:val="20"/>
          <w:szCs w:val="20"/>
          <w:color w:val="auto"/>
        </w:rPr>
      </w:pPr>
      <w:r>
        <w:rPr>
          <w:rFonts w:ascii="Arial" w:cs="Arial" w:eastAsia="Arial" w:hAnsi="Arial"/>
          <w:sz w:val="16"/>
          <w:szCs w:val="16"/>
          <w:color w:val="auto"/>
        </w:rPr>
        <w:t>Unrealized appreciation or depreciation is calculated as the difference between the fair value of the investment and the cost basis of such investment.</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Federal and State Income Taxes</w:t>
      </w:r>
    </w:p>
    <w:p>
      <w:pPr>
        <w:spacing w:after="0" w:line="256" w:lineRule="exact"/>
        <w:rPr>
          <w:sz w:val="20"/>
          <w:szCs w:val="20"/>
          <w:color w:val="auto"/>
        </w:rPr>
      </w:pPr>
    </w:p>
    <w:p>
      <w:pPr>
        <w:jc w:val="both"/>
        <w:ind w:firstLine="364"/>
        <w:spacing w:after="0" w:line="270" w:lineRule="auto"/>
        <w:rPr>
          <w:sz w:val="20"/>
          <w:szCs w:val="20"/>
          <w:color w:val="auto"/>
        </w:rPr>
      </w:pPr>
      <w:r>
        <w:rPr>
          <w:rFonts w:ascii="Arial" w:cs="Arial" w:eastAsia="Arial" w:hAnsi="Arial"/>
          <w:sz w:val="17"/>
          <w:szCs w:val="17"/>
          <w:color w:val="auto"/>
        </w:rPr>
        <w:t>The Company elected to be treated as a regulated investment company (a “RIC”) under Subchapter M of the Internal Revenue Code of 1986, as amended (the “Code”), beginning with its taxable year ended December 31, 2014, has qualified to be treated as a RIC for subsequent taxable years and intends to continue to operate in a manner so as to qualify for the tax treatment applicable to RICs. To qualify for tax treatment as a RIC, among other things, the Company is required to meet certain source of income and asset diversification requirements and timely distribute to its stockholders at least 90% of the sum of investment company taxable income (“ICTI”) including payment-in-kind interest income, as defined by the Code, and net tax-exempt interest income (which is the excess of its gross tax-exempt interest income over certain disallowed deductions) for each taxable year (the "Annual Distribution Requirement"). Depending on the level of ICTI earned in a tax year, the Company may choose to carry forward into the next tax year ICTI in excess of current year dividend distributions. Any such carryforward ICTI must be distributed on or before December 31 of the subsequent tax year to which it was carried forward.</w:t>
      </w:r>
    </w:p>
    <w:p>
      <w:pPr>
        <w:spacing w:after="0" w:line="208" w:lineRule="exact"/>
        <w:rPr>
          <w:sz w:val="20"/>
          <w:szCs w:val="20"/>
          <w:color w:val="auto"/>
        </w:rPr>
      </w:pPr>
    </w:p>
    <w:p>
      <w:pPr>
        <w:ind w:left="380"/>
        <w:spacing w:after="0"/>
        <w:rPr>
          <w:sz w:val="20"/>
          <w:szCs w:val="20"/>
          <w:color w:val="auto"/>
        </w:rPr>
      </w:pPr>
      <w:r>
        <w:rPr>
          <w:rFonts w:ascii="Arial" w:cs="Arial" w:eastAsia="Arial" w:hAnsi="Arial"/>
          <w:sz w:val="16"/>
          <w:szCs w:val="16"/>
          <w:color w:val="auto"/>
        </w:rPr>
        <w:t>If the Company meets the Annual Distribution Requirement, but does not distribute (or is not deemed to have distributed) each calendar year a sum of</w:t>
      </w:r>
    </w:p>
    <w:p>
      <w:pPr>
        <w:spacing w:after="0" w:line="46" w:lineRule="exact"/>
        <w:rPr>
          <w:sz w:val="20"/>
          <w:szCs w:val="20"/>
          <w:color w:val="auto"/>
        </w:rPr>
      </w:pPr>
    </w:p>
    <w:p>
      <w:pPr>
        <w:jc w:val="both"/>
        <w:ind w:firstLine="8"/>
        <w:spacing w:after="0" w:line="252" w:lineRule="auto"/>
        <w:tabs>
          <w:tab w:leader="none" w:pos="276" w:val="left"/>
        </w:tabs>
        <w:numPr>
          <w:ilvl w:val="0"/>
          <w:numId w:val="16"/>
        </w:numPr>
        <w:rPr>
          <w:rFonts w:ascii="Arial" w:cs="Arial" w:eastAsia="Arial" w:hAnsi="Arial"/>
          <w:sz w:val="18"/>
          <w:szCs w:val="18"/>
          <w:color w:val="auto"/>
        </w:rPr>
      </w:pPr>
      <w:r>
        <w:rPr>
          <w:rFonts w:ascii="Arial" w:cs="Arial" w:eastAsia="Arial" w:hAnsi="Arial"/>
          <w:sz w:val="18"/>
          <w:szCs w:val="18"/>
          <w:color w:val="auto"/>
        </w:rPr>
        <w:t>98% of its net ordinary income for each calendar year, (2) 98.2% of its capital gain net income for the one-year period ending October 31 in that calendar year and (3) any income recognized, but not distributed, in preceding years (the “Excise Tax Avoidance Requirement”), it generally will be required to pay an excise tax equal to 4% of the amount by which the Excise Tax Avoidance Requirement exceeds the distributions for the year. To the extent that the Company determines that its estimated current year annual taxable income will exceed estimated current year dividend distributions from such taxable income, the Company will accrue excise taxes, if any, on estimated excess taxable income as taxable income is earned using an annual effective excise tax rate. The annual effective excise tax rate is determined by dividing the estimated annual excise tax by the estimated annual taxable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40"/>
          </w:cols>
          <w:pgMar w:left="320" w:top="121" w:right="339" w:bottom="1440" w:gutter="0" w:footer="0" w:header="0"/>
        </w:sectPr>
      </w:pPr>
    </w:p>
    <w:bookmarkStart w:id="22" w:name="page23"/>
    <w:bookmarkEnd w:id="2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SURO CAPITAL CORP. AND SUBSIDIARIES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2021</w:t>
      </w:r>
    </w:p>
    <w:p>
      <w:pPr>
        <w:spacing w:after="0" w:line="400" w:lineRule="exact"/>
        <w:rPr>
          <w:sz w:val="20"/>
          <w:szCs w:val="20"/>
          <w:color w:val="auto"/>
        </w:rPr>
      </w:pPr>
    </w:p>
    <w:p>
      <w:pPr>
        <w:jc w:val="both"/>
        <w:ind w:firstLine="364"/>
        <w:spacing w:after="0" w:line="293" w:lineRule="auto"/>
        <w:rPr>
          <w:sz w:val="20"/>
          <w:szCs w:val="20"/>
          <w:color w:val="auto"/>
        </w:rPr>
      </w:pPr>
      <w:r>
        <w:rPr>
          <w:rFonts w:ascii="Arial" w:cs="Arial" w:eastAsia="Arial" w:hAnsi="Arial"/>
          <w:sz w:val="16"/>
          <w:szCs w:val="16"/>
          <w:color w:val="auto"/>
        </w:rPr>
        <w:t>So long as the Company qualifies and maintains its tax treatment as a RIC, it generally will not pay corporate-level U.S. federal and state income taxes on any ordinary income or capital gains that it distributes at least annually to its stockholders as dividends. Rather, any tax liability related to income earned by the RIC will represent obligations of the Company’s investors and will not be reflected in the consolidated financial statements of the Company. Included in the Company’s consolidated financial statements, the Taxable Subsidiaries are taxable subsidiaries, regardless of whether the Company is a RIC. These taxable subsidiaries are not consolidated for income tax purposes and may generate income tax expenses as a result of their ownership of the portfolio companies. Such income tax expenses and deferred taxes, if any, will be reflected in the Company’s condensed consolidated financial statements.</w:t>
      </w:r>
    </w:p>
    <w:p>
      <w:pPr>
        <w:spacing w:after="0" w:line="191" w:lineRule="exact"/>
        <w:rPr>
          <w:sz w:val="20"/>
          <w:szCs w:val="20"/>
          <w:color w:val="auto"/>
        </w:rPr>
      </w:pPr>
    </w:p>
    <w:p>
      <w:pPr>
        <w:jc w:val="both"/>
        <w:ind w:firstLine="364"/>
        <w:spacing w:after="0" w:line="286" w:lineRule="auto"/>
        <w:rPr>
          <w:sz w:val="20"/>
          <w:szCs w:val="20"/>
          <w:color w:val="auto"/>
        </w:rPr>
      </w:pPr>
      <w:r>
        <w:rPr>
          <w:rFonts w:ascii="Arial" w:cs="Arial" w:eastAsia="Arial" w:hAnsi="Arial"/>
          <w:sz w:val="16"/>
          <w:szCs w:val="16"/>
          <w:color w:val="auto"/>
        </w:rPr>
        <w:t>If it is not treated as a RIC, the Company will be taxed as a regular corporation (a “C corporation”) under Subchapter C of the Code for such taxable year. If the Company has previously qualified as a RIC but is subsequently unable to qualify for treatment as a RIC, and certain amelioration provisions are not applicable, the Company would be subject to tax on all of its taxable income (including its net capital gains) at regular corporate rates. The Company would not be able to deduct distributions to stockholders, nor would it be required to make distributions. Distributions, including distributions of net long-term capital gain, would generally be taxable to its stockholders as ordinary dividend income to the extent of the Company’s current and accumulated earnings and profits. Subject to certain limitations under the Code, corporate stockholders would be eligible to claim a dividend received deduction with respect to such dividend; non-corporate stockholders would generally be able to treat such dividends as “qualified dividend income,” which is subject to reduced rates of U.S. federal income tax. Distributions in excess of the Company’s current and accumulated earnings and profits would be treated first as a return of capital to the extent of the stockholder’s tax basis, and any remaining distributions would be treated as a capital gain. In order to requalify as a RIC, in addition to the other requirements discussed above, the Company would be required to distribute all of its previously undistributed earnings attributable to the period it failed to qualify as a RIC by the end of the first year that it intends to requalify for tax treatment as a RIC. If the Company fails to requalify for tax treatment as a RIC for a period greater than two taxable years, it may be subject to regular corporate tax on any net built-in gains with respect to certain of its assets (i.e., the excess of the aggregate gains, including items of income, over aggregate losses that would have been realized with respect to such assets if the Company had been liquidated) that it elects to recognize on requalification or when recognized over the next five years. The Company was taxed as a C Corporation for its 2012 and 2013 taxable years. Refer to “Note 9—Income Taxes” for further details.</w:t>
      </w:r>
    </w:p>
    <w:p>
      <w:pPr>
        <w:spacing w:after="0" w:line="194"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The Company elected to be treated as a RIC for the taxable year ended December 31, 2014 in connection with the filing of its 2014 tax return. As a result, the Company was required to pay a corporate-level U.S. federal income tax on the amount of the net built-in gains in its assets (the amount by which the net fair market value of the Company’s assets exceeds the net adjusted basis in its assets) either (1) as of the date it converted to a RIC (i.e., the beginning of the first taxable year that the Company qualifies as a RIC, which would be January 1, 2014), or (2) to the extent that the Company recognized such net built-in gains during the five-year recognition period beginning on the date of conversion. As of January 1, 2014, the Company had net unrealized built-in gains, but did not incur a built-in-gains tax for the 2014 tax year due to the fact that there were sufficient net capital loss carryforwards to completely offset recognized built-in gains as well as available net operating losses. The five-year recognition period ended on December 31, 2018.</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 Share Information</w:t>
      </w:r>
    </w:p>
    <w:p>
      <w:pPr>
        <w:spacing w:after="0" w:line="256" w:lineRule="exact"/>
        <w:rPr>
          <w:sz w:val="20"/>
          <w:szCs w:val="20"/>
          <w:color w:val="auto"/>
        </w:rPr>
      </w:pPr>
    </w:p>
    <w:p>
      <w:pPr>
        <w:jc w:val="both"/>
        <w:ind w:firstLine="364"/>
        <w:spacing w:after="0" w:line="293" w:lineRule="auto"/>
        <w:rPr>
          <w:sz w:val="20"/>
          <w:szCs w:val="20"/>
          <w:color w:val="auto"/>
        </w:rPr>
      </w:pPr>
      <w:r>
        <w:rPr>
          <w:rFonts w:ascii="Arial" w:cs="Arial" w:eastAsia="Arial" w:hAnsi="Arial"/>
          <w:sz w:val="16"/>
          <w:szCs w:val="16"/>
          <w:color w:val="auto"/>
        </w:rPr>
        <w:t>Net change in net assets resulting from operations per basic common share is computed using the weighted-average number of shares outstanding for the period presented. Diluted net change in net assets resulting from operations per common share is computed by dividing net increase/(decrease) in net assets resulting from operations for the period adjusted to include the pre-tax effects of interest incurred on potentially dilutive securities, by the weighted-average number of common shares outstanding plus any potentially dilutive shares outstanding during the period. The Company used the if-converted method in accordance with FASB ASC 260</w:t>
      </w:r>
      <w:r>
        <w:rPr>
          <w:rFonts w:ascii="Arial" w:cs="Arial" w:eastAsia="Arial" w:hAnsi="Arial"/>
          <w:sz w:val="16"/>
          <w:szCs w:val="16"/>
          <w:i w:val="1"/>
          <w:iCs w:val="1"/>
          <w:color w:val="auto"/>
        </w:rPr>
        <w:t>, Earnings Per Share</w:t>
      </w:r>
      <w:r>
        <w:rPr>
          <w:rFonts w:ascii="Arial" w:cs="Arial" w:eastAsia="Arial" w:hAnsi="Arial"/>
          <w:sz w:val="16"/>
          <w:szCs w:val="16"/>
          <w:color w:val="auto"/>
        </w:rPr>
        <w:t xml:space="preserve"> (“ASC 260”) to determine the number of potentially dilutive shares outstanding. Refer to “Note 6—Net Increase in Net Assets Resulting from Operations per Common Share—Basic and Diluted” for further detail.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40"/>
          </w:cols>
          <w:pgMar w:left="320" w:top="121" w:right="339" w:bottom="1440" w:gutter="0" w:footer="0" w:header="0"/>
        </w:sectPr>
      </w:pPr>
    </w:p>
    <w:bookmarkStart w:id="23" w:name="page24"/>
    <w:bookmarkEnd w:id="2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SURO CAPITAL CORP. AND SUBSIDIARIES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2021</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or Adopted Accounting Standards</w:t>
      </w:r>
    </w:p>
    <w:p>
      <w:pPr>
        <w:spacing w:after="0" w:line="256" w:lineRule="exact"/>
        <w:rPr>
          <w:sz w:val="20"/>
          <w:szCs w:val="20"/>
          <w:color w:val="auto"/>
        </w:rPr>
      </w:pPr>
    </w:p>
    <w:p>
      <w:pPr>
        <w:jc w:val="both"/>
        <w:ind w:firstLine="324"/>
        <w:spacing w:after="0" w:line="248" w:lineRule="auto"/>
        <w:rPr>
          <w:sz w:val="20"/>
          <w:szCs w:val="20"/>
          <w:color w:val="auto"/>
        </w:rPr>
      </w:pPr>
      <w:r>
        <w:rPr>
          <w:rFonts w:ascii="Arial" w:cs="Arial" w:eastAsia="Arial" w:hAnsi="Arial"/>
          <w:sz w:val="18"/>
          <w:szCs w:val="18"/>
          <w:color w:val="auto"/>
        </w:rPr>
        <w:t>In October 2020, the FASB issued ASU 2020-10, Codification Improvements, which made various technical changes and corrections intended to provide clarifications to existing guidance, as well as simplifications to wording or structure of existing guidance. The Company adopted the modified disclosure requirements during the period ended March 31, 2021.</w:t>
      </w:r>
    </w:p>
    <w:p>
      <w:pPr>
        <w:spacing w:after="0" w:line="20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From time to time, new accounting pronouncements are issued by the FASB or other standards setting bodies that are adopted by the Company as of the specified effective date. The Company believes that the impact of recently issued standards and any that are not yet effective will not have a material impact on its consolidated financial statements upon adoption.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3—RELATED-PARTY ARRANGEMENTS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Internalization of Company’s Operating Structure</w:t>
      </w:r>
    </w:p>
    <w:p>
      <w:pPr>
        <w:spacing w:after="0" w:line="25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On and effective March 12, 2019 (the "Effective Date"), our Board of Directors approved internalizing our operating structure and we began operating as an internally managed non-diversified closed-end management investment company that has elected to be regulated as a BDC under the 1940 Act. Prior to the Effective Date, we were externally managed by our former investment adviser, GSV Asset Management, pursuant to the Investment Advisory Agreement, and our former administrator, GSV Capital Service Company, provided the administrative services necessary for our operations pursuant to the Administration Agreement.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Termination of Investment Advisory Agreement</w:t>
      </w:r>
    </w:p>
    <w:p>
      <w:pPr>
        <w:spacing w:after="0" w:line="25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On and effective March 12, 2019, the Investment Advisory Agreement was terminated by mutual agreement of GSV Asset Management and us in connection with our Internalization.</w:t>
      </w:r>
    </w:p>
    <w:p>
      <w:pPr>
        <w:spacing w:after="0" w:line="197"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Prior to our Internalization, GSV Asset Management served as our external investment adviser pursuant to the Investment Advisory Agreement. Pursuant to the terms of the Investment Advisory Agreement, we paid GSV Asset Management a fee for its services consisting of two components - a base management fee and an incentive fee. The base management fee was calculated at an annual rate of 2.00% of our gross assets (our total assets as reflected on our balance sheet with no deduction for liabilities). The incentive fee was determined and payable in arrears as of the end of each calendar year (or upon termination of the Investment Advisory Agreement, as of the termination date), and equaled the lesser of (i) 20% of our realized capital gains during such calendar year, if any, calculated on an investment-by-investment basis, subject to a non-compounded preferred return, or “hurdle” of 8.00% per year, and a “catch-up” feature, and (ii) 20% of our realized capital gains, if any, on a cumulative basis from inception through the end of each calendar year, computed net of all realized capital losses and unrealized capital depreciation on a cumulative basis, less the aggregate amount of any previously paid incentive fees. See “—Investment Advisory Agreement” below.</w:t>
      </w:r>
    </w:p>
    <w:p>
      <w:pPr>
        <w:spacing w:after="0" w:line="20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As the Investment Advisory Agreement has been terminated, there will be no base management fees or incentives fees payable to GSV Asset Management going forward.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Termination of Administration Agreement</w:t>
      </w:r>
    </w:p>
    <w:p>
      <w:pPr>
        <w:spacing w:after="0" w:line="25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On and effective March 12, 2019, the Administration Agreement was terminated by mutual agreement of GSV Capital Service Company and us in connection with our Internalization.</w:t>
      </w:r>
    </w:p>
    <w:p>
      <w:pPr>
        <w:spacing w:after="0" w:line="197"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Prior to our Internalization, GSV Capital Service Company served as our external administrator and provided administrative services necessary for our operations, including but not limited to, furnishing us with office facilities, equipment and clerical, bookkeeping and record keeping services at such facilities, as well as providing us with certain other administrative services, including, but not limited to, assisting us with determining and publishing our net asset value, overseeing the preparation and filing of our tax returns and the printing and dissemination of reports to our stockholders.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240"/>
          </w:cols>
          <w:pgMar w:left="320" w:top="121" w:right="339" w:bottom="1440" w:gutter="0" w:footer="0" w:header="0"/>
          <w:type w:val="continuous"/>
        </w:sectPr>
      </w:pPr>
    </w:p>
    <w:bookmarkStart w:id="24" w:name="page25"/>
    <w:bookmarkEnd w:id="2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SURO CAPITAL CORP. AND SUBSIDIARIES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2021</w:t>
      </w:r>
    </w:p>
    <w:p>
      <w:pPr>
        <w:spacing w:after="0" w:line="40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Under the Administration Agreement, we did not pay any fees to GSV Capital Service Company but reimbursed GSV Capital Service Company for our allocable portion of overhead and other expenses incurred by GSV Capital Service Company in performing its services under the Administration Agreement, including, but not limited to, fees and expenses associated with performing compliance functions and our allocable portion of rent and compensation of our President, Chief Financial Officer, Chief Compliance Officer and other staff providing administrative services. See “—Administration Agreement” below.</w:t>
      </w:r>
    </w:p>
    <w:p>
      <w:pPr>
        <w:spacing w:after="0" w:line="21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the Administration Agreement has been terminated, there will be no costs incurred by GSV Capital Service Company going forward.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Consulting Agreement</w:t>
      </w:r>
    </w:p>
    <w:p>
      <w:pPr>
        <w:spacing w:after="0" w:line="252"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On and effective March 12, 2019, we entered into a Consulting Agreement (the “Consulting Agreement”) with Michael T. Moe, the former Chairman of our Board of Directors and the Chief Executive Officer and Chief Investment Officer of GSV Asset Management, for the purpose of assisting us with certain transition services following the termination of the Investment Advisory Agreement and our Internalization. Pursuant to the Consulting Agreement, Mr. Moe provided certain transition services to us related to our existing portfolio investments for which Mr. Moe previously had oversight in his role as the Chief Executive Officer and Chief Investment Officer of GSV Asset Management. Such transition services included providing information to us regarding such portfolio companies, including as a member of a portfolio company’s board of directors, assisting with the transition of portfolio company board seats as requested by us, making appropriate introductions to representatives of portfolio companies, and providing other similar types of services that we may reasonably request.</w:t>
      </w:r>
    </w:p>
    <w:p>
      <w:pPr>
        <w:spacing w:after="0" w:line="21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term of the Consulting Agreement commenced on March 12, 2019 and continued for eighteen months in accordance with its terms. Pursuant to the Consulting Agreement, we paid Mr. Moe a total amount equal to $1,250,000. On September 12, 2020, the Consulting Agreement expired in accordance with its terms and was not renewed or extended.</w:t>
      </w:r>
    </w:p>
    <w:p>
      <w:pPr>
        <w:spacing w:after="0" w:line="211" w:lineRule="exact"/>
        <w:rPr>
          <w:sz w:val="20"/>
          <w:szCs w:val="20"/>
          <w:color w:val="auto"/>
        </w:rPr>
      </w:pPr>
    </w:p>
    <w:p>
      <w:pPr>
        <w:jc w:val="both"/>
        <w:ind w:firstLine="364"/>
        <w:spacing w:after="0" w:line="277" w:lineRule="auto"/>
        <w:rPr>
          <w:sz w:val="20"/>
          <w:szCs w:val="20"/>
          <w:color w:val="auto"/>
        </w:rPr>
      </w:pPr>
      <w:r>
        <w:rPr>
          <w:rFonts w:ascii="Arial" w:cs="Arial" w:eastAsia="Arial" w:hAnsi="Arial"/>
          <w:sz w:val="18"/>
          <w:szCs w:val="18"/>
          <w:color w:val="auto"/>
        </w:rPr>
        <w:t>For the three months ended March 31, 2021 and 2020, the Company incurred $0 and $208,333, respectively, of consulting expense related to the Consulting Agreement.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Amended and Restated Trademark License Agreement</w:t>
      </w:r>
    </w:p>
    <w:p>
      <w:pPr>
        <w:spacing w:after="0" w:line="25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On and effective March 12, 2019, we entered into an Amended and Restated Trademark License Agreement (the “Amended and Restated License Agreement”) with GSV Asset Management in connection with termination of the Investment Advisory Agreement. See “—Termination of Investment Advisory Agreement.”</w:t>
      </w:r>
    </w:p>
    <w:p>
      <w:pPr>
        <w:spacing w:after="0" w:line="211"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GSV Asset Management is the owner of the trade name “GSV”, and other state or unregistered “GSV” marks, including the trading symbol “GSVC” (collectively, the “Licensed Marks”). Pursuant to the Amended and Restated License Agreement, GSV Asset Management granted us a non-transferable, non-sublicensable, and non-exclusive right and license to use the Licensed Marks, solely in connection with the operation of our existing business.</w:t>
      </w:r>
    </w:p>
    <w:p>
      <w:pPr>
        <w:spacing w:after="0" w:line="176"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 term of the Amended and Restated License Agreement commenced on March 12, 2019 and continued for eighteen months in accordance with its terms. Pursuant to the Amended and Restated License Agreement, we paid GSV Asset Management a total amount equal to $1,250,000. On September 12, 2020, the Amended and Restated License Agreement expired in accordance with its terms and was not renewed or extended.</w:t>
      </w:r>
    </w:p>
    <w:p>
      <w:pPr>
        <w:spacing w:after="0" w:line="192" w:lineRule="exact"/>
        <w:rPr>
          <w:sz w:val="20"/>
          <w:szCs w:val="20"/>
          <w:color w:val="auto"/>
        </w:rPr>
      </w:pPr>
    </w:p>
    <w:p>
      <w:pPr>
        <w:jc w:val="both"/>
        <w:ind w:firstLine="364"/>
        <w:spacing w:after="0" w:line="277" w:lineRule="auto"/>
        <w:rPr>
          <w:sz w:val="20"/>
          <w:szCs w:val="20"/>
          <w:color w:val="auto"/>
        </w:rPr>
      </w:pPr>
      <w:r>
        <w:rPr>
          <w:rFonts w:ascii="Arial" w:cs="Arial" w:eastAsia="Arial" w:hAnsi="Arial"/>
          <w:sz w:val="18"/>
          <w:szCs w:val="18"/>
          <w:color w:val="auto"/>
        </w:rPr>
        <w:t>For the three months ended March 31, 2021 and 2020, the Company incurred $0 and $208,333, respectively, of licensing expense related to the Amended and Restated License Agreement.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Advisory Agreement</w:t>
      </w:r>
    </w:p>
    <w:p>
      <w:pPr>
        <w:spacing w:after="0" w:line="256" w:lineRule="exact"/>
        <w:rPr>
          <w:sz w:val="20"/>
          <w:szCs w:val="20"/>
          <w:color w:val="auto"/>
        </w:rPr>
      </w:pPr>
    </w:p>
    <w:p>
      <w:pPr>
        <w:jc w:val="both"/>
        <w:ind w:firstLine="364"/>
        <w:spacing w:after="0" w:line="277" w:lineRule="auto"/>
        <w:rPr>
          <w:sz w:val="20"/>
          <w:szCs w:val="20"/>
          <w:color w:val="auto"/>
        </w:rPr>
      </w:pPr>
      <w:r>
        <w:rPr>
          <w:rFonts w:ascii="Arial" w:cs="Arial" w:eastAsia="Arial" w:hAnsi="Arial"/>
          <w:sz w:val="18"/>
          <w:szCs w:val="18"/>
          <w:color w:val="auto"/>
        </w:rPr>
        <w:t>On March 12, 2019, in connection with the Company's Internalization, the Investment Advisory Agreement was terminated in accordance with its terms.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240"/>
          </w:cols>
          <w:pgMar w:left="320" w:top="121" w:right="339" w:bottom="1440" w:gutter="0" w:footer="0" w:header="0"/>
          <w:type w:val="continuous"/>
        </w:sectPr>
      </w:pPr>
    </w:p>
    <w:bookmarkStart w:id="25" w:name="page26"/>
    <w:bookmarkEnd w:id="2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SURO CAPITAL CORP. AND SUBSIDIARIES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2021</w:t>
      </w:r>
    </w:p>
    <w:p>
      <w:pPr>
        <w:spacing w:after="0" w:line="400" w:lineRule="exact"/>
        <w:rPr>
          <w:sz w:val="20"/>
          <w:szCs w:val="20"/>
          <w:color w:val="auto"/>
        </w:rPr>
      </w:pPr>
    </w:p>
    <w:p>
      <w:pPr>
        <w:jc w:val="both"/>
        <w:ind w:firstLine="364"/>
        <w:spacing w:after="0" w:line="270" w:lineRule="auto"/>
        <w:rPr>
          <w:sz w:val="20"/>
          <w:szCs w:val="20"/>
          <w:color w:val="auto"/>
        </w:rPr>
      </w:pPr>
      <w:r>
        <w:rPr>
          <w:rFonts w:ascii="Arial" w:cs="Arial" w:eastAsia="Arial" w:hAnsi="Arial"/>
          <w:sz w:val="17"/>
          <w:szCs w:val="17"/>
          <w:color w:val="auto"/>
        </w:rPr>
        <w:t>Prior to our Internalization on March 12, 2019, the Company had entered into the Investment Advisory Agreement with GSV Asset Management. Under the terms of the Investment Advisory Agreement, GSV Asset Management was paid a quarterly management fee and an annual incentive fee. GSV Asset Management is controlled by Michael T. Moe, the former Chairman of the Company’s Board of Directors. Mr. Moe, through his ownership interest in GSV Asset Management, was entitled to a portion of any profits earned by GSV Asset Management in performing its services under the Investment Advisory Agreement. Mr. Moe serves as the principal of GSV Asset Management and manages the business and internal affairs of GSV Asset Management. Mark Klein, the Company’s Chief Executive Officer, President, and a member of the Company’s Board of Directors, or entities with which he is affiliated, received consulting fees from GSV Asset Management equal to a percentage of each of the base management fee and the incentive fee paid by the Company to GSV Asset Management pursuant to a consulting agreement with GSV Asset Management. As the Investment Advisory Agreement has been terminated, Mr. Klein no longer has a consulting agreement or any other affiliation with GSV Asset Management.</w:t>
      </w:r>
    </w:p>
    <w:p>
      <w:pPr>
        <w:spacing w:after="0" w:line="208" w:lineRule="exact"/>
        <w:rPr>
          <w:sz w:val="20"/>
          <w:szCs w:val="20"/>
          <w:color w:val="auto"/>
        </w:rPr>
      </w:pPr>
    </w:p>
    <w:p>
      <w:pPr>
        <w:jc w:val="both"/>
        <w:ind w:firstLine="364"/>
        <w:spacing w:after="0" w:line="254" w:lineRule="auto"/>
        <w:rPr>
          <w:sz w:val="20"/>
          <w:szCs w:val="20"/>
          <w:color w:val="auto"/>
        </w:rPr>
      </w:pPr>
      <w:r>
        <w:rPr>
          <w:rFonts w:ascii="Arial" w:cs="Arial" w:eastAsia="Arial" w:hAnsi="Arial"/>
          <w:sz w:val="18"/>
          <w:szCs w:val="18"/>
          <w:color w:val="auto"/>
        </w:rPr>
        <w:t>Under the Investment Advisory Agreement, there were no restrictions on the right of any manager, partner, officer or employee of GSV Asset Management to engage in any other business or to devote his or her time and attention in part to any other business, whether of a similar or dissimilar nature, or to receive any fees or compensation in connection therewith (including fees for serving as a director of, or providing consulting services to, one or more of the Company’s portfolio companies). GSV Asset Management had, however, adopted an internal policy whereby any fees or compensation received by a manager, partner, officer or employee of GSV Asset Management in exchange for serving as a director of, or providing consulting services to, any of the Company’s portfolio companies would be transferred to the Company, net of any personal taxes incurred, upon such receipt for the benefit of the Company and its stockholders.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 Fees</w:t>
      </w:r>
    </w:p>
    <w:p>
      <w:pPr>
        <w:spacing w:after="0" w:line="252"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Under the terms of the Investment Advisory Agreement, GSV Asset Management was paid a base management fee of 2.00% of gross assets, which is the Company’s total assets reflected on its Condensed Consolidated Statement of Assets and Liabilities (with no deduction for liabilities) reduced by any non-portfolio investments. During the month of January 2018, pursuant to a voluntary waiver by GSV Asset Management, the Company paid GSV Asset Management a base management fee of 1.75%, a 0.25% reduction from the 2.00% base management fee payable under the Investment Advisory Agreement. On February 2, 2018 GSV Asset Management voluntarily agreed to reduce fees payable under the Investment Advisory Agreement (the “Waiver Agreement”). Pursuant to the Waiver Agreement, effective February 1, 2018, the base management fee is reduced to 1.75% of the Company’s gross assets, as further described below. The waiver of a portion of the base management fee is not subject to recourse against or reimbursement by the Company.</w:t>
      </w:r>
    </w:p>
    <w:p>
      <w:pPr>
        <w:spacing w:after="0" w:line="219" w:lineRule="exact"/>
        <w:rPr>
          <w:sz w:val="20"/>
          <w:szCs w:val="20"/>
          <w:color w:val="auto"/>
        </w:rPr>
      </w:pPr>
    </w:p>
    <w:p>
      <w:pPr>
        <w:jc w:val="both"/>
        <w:ind w:firstLine="364"/>
        <w:spacing w:after="0" w:line="277" w:lineRule="auto"/>
        <w:rPr>
          <w:sz w:val="20"/>
          <w:szCs w:val="20"/>
          <w:color w:val="auto"/>
        </w:rPr>
      </w:pPr>
      <w:r>
        <w:rPr>
          <w:rFonts w:ascii="Arial" w:cs="Arial" w:eastAsia="Arial" w:hAnsi="Arial"/>
          <w:sz w:val="18"/>
          <w:szCs w:val="18"/>
          <w:color w:val="auto"/>
        </w:rPr>
        <w:t>For the three months ended March 31, 2021 and 2020, the Company did not accrue or waive any management fees due to the termination of the Investment Advisory Agreement, effective March 12, 2019.</w:t>
      </w:r>
    </w:p>
    <w:p>
      <w:pPr>
        <w:spacing w:after="0" w:line="197" w:lineRule="exact"/>
        <w:rPr>
          <w:sz w:val="20"/>
          <w:szCs w:val="20"/>
          <w:color w:val="auto"/>
        </w:rPr>
      </w:pPr>
    </w:p>
    <w:p>
      <w:pPr>
        <w:jc w:val="both"/>
        <w:ind w:firstLine="364"/>
        <w:spacing w:after="0" w:line="277" w:lineRule="auto"/>
        <w:rPr>
          <w:sz w:val="20"/>
          <w:szCs w:val="20"/>
          <w:color w:val="auto"/>
        </w:rPr>
      </w:pPr>
      <w:r>
        <w:rPr>
          <w:rFonts w:ascii="Arial" w:cs="Arial" w:eastAsia="Arial" w:hAnsi="Arial"/>
          <w:sz w:val="18"/>
          <w:szCs w:val="18"/>
          <w:color w:val="auto"/>
        </w:rPr>
        <w:t>As the Investment Advisory Agreement has been terminated, there will be no base management fee payable to GSV Asset Management going forward.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Incentive Fees</w:t>
      </w:r>
    </w:p>
    <w:p>
      <w:pPr>
        <w:spacing w:after="0" w:line="252" w:lineRule="exact"/>
        <w:rPr>
          <w:sz w:val="20"/>
          <w:szCs w:val="20"/>
          <w:color w:val="auto"/>
        </w:rPr>
      </w:pPr>
    </w:p>
    <w:p>
      <w:pPr>
        <w:jc w:val="both"/>
        <w:ind w:firstLine="364"/>
        <w:spacing w:after="0" w:line="293" w:lineRule="auto"/>
        <w:rPr>
          <w:sz w:val="20"/>
          <w:szCs w:val="20"/>
          <w:color w:val="auto"/>
        </w:rPr>
      </w:pPr>
      <w:r>
        <w:rPr>
          <w:rFonts w:ascii="Arial" w:cs="Arial" w:eastAsia="Arial" w:hAnsi="Arial"/>
          <w:sz w:val="16"/>
          <w:szCs w:val="16"/>
          <w:color w:val="auto"/>
        </w:rPr>
        <w:t>Under the terms of the Investment Advisory Agreement, GSV Asset Management was paid an annual incentive fee equal to the lesser of (i) 20% of the Company’s realized capital gains during each calendar year, if any, calculated on an investment-by-investment basis, subject to a non-compounded preferred return, or “hurdle,” and a “catch-up” feature, and (ii) 20% of the Company’s realized capital gains, if any, on a cumulative basis from inception through the end of each calendar year, computed net of all realized capital losses and unrealized capital depreciation on a cumulative basis, less the aggregate amount of any previously paid incentive fees. Effective February 1, 2018, the incentive fee paid by the Company to GSV Asset Management under the Investment Advisory Agreement was modified pursuant to the terms of the Waiver Agreement, as further described below.</w:t>
      </w:r>
    </w:p>
    <w:p>
      <w:pPr>
        <w:spacing w:after="0" w:line="191" w:lineRule="exact"/>
        <w:rPr>
          <w:sz w:val="20"/>
          <w:szCs w:val="20"/>
          <w:color w:val="auto"/>
        </w:rPr>
      </w:pPr>
    </w:p>
    <w:p>
      <w:pPr>
        <w:jc w:val="both"/>
        <w:ind w:firstLine="364"/>
        <w:spacing w:after="0" w:line="263" w:lineRule="auto"/>
        <w:rPr>
          <w:sz w:val="20"/>
          <w:szCs w:val="20"/>
          <w:color w:val="auto"/>
        </w:rPr>
      </w:pPr>
      <w:r>
        <w:rPr>
          <w:rFonts w:ascii="Arial" w:cs="Arial" w:eastAsia="Arial" w:hAnsi="Arial"/>
          <w:sz w:val="18"/>
          <w:szCs w:val="18"/>
          <w:color w:val="auto"/>
        </w:rPr>
        <w:t>The Company was required to accrue incentive fees for all periods as if the Company had fully liquidated its entire investment portfolio at the fair value stated on the Consolidated Statements of Assets and Liabilities as of December 31, 2018 or prior to the termination of the Investment Advisory Agreement. The accrual considered both the hypothetical liquidation of</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40"/>
          </w:cols>
          <w:pgMar w:left="320" w:top="121" w:right="339" w:bottom="1440" w:gutter="0" w:footer="0" w:header="0"/>
        </w:sectPr>
      </w:pPr>
    </w:p>
    <w:bookmarkStart w:id="26" w:name="page27"/>
    <w:bookmarkEnd w:id="2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SURO CAPITAL CORP. AND SUBSIDIARIES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2021</w:t>
      </w:r>
    </w:p>
    <w:p>
      <w:pPr>
        <w:spacing w:after="0" w:line="40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Company’s portfolio described previously, as well as the Company’s actual cumulative realized gains and losses since inception, as well any previously paid incentive fees.</w:t>
      </w:r>
    </w:p>
    <w:p>
      <w:pPr>
        <w:spacing w:after="0" w:line="197" w:lineRule="exact"/>
        <w:rPr>
          <w:sz w:val="20"/>
          <w:szCs w:val="20"/>
          <w:color w:val="auto"/>
        </w:rPr>
      </w:pPr>
    </w:p>
    <w:p>
      <w:pPr>
        <w:jc w:val="both"/>
        <w:ind w:right="20" w:firstLine="364"/>
        <w:spacing w:after="0" w:line="277" w:lineRule="auto"/>
        <w:rPr>
          <w:sz w:val="20"/>
          <w:szCs w:val="20"/>
          <w:color w:val="auto"/>
        </w:rPr>
      </w:pPr>
      <w:r>
        <w:rPr>
          <w:rFonts w:ascii="Arial" w:cs="Arial" w:eastAsia="Arial" w:hAnsi="Arial"/>
          <w:sz w:val="18"/>
          <w:szCs w:val="18"/>
          <w:color w:val="auto"/>
        </w:rPr>
        <w:t>For the three months ended March 31, 2021 and 2020, the Company did not accrue any incentive fees due to the termination of the Investment Advisory Agreement, effective March 12, 2019.</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 and Incentive Fee Waiver Agreement</w:t>
      </w:r>
    </w:p>
    <w:p>
      <w:pPr>
        <w:spacing w:after="0" w:line="252" w:lineRule="exact"/>
        <w:rPr>
          <w:sz w:val="20"/>
          <w:szCs w:val="20"/>
          <w:color w:val="auto"/>
        </w:rPr>
      </w:pPr>
    </w:p>
    <w:p>
      <w:pPr>
        <w:jc w:val="both"/>
        <w:ind w:firstLine="364"/>
        <w:spacing w:after="0" w:line="259" w:lineRule="auto"/>
        <w:rPr>
          <w:sz w:val="20"/>
          <w:szCs w:val="20"/>
          <w:color w:val="auto"/>
        </w:rPr>
      </w:pPr>
      <w:r>
        <w:rPr>
          <w:rFonts w:ascii="Arial" w:cs="Arial" w:eastAsia="Arial" w:hAnsi="Arial"/>
          <w:sz w:val="18"/>
          <w:szCs w:val="18"/>
          <w:color w:val="auto"/>
        </w:rPr>
        <w:t>On February 2, 2018, GSV Asset Management voluntarily agreed to reduce the fees payable under the Investment Advisory Agreement pursuant to the Waiver Agreement. The Waiver Agreement was effective beginning February 1, 2018 and changed the fee structure set forth in the Investment Advisory Agreement by: (i) reducing the Company’s base management fee from 2.00% to 1.75%; and (ii) creating certain high-water marks that must be reached before any incentive fee is paid to GSV Asset Management.</w:t>
      </w:r>
    </w:p>
    <w:p>
      <w:pPr>
        <w:spacing w:after="0" w:line="214" w:lineRule="exact"/>
        <w:rPr>
          <w:sz w:val="20"/>
          <w:szCs w:val="20"/>
          <w:color w:val="auto"/>
        </w:rPr>
      </w:pPr>
    </w:p>
    <w:p>
      <w:pPr>
        <w:jc w:val="both"/>
        <w:ind w:firstLine="364"/>
        <w:spacing w:after="0" w:line="270" w:lineRule="auto"/>
        <w:rPr>
          <w:sz w:val="20"/>
          <w:szCs w:val="20"/>
          <w:color w:val="auto"/>
        </w:rPr>
      </w:pPr>
      <w:r>
        <w:rPr>
          <w:rFonts w:ascii="Arial" w:cs="Arial" w:eastAsia="Arial" w:hAnsi="Arial"/>
          <w:sz w:val="17"/>
          <w:szCs w:val="17"/>
          <w:color w:val="auto"/>
        </w:rPr>
        <w:t>Pursuant to the Waiver Agreement, in addition to the “hurdle” feature in the incentive fee, GSV Asset Management had agreed to additional conditions on its ability to receive an incentive fee. Specifically, the Waiver Agreement provided that an incentive fee earned by GSV Asset Management under the Investment Advisory Agreement would be payable to GSV Asset Management only if, at the time that such incentive fee becomes payable under the Investment Advisory Agreement, both the Company’s stock price and its last reported net asset value per share were equal to, or greater than, $12.55 (the “High-Water Mark”). The High-Water Mark was based upon the volume weighted average price (VWAP) of all the Company’s equity offerings since its initial public offering, less the dollar amount of all dividends paid by the Company since inception. Upon such time that the High-Water Mark was achieved, and GSV Asset Management was paid an incentive fee, a new High-Water Mark would have been established. Each new High-Water Mark would have been equal to the most recent High-Water Mark, plus 10%. Any High-Water Mark then in effect would have been adjusted to reflect any dividends paid by the Company or any stock split effected by the Company.</w:t>
      </w:r>
    </w:p>
    <w:p>
      <w:pPr>
        <w:spacing w:after="0" w:line="208" w:lineRule="exact"/>
        <w:rPr>
          <w:sz w:val="20"/>
          <w:szCs w:val="20"/>
          <w:color w:val="auto"/>
        </w:rPr>
      </w:pPr>
    </w:p>
    <w:p>
      <w:pPr>
        <w:jc w:val="both"/>
        <w:ind w:firstLine="364"/>
        <w:spacing w:after="0" w:line="263" w:lineRule="auto"/>
        <w:rPr>
          <w:sz w:val="20"/>
          <w:szCs w:val="20"/>
          <w:color w:val="auto"/>
        </w:rPr>
      </w:pPr>
      <w:r>
        <w:rPr>
          <w:rFonts w:ascii="Arial" w:cs="Arial" w:eastAsia="Arial" w:hAnsi="Arial"/>
          <w:sz w:val="18"/>
          <w:szCs w:val="18"/>
          <w:color w:val="auto"/>
        </w:rPr>
        <w:t>For the avoidance of doubt, after the effective date of the Waiver Agreement, under no circumstances would the aggregate fees earned by GSV Asset Management in any quarterly period have been higher than those aggregate fees that would have been earned prior to the effectiveness of the Waiver Agreement.</w:t>
      </w:r>
    </w:p>
    <w:p>
      <w:pPr>
        <w:spacing w:after="0" w:line="211" w:lineRule="exact"/>
        <w:rPr>
          <w:sz w:val="20"/>
          <w:szCs w:val="20"/>
          <w:color w:val="auto"/>
        </w:rPr>
      </w:pPr>
    </w:p>
    <w:p>
      <w:pPr>
        <w:jc w:val="both"/>
        <w:ind w:firstLine="364"/>
        <w:spacing w:after="0" w:line="308" w:lineRule="auto"/>
        <w:rPr>
          <w:sz w:val="20"/>
          <w:szCs w:val="20"/>
          <w:color w:val="auto"/>
        </w:rPr>
      </w:pPr>
      <w:r>
        <w:rPr>
          <w:rFonts w:ascii="Arial" w:cs="Arial" w:eastAsia="Arial" w:hAnsi="Arial"/>
          <w:sz w:val="17"/>
          <w:szCs w:val="17"/>
          <w:color w:val="auto"/>
        </w:rPr>
        <w:t>As of each of March 31, 2021 and December 31, 2020, there were no receivables owed to the Company by GSV Asset Management. As the Investment Advisory Agreement has been terminated, there will be no receivables owed to the Company by GSV Asset Management going forward.</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Administration Agreement</w:t>
      </w:r>
    </w:p>
    <w:p>
      <w:pPr>
        <w:spacing w:after="0" w:line="25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On March 12, 2019, in connection with the Company's Internalization, the Administration Agreement was terminated in accordance with its terms.</w:t>
      </w:r>
    </w:p>
    <w:p>
      <w:pPr>
        <w:spacing w:after="0" w:line="275" w:lineRule="exact"/>
        <w:rPr>
          <w:sz w:val="20"/>
          <w:szCs w:val="20"/>
          <w:color w:val="auto"/>
        </w:rPr>
      </w:pPr>
    </w:p>
    <w:p>
      <w:pPr>
        <w:jc w:val="both"/>
        <w:ind w:firstLine="364"/>
        <w:spacing w:after="0" w:line="254" w:lineRule="auto"/>
        <w:rPr>
          <w:sz w:val="20"/>
          <w:szCs w:val="20"/>
          <w:color w:val="auto"/>
        </w:rPr>
      </w:pPr>
      <w:r>
        <w:rPr>
          <w:rFonts w:ascii="Arial" w:cs="Arial" w:eastAsia="Arial" w:hAnsi="Arial"/>
          <w:sz w:val="18"/>
          <w:szCs w:val="18"/>
          <w:color w:val="auto"/>
        </w:rPr>
        <w:t>Prior to the Internalization, the Company had entered into the Administration Agreement with GSV Capital Service Company to provide administrative services, including furnishing the Company with office facilities, equipment, clerical, bookkeeping, record keeping services, and other administrative services. The Company reimbursed GSV Capital Service Company an allocable portion of overhead and other expenses in performing its obligations under the Administration Agreement, including a portion of the rent and the compensation of the Company’s President, Chief Financial Officer, Chief Compliance Officer and other staff providing administrative services. While there was no limit on the total amount of expenses the Company may have been required to reimburse to GSV Capital Service Company, GSV Capital Service Company would only charge the Company for the actual expenses GSV Capital Service Company incurred on the Company’s behalf, or the Company’s allocable portion thereof, without any profit to GSV Capital Service Company.</w:t>
      </w:r>
    </w:p>
    <w:p>
      <w:pPr>
        <w:spacing w:after="0" w:line="219" w:lineRule="exact"/>
        <w:rPr>
          <w:sz w:val="20"/>
          <w:szCs w:val="20"/>
          <w:color w:val="auto"/>
        </w:rPr>
      </w:pPr>
    </w:p>
    <w:p>
      <w:pPr>
        <w:jc w:val="both"/>
        <w:ind w:firstLine="364"/>
        <w:spacing w:after="0" w:line="263" w:lineRule="auto"/>
        <w:rPr>
          <w:sz w:val="20"/>
          <w:szCs w:val="20"/>
          <w:color w:val="auto"/>
        </w:rPr>
      </w:pPr>
      <w:r>
        <w:rPr>
          <w:rFonts w:ascii="Arial" w:cs="Arial" w:eastAsia="Arial" w:hAnsi="Arial"/>
          <w:sz w:val="18"/>
          <w:szCs w:val="18"/>
          <w:color w:val="auto"/>
        </w:rPr>
        <w:t>For the three months ended March 31, 2021 and 2020, the Company did not incur any costs under the Administration Agreement due to the termination of the Investment Advisory Agreement, effective March 12, 2019. As the Administration Agreement has been terminated, there will be no costs incurred by GSV Capital Service Company on behalf of the Company going forward.</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40"/>
          </w:cols>
          <w:pgMar w:left="320" w:top="121" w:right="339" w:bottom="1440" w:gutter="0" w:footer="0" w:header="0"/>
        </w:sectPr>
      </w:pPr>
    </w:p>
    <w:bookmarkStart w:id="27" w:name="page28"/>
    <w:bookmarkEnd w:id="2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SURO CAPITAL CORP. AND SUBSIDIARIES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2021</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License Agreement</w:t>
      </w:r>
    </w:p>
    <w:p>
      <w:pPr>
        <w:spacing w:after="0" w:line="25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On March 12, 2019, in connection with the Company's Internalization, as of the Effective Date, the Company entered into the Amended and Restated Trademark License Agreement to use the trade name “GSV”, and other state or unregistered “GSV” marks, including the trading symbol “GSVC.” for a period of up to eighteen months and a predetermined fee of $1,250,000. Other than with respect to this limited license, the Company has no legal right to the “GSV” name. On September 12, 2020, the Amended and Restated License Agreement expired in accordance with its terms and was not renewed or extended.</w:t>
      </w:r>
    </w:p>
    <w:p>
      <w:pPr>
        <w:spacing w:after="0" w:line="215" w:lineRule="exact"/>
        <w:rPr>
          <w:sz w:val="20"/>
          <w:szCs w:val="20"/>
          <w:color w:val="auto"/>
        </w:rPr>
      </w:pPr>
    </w:p>
    <w:p>
      <w:pPr>
        <w:jc w:val="both"/>
        <w:ind w:firstLine="364"/>
        <w:spacing w:after="0" w:line="286" w:lineRule="auto"/>
        <w:rPr>
          <w:sz w:val="20"/>
          <w:szCs w:val="20"/>
          <w:color w:val="auto"/>
        </w:rPr>
      </w:pPr>
      <w:r>
        <w:rPr>
          <w:rFonts w:ascii="Arial" w:cs="Arial" w:eastAsia="Arial" w:hAnsi="Arial"/>
          <w:sz w:val="17"/>
          <w:szCs w:val="17"/>
          <w:color w:val="auto"/>
        </w:rPr>
        <w:t>Prior to the Internalization on March 12, 2019, the Company entered into a license agreement with GSV Asset Management pursuant to which GSV Asset Management had agreed to grant the Company a non-exclusive, royalty-free license to use the name “GSV.” Under this agreement, the Company had the right to use the GSV name for so long as the Investment Advisory Agreement with GSV Asset Management is in effect.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Arrangements</w:t>
      </w:r>
    </w:p>
    <w:p>
      <w:pPr>
        <w:spacing w:after="0" w:line="256" w:lineRule="exact"/>
        <w:rPr>
          <w:sz w:val="20"/>
          <w:szCs w:val="20"/>
          <w:color w:val="auto"/>
        </w:rPr>
      </w:pPr>
    </w:p>
    <w:p>
      <w:pPr>
        <w:jc w:val="both"/>
        <w:ind w:firstLine="364"/>
        <w:spacing w:after="0" w:line="263" w:lineRule="auto"/>
        <w:rPr>
          <w:sz w:val="20"/>
          <w:szCs w:val="20"/>
          <w:color w:val="auto"/>
        </w:rPr>
      </w:pPr>
      <w:r>
        <w:rPr>
          <w:rFonts w:ascii="Arial" w:cs="Arial" w:eastAsia="Arial" w:hAnsi="Arial"/>
          <w:sz w:val="18"/>
          <w:szCs w:val="18"/>
          <w:color w:val="auto"/>
        </w:rPr>
        <w:t>The Company’s executive officers and directors serve or may serve as officers, directors, or managers of entities that operate in a line of business similar to the Company’s, including new entities that may be formed in the future. Accordingly, they may have obligations to investors in those entities, the fulfillment of which might not be in the best interests of the Company or the Company’s stockholders.</w:t>
      </w:r>
    </w:p>
    <w:p>
      <w:pPr>
        <w:spacing w:after="0" w:line="211" w:lineRule="exact"/>
        <w:rPr>
          <w:sz w:val="20"/>
          <w:szCs w:val="20"/>
          <w:color w:val="auto"/>
        </w:rPr>
      </w:pPr>
    </w:p>
    <w:p>
      <w:pPr>
        <w:jc w:val="both"/>
        <w:ind w:firstLine="364"/>
        <w:spacing w:after="0" w:line="257" w:lineRule="auto"/>
        <w:rPr>
          <w:sz w:val="20"/>
          <w:szCs w:val="20"/>
          <w:color w:val="auto"/>
        </w:rPr>
      </w:pPr>
      <w:r>
        <w:rPr>
          <w:rFonts w:ascii="Arial" w:cs="Arial" w:eastAsia="Arial" w:hAnsi="Arial"/>
          <w:sz w:val="18"/>
          <w:szCs w:val="18"/>
          <w:color w:val="auto"/>
        </w:rPr>
        <w:t>The 1940 Act prohibits the Company from participating in certain negotiated co-investments with certain affiliates unless it receives an order from the SEC permitting it to do so. As a BDC, the Company is prohibited under the 1940 Act from participating in certain transactions with certain of its affiliates without the prior approval of the Board of Directors, including its independent directors, and, in some cases, the SEC. The affiliates with which the Company may be prohibited from transacting include its officers, directors, and employees and any person controlling or under common control with the Company, subject to certain exceptions.</w:t>
      </w:r>
    </w:p>
    <w:p>
      <w:pPr>
        <w:spacing w:after="0" w:line="21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the ordinary course of business, the Company may enter into transactions with portfolio companies that may be considered related-party transactions. To ensure that the Company does not engage in any prohibited transactions with any persons affiliated with the Company, the Company has implemented certain written policies and procedures whereby the Company’s executive officers screen each of the Company’s transactions for any possible affiliations between the proposed portfolio investment, the Company, companies controlled by the Company, and the Company’s executive officers and directors.</w:t>
      </w:r>
    </w:p>
    <w:p>
      <w:pPr>
        <w:spacing w:after="0" w:line="215"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The Company’s investment in Churchill Sponsor VI LLC, the sponsor of Churchill Capital Corp VI, a special purpose acquisition company, constitutes a “remote-affiliate” transaction for purposes of the 1940 Act in light of the fact that Mark D. Klein, our Chairman, Chief Executive Officer, and President, has a non-controlling interest in the entity that controls Churchill Sponsor VI LLC, and is a non-controlling member of the board of directors of Churchill Capital Corp VI. The Company’s investment in Churchill Sponsor VII LLC, the sponsor of Churchill Capital Corp VII, a special purpose acquisition company, also constitutes a “remote-affiliate” transaction for purposes of the 1940 Act in light of the fact that Mr. Klein has a non-controlling interest in the entity that controls Churchill Sponsor VII LLC, and is a non-controlling member of the board of directors of Churchill Capital Corp VII. In addition, Keri Findley, a senior managing director of the Company, is a non-controlling member of the board of directors of Shogun Enterprises, Inc., one of the Company’s portfolio companies, and holds a minority equity interest in such portfolio company. Ms. Findley also is a non-controlling member of the board of directors of the investment manager to Architect Capital PayJoy SPV, LLC, one of the Company’s portfolio companies, and holds a minority equity interest in such investment manager. As of March 31, 2021, the fair values of the Company’s investments in Churchill Sponsor VI LLC, Churchill Sponsor VII LLC, Shogun Enterprises, Inc., and Architect Capital PayJoy SPV, LLC were $200,000, $300,000, $6,999,992, and $500,000, respectively.</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40"/>
          </w:cols>
          <w:pgMar w:left="320" w:top="121" w:right="339" w:bottom="1440" w:gutter="0" w:footer="0" w:header="0"/>
        </w:sectPr>
      </w:pPr>
    </w:p>
    <w:bookmarkStart w:id="28" w:name="page29"/>
    <w:bookmarkEnd w:id="2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SURO CAPITAL CORP. AND SUBSIDIARIES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2021</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4—INVESTMENTS AT FAIR VALUE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Portfolio Composition</w:t>
      </w:r>
    </w:p>
    <w:p>
      <w:pPr>
        <w:spacing w:after="0" w:line="256" w:lineRule="exact"/>
        <w:rPr>
          <w:sz w:val="20"/>
          <w:szCs w:val="20"/>
          <w:color w:val="auto"/>
        </w:rPr>
      </w:pPr>
    </w:p>
    <w:p>
      <w:pPr>
        <w:jc w:val="both"/>
        <w:ind w:firstLine="364"/>
        <w:spacing w:after="0" w:line="301" w:lineRule="auto"/>
        <w:rPr>
          <w:sz w:val="20"/>
          <w:szCs w:val="20"/>
          <w:color w:val="auto"/>
        </w:rPr>
      </w:pPr>
      <w:r>
        <w:rPr>
          <w:rFonts w:ascii="Arial" w:cs="Arial" w:eastAsia="Arial" w:hAnsi="Arial"/>
          <w:sz w:val="16"/>
          <w:szCs w:val="16"/>
          <w:color w:val="auto"/>
        </w:rPr>
        <w:t>The Company’s investments in portfolio companies consist primarily of equity securities (such as common stock, preferred stock and options to purchase common and preferred stock) and to a lesser extent, debt securities, issued by private and publicly traded companies. The Company may also, from time to time, invest in U.S. Treasury securities. Non-portfolio investments represent investments in U.S. Treasury securities. As of March 31, 2021, the Company had 64 positions in 32 portfolio companies. As of December 31, 2020, the Company had 57 positions in 27 portfolio companies.</w:t>
      </w:r>
    </w:p>
    <w:p>
      <w:pPr>
        <w:spacing w:after="0" w:line="184" w:lineRule="exact"/>
        <w:rPr>
          <w:sz w:val="20"/>
          <w:szCs w:val="20"/>
          <w:color w:val="auto"/>
        </w:rPr>
      </w:pPr>
    </w:p>
    <w:p>
      <w:pPr>
        <w:jc w:val="both"/>
        <w:ind w:firstLine="364"/>
        <w:spacing w:after="0" w:line="277" w:lineRule="auto"/>
        <w:rPr>
          <w:sz w:val="20"/>
          <w:szCs w:val="20"/>
          <w:color w:val="auto"/>
        </w:rPr>
      </w:pPr>
      <w:r>
        <w:rPr>
          <w:rFonts w:ascii="Arial" w:cs="Arial" w:eastAsia="Arial" w:hAnsi="Arial"/>
          <w:sz w:val="18"/>
          <w:szCs w:val="18"/>
          <w:color w:val="auto"/>
        </w:rPr>
        <w:t>The following tables summarize the composition of the Company’s investment portfolio by security type at cost and fair value as of March 31, 2021 and December 31, 2020:</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4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March 31, 2021</w:t>
            </w:r>
          </w:p>
        </w:tc>
        <w:tc>
          <w:tcPr>
            <w:tcW w:w="13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center"/>
              <w:ind w:right="160"/>
              <w:spacing w:after="0"/>
              <w:rPr>
                <w:sz w:val="20"/>
                <w:szCs w:val="20"/>
                <w:color w:val="auto"/>
              </w:rPr>
            </w:pPr>
            <w:r>
              <w:rPr>
                <w:rFonts w:ascii="Arial" w:cs="Arial" w:eastAsia="Arial" w:hAnsi="Arial"/>
                <w:sz w:val="14"/>
                <w:szCs w:val="14"/>
                <w:b w:val="1"/>
                <w:bCs w:val="1"/>
                <w:color w:val="auto"/>
                <w:w w:val="91"/>
              </w:rPr>
              <w:t>December 31, 2020</w:t>
            </w:r>
          </w:p>
        </w:tc>
        <w:tc>
          <w:tcPr>
            <w:tcW w:w="13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2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20" w:type="dxa"/>
            <w:vAlign w:val="bottom"/>
            <w:gridSpan w:val="2"/>
            <w:vMerge w:val="restart"/>
          </w:tcPr>
          <w:p>
            <w:pPr>
              <w:ind w:left="280"/>
              <w:spacing w:after="0"/>
              <w:rPr>
                <w:sz w:val="20"/>
                <w:szCs w:val="20"/>
                <w:color w:val="auto"/>
              </w:rPr>
            </w:pPr>
            <w:r>
              <w:rPr>
                <w:rFonts w:ascii="Arial" w:cs="Arial" w:eastAsia="Arial" w:hAnsi="Arial"/>
                <w:sz w:val="14"/>
                <w:szCs w:val="14"/>
                <w:b w:val="1"/>
                <w:bCs w:val="1"/>
                <w:color w:val="auto"/>
              </w:rPr>
              <w:t>Cost</w:t>
            </w:r>
          </w:p>
        </w:tc>
        <w:tc>
          <w:tcPr>
            <w:tcW w:w="160" w:type="dxa"/>
            <w:vAlign w:val="bottom"/>
          </w:tcPr>
          <w:p>
            <w:pPr>
              <w:spacing w:after="0"/>
              <w:rPr>
                <w:sz w:val="11"/>
                <w:szCs w:val="11"/>
                <w:color w:val="auto"/>
              </w:rPr>
            </w:pPr>
          </w:p>
        </w:tc>
        <w:tc>
          <w:tcPr>
            <w:tcW w:w="134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Fair Value</w:t>
            </w:r>
          </w:p>
        </w:tc>
        <w:tc>
          <w:tcPr>
            <w:tcW w:w="13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0"/>
              </w:rPr>
              <w:t>Percentage of</w:t>
            </w: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40" w:type="dxa"/>
            <w:vAlign w:val="bottom"/>
            <w:gridSpan w:val="2"/>
            <w:vMerge w:val="restart"/>
          </w:tcPr>
          <w:p>
            <w:pPr>
              <w:ind w:left="280"/>
              <w:spacing w:after="0"/>
              <w:rPr>
                <w:sz w:val="20"/>
                <w:szCs w:val="20"/>
                <w:color w:val="auto"/>
              </w:rPr>
            </w:pPr>
            <w:r>
              <w:rPr>
                <w:rFonts w:ascii="Arial" w:cs="Arial" w:eastAsia="Arial" w:hAnsi="Arial"/>
                <w:sz w:val="14"/>
                <w:szCs w:val="14"/>
                <w:b w:val="1"/>
                <w:bCs w:val="1"/>
                <w:color w:val="auto"/>
              </w:rPr>
              <w:t>Cost</w:t>
            </w:r>
          </w:p>
        </w:tc>
        <w:tc>
          <w:tcPr>
            <w:tcW w:w="240" w:type="dxa"/>
            <w:vAlign w:val="bottom"/>
          </w:tcPr>
          <w:p>
            <w:pPr>
              <w:spacing w:after="0"/>
              <w:rPr>
                <w:sz w:val="11"/>
                <w:szCs w:val="11"/>
                <w:color w:val="auto"/>
              </w:rPr>
            </w:pPr>
          </w:p>
        </w:tc>
        <w:tc>
          <w:tcPr>
            <w:tcW w:w="124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5"/>
              </w:rPr>
              <w:t>Fair Value</w:t>
            </w:r>
          </w:p>
        </w:tc>
        <w:tc>
          <w:tcPr>
            <w:tcW w:w="1360" w:type="dxa"/>
            <w:vAlign w:val="bottom"/>
          </w:tcPr>
          <w:p>
            <w:pPr>
              <w:jc w:val="right"/>
              <w:ind w:right="173"/>
              <w:spacing w:after="0" w:line="135" w:lineRule="exact"/>
              <w:rPr>
                <w:sz w:val="20"/>
                <w:szCs w:val="20"/>
                <w:color w:val="auto"/>
              </w:rPr>
            </w:pPr>
            <w:r>
              <w:rPr>
                <w:rFonts w:ascii="Arial" w:cs="Arial" w:eastAsia="Arial" w:hAnsi="Arial"/>
                <w:sz w:val="14"/>
                <w:szCs w:val="14"/>
                <w:b w:val="1"/>
                <w:bCs w:val="1"/>
                <w:color w:val="auto"/>
              </w:rPr>
              <w:t>Percentage of</w:t>
            </w:r>
          </w:p>
        </w:tc>
        <w:tc>
          <w:tcPr>
            <w:tcW w:w="0" w:type="dxa"/>
            <w:vAlign w:val="bottom"/>
          </w:tcPr>
          <w:p>
            <w:pPr>
              <w:spacing w:after="0"/>
              <w:rPr>
                <w:sz w:val="1"/>
                <w:szCs w:val="1"/>
                <w:color w:val="auto"/>
              </w:rPr>
            </w:pPr>
          </w:p>
        </w:tc>
      </w:tr>
      <w:tr>
        <w:trPr>
          <w:trHeight w:val="188"/>
        </w:trPr>
        <w:tc>
          <w:tcPr>
            <w:tcW w:w="24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Net Assets</w:t>
            </w:r>
          </w:p>
        </w:tc>
        <w:tc>
          <w:tcPr>
            <w:tcW w:w="26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1360" w:type="dxa"/>
            <w:vAlign w:val="bottom"/>
          </w:tcPr>
          <w:p>
            <w:pPr>
              <w:jc w:val="right"/>
              <w:ind w:right="273"/>
              <w:spacing w:after="0"/>
              <w:rPr>
                <w:sz w:val="20"/>
                <w:szCs w:val="20"/>
                <w:color w:val="auto"/>
              </w:rPr>
            </w:pPr>
            <w:r>
              <w:rPr>
                <w:rFonts w:ascii="Arial" w:cs="Arial" w:eastAsia="Arial" w:hAnsi="Arial"/>
                <w:sz w:val="14"/>
                <w:szCs w:val="14"/>
                <w:b w:val="1"/>
                <w:bCs w:val="1"/>
                <w:color w:val="auto"/>
              </w:rPr>
              <w:t>Net Assets</w:t>
            </w:r>
          </w:p>
        </w:tc>
        <w:tc>
          <w:tcPr>
            <w:tcW w:w="0" w:type="dxa"/>
            <w:vAlign w:val="bottom"/>
          </w:tcPr>
          <w:p>
            <w:pPr>
              <w:spacing w:after="0"/>
              <w:rPr>
                <w:sz w:val="1"/>
                <w:szCs w:val="1"/>
                <w:color w:val="auto"/>
              </w:rPr>
            </w:pPr>
          </w:p>
        </w:tc>
      </w:tr>
      <w:tr>
        <w:trPr>
          <w:trHeight w:val="211"/>
        </w:trPr>
        <w:tc>
          <w:tcPr>
            <w:tcW w:w="246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w w:val="93"/>
              </w:rPr>
              <w:t>Private Portfolio Companies</w:t>
            </w:r>
          </w:p>
        </w:tc>
        <w:tc>
          <w:tcPr>
            <w:tcW w:w="26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460" w:type="dxa"/>
            <w:vAlign w:val="bottom"/>
          </w:tcPr>
          <w:p>
            <w:pPr>
              <w:ind w:left="140"/>
              <w:spacing w:after="0"/>
              <w:rPr>
                <w:sz w:val="20"/>
                <w:szCs w:val="20"/>
                <w:color w:val="auto"/>
              </w:rPr>
            </w:pPr>
            <w:r>
              <w:rPr>
                <w:rFonts w:ascii="Arial" w:cs="Arial" w:eastAsia="Arial" w:hAnsi="Arial"/>
                <w:sz w:val="18"/>
                <w:szCs w:val="18"/>
                <w:color w:val="auto"/>
              </w:rPr>
              <w:t>Preferred Stock</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78,979,160</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92,992,910</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21.3 %</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89,335,378</w:t>
            </w:r>
          </w:p>
        </w:tc>
        <w:tc>
          <w:tcPr>
            <w:tcW w:w="120" w:type="dxa"/>
            <w:vAlign w:val="bottom"/>
          </w:tcPr>
          <w:p>
            <w:pPr>
              <w:spacing w:after="0"/>
              <w:rPr>
                <w:sz w:val="19"/>
                <w:szCs w:val="19"/>
                <w:color w:val="auto"/>
              </w:rPr>
            </w:pPr>
          </w:p>
        </w:tc>
        <w:tc>
          <w:tcPr>
            <w:tcW w:w="240" w:type="dxa"/>
            <w:vAlign w:val="bottom"/>
          </w:tcPr>
          <w:p>
            <w:pPr>
              <w:jc w:val="right"/>
              <w:ind w:right="56"/>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141,235,987</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46.9 %</w:t>
            </w:r>
          </w:p>
        </w:tc>
        <w:tc>
          <w:tcPr>
            <w:tcW w:w="0" w:type="dxa"/>
            <w:vAlign w:val="bottom"/>
          </w:tcPr>
          <w:p>
            <w:pPr>
              <w:spacing w:after="0"/>
              <w:rPr>
                <w:sz w:val="1"/>
                <w:szCs w:val="1"/>
                <w:color w:val="auto"/>
              </w:rPr>
            </w:pPr>
          </w:p>
        </w:tc>
      </w:tr>
      <w:tr>
        <w:trPr>
          <w:trHeight w:val="229"/>
        </w:trPr>
        <w:tc>
          <w:tcPr>
            <w:tcW w:w="2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Common Stock</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48,143,353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45,159,739</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10.4 %</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46,802,917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34,190,839</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11.3 %</w:t>
            </w:r>
          </w:p>
        </w:tc>
        <w:tc>
          <w:tcPr>
            <w:tcW w:w="0" w:type="dxa"/>
            <w:vAlign w:val="bottom"/>
          </w:tcPr>
          <w:p>
            <w:pPr>
              <w:spacing w:after="0"/>
              <w:rPr>
                <w:sz w:val="1"/>
                <w:szCs w:val="1"/>
                <w:color w:val="auto"/>
              </w:rPr>
            </w:pPr>
          </w:p>
        </w:tc>
      </w:tr>
      <w:tr>
        <w:trPr>
          <w:trHeight w:val="229"/>
        </w:trPr>
        <w:tc>
          <w:tcPr>
            <w:tcW w:w="2460" w:type="dxa"/>
            <w:vAlign w:val="bottom"/>
          </w:tcPr>
          <w:p>
            <w:pPr>
              <w:ind w:left="140"/>
              <w:spacing w:after="0"/>
              <w:rPr>
                <w:sz w:val="20"/>
                <w:szCs w:val="20"/>
                <w:color w:val="auto"/>
              </w:rPr>
            </w:pPr>
            <w:r>
              <w:rPr>
                <w:rFonts w:ascii="Arial" w:cs="Arial" w:eastAsia="Arial" w:hAnsi="Arial"/>
                <w:sz w:val="18"/>
                <w:szCs w:val="18"/>
                <w:color w:val="auto"/>
              </w:rPr>
              <w:t>Debt Investments</w:t>
            </w: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8,337,621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4,595,340</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1.1 %</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8,587,621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4,845,340</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1.6 %</w:t>
            </w:r>
          </w:p>
        </w:tc>
        <w:tc>
          <w:tcPr>
            <w:tcW w:w="0" w:type="dxa"/>
            <w:vAlign w:val="bottom"/>
          </w:tcPr>
          <w:p>
            <w:pPr>
              <w:spacing w:after="0"/>
              <w:rPr>
                <w:sz w:val="1"/>
                <w:szCs w:val="1"/>
                <w:color w:val="auto"/>
              </w:rPr>
            </w:pPr>
          </w:p>
        </w:tc>
      </w:tr>
      <w:tr>
        <w:trPr>
          <w:trHeight w:val="230"/>
        </w:trPr>
        <w:tc>
          <w:tcPr>
            <w:tcW w:w="2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Options</w:t>
            </w:r>
          </w:p>
        </w:tc>
        <w:tc>
          <w:tcPr>
            <w:tcW w:w="2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9,924,768</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4,776,378</w:t>
            </w:r>
          </w:p>
        </w:tc>
        <w:tc>
          <w:tcPr>
            <w:tcW w:w="100" w:type="dxa"/>
            <w:vAlign w:val="bottom"/>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8,764,885</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5,872,210</w:t>
            </w:r>
          </w:p>
        </w:tc>
        <w:tc>
          <w:tcPr>
            <w:tcW w:w="100" w:type="dxa"/>
            <w:vAlign w:val="bottom"/>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1.9 %</w:t>
            </w:r>
          </w:p>
        </w:tc>
        <w:tc>
          <w:tcPr>
            <w:tcW w:w="0" w:type="dxa"/>
            <w:vAlign w:val="bottom"/>
          </w:tcPr>
          <w:p>
            <w:pPr>
              <w:spacing w:after="0"/>
              <w:rPr>
                <w:sz w:val="1"/>
                <w:szCs w:val="1"/>
                <w:color w:val="auto"/>
              </w:rPr>
            </w:pPr>
          </w:p>
        </w:tc>
      </w:tr>
      <w:tr>
        <w:trPr>
          <w:trHeight w:val="223"/>
        </w:trPr>
        <w:tc>
          <w:tcPr>
            <w:tcW w:w="2460" w:type="dxa"/>
            <w:vAlign w:val="bottom"/>
            <w:tcBorders>
              <w:bottom w:val="single" w:sz="8" w:color="CCEEFF"/>
            </w:tcBorders>
          </w:tcPr>
          <w:p>
            <w:pPr>
              <w:ind w:left="180"/>
              <w:spacing w:after="0"/>
              <w:rPr>
                <w:sz w:val="20"/>
                <w:szCs w:val="20"/>
                <w:color w:val="auto"/>
              </w:rPr>
            </w:pPr>
            <w:r>
              <w:rPr>
                <w:rFonts w:ascii="Arial" w:cs="Arial" w:eastAsia="Arial" w:hAnsi="Arial"/>
                <w:sz w:val="18"/>
                <w:szCs w:val="18"/>
                <w:b w:val="1"/>
                <w:bCs w:val="1"/>
                <w:color w:val="auto"/>
                <w:w w:val="93"/>
              </w:rPr>
              <w:t>Private Portfolio Companies</w:t>
            </w: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145,384,902</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147,524,367</w:t>
            </w:r>
          </w:p>
        </w:tc>
        <w:tc>
          <w:tcPr>
            <w:tcW w:w="10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33.8 %</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153,490,801</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186,144,376</w:t>
            </w:r>
          </w:p>
        </w:tc>
        <w:tc>
          <w:tcPr>
            <w:tcW w:w="100" w:type="dxa"/>
            <w:vAlign w:val="bottom"/>
            <w:tcBorders>
              <w:bottom w:val="single" w:sz="8" w:color="CCEEFF"/>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61.7 %</w:t>
            </w:r>
          </w:p>
        </w:tc>
        <w:tc>
          <w:tcPr>
            <w:tcW w:w="0" w:type="dxa"/>
            <w:vAlign w:val="bottom"/>
          </w:tcPr>
          <w:p>
            <w:pPr>
              <w:spacing w:after="0"/>
              <w:rPr>
                <w:sz w:val="1"/>
                <w:szCs w:val="1"/>
                <w:color w:val="auto"/>
              </w:rPr>
            </w:pPr>
          </w:p>
        </w:tc>
      </w:tr>
      <w:tr>
        <w:trPr>
          <w:trHeight w:val="155"/>
        </w:trPr>
        <w:tc>
          <w:tcPr>
            <w:tcW w:w="2460" w:type="dxa"/>
            <w:vAlign w:val="bottom"/>
            <w:shd w:val="clear" w:color="auto" w:fill="CCEEFF"/>
          </w:tcPr>
          <w:p>
            <w:pPr>
              <w:ind w:left="180"/>
              <w:spacing w:after="0" w:line="156" w:lineRule="exact"/>
              <w:rPr>
                <w:sz w:val="20"/>
                <w:szCs w:val="20"/>
                <w:color w:val="auto"/>
              </w:rPr>
            </w:pPr>
            <w:r>
              <w:rPr>
                <w:rFonts w:ascii="Arial" w:cs="Arial" w:eastAsia="Arial" w:hAnsi="Arial"/>
                <w:sz w:val="18"/>
                <w:szCs w:val="18"/>
                <w:b w:val="1"/>
                <w:bCs w:val="1"/>
                <w:color w:val="auto"/>
              </w:rPr>
              <w:t>Publicly Traded Portfolio</w:t>
            </w:r>
          </w:p>
        </w:tc>
        <w:tc>
          <w:tcPr>
            <w:tcW w:w="26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3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46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Companies</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460" w:type="dxa"/>
            <w:vAlign w:val="bottom"/>
          </w:tcPr>
          <w:p>
            <w:pPr>
              <w:ind w:left="140"/>
              <w:spacing w:after="0"/>
              <w:rPr>
                <w:sz w:val="20"/>
                <w:szCs w:val="20"/>
                <w:color w:val="auto"/>
              </w:rPr>
            </w:pPr>
            <w:r>
              <w:rPr>
                <w:rFonts w:ascii="Arial" w:cs="Arial" w:eastAsia="Arial" w:hAnsi="Arial"/>
                <w:sz w:val="18"/>
                <w:szCs w:val="18"/>
                <w:color w:val="auto"/>
              </w:rPr>
              <w:t>Common Stock</w:t>
            </w: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17,359,536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126,698,621</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29.1 %</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12,875,126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94,635,398</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31.4 %</w:t>
            </w:r>
          </w:p>
        </w:tc>
        <w:tc>
          <w:tcPr>
            <w:tcW w:w="0" w:type="dxa"/>
            <w:vAlign w:val="bottom"/>
          </w:tcPr>
          <w:p>
            <w:pPr>
              <w:spacing w:after="0"/>
              <w:rPr>
                <w:sz w:val="1"/>
                <w:szCs w:val="1"/>
                <w:color w:val="auto"/>
              </w:rPr>
            </w:pPr>
          </w:p>
        </w:tc>
      </w:tr>
      <w:tr>
        <w:trPr>
          <w:trHeight w:val="230"/>
        </w:trPr>
        <w:tc>
          <w:tcPr>
            <w:tcW w:w="2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Options</w:t>
            </w:r>
          </w:p>
        </w:tc>
        <w:tc>
          <w:tcPr>
            <w:tcW w:w="2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1,619,463</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0.4 %</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155"/>
        </w:trPr>
        <w:tc>
          <w:tcPr>
            <w:tcW w:w="2460" w:type="dxa"/>
            <w:vAlign w:val="bottom"/>
          </w:tcPr>
          <w:p>
            <w:pPr>
              <w:ind w:left="180"/>
              <w:spacing w:after="0" w:line="156" w:lineRule="exact"/>
              <w:rPr>
                <w:sz w:val="20"/>
                <w:szCs w:val="20"/>
                <w:color w:val="auto"/>
              </w:rPr>
            </w:pPr>
            <w:r>
              <w:rPr>
                <w:rFonts w:ascii="Arial" w:cs="Arial" w:eastAsia="Arial" w:hAnsi="Arial"/>
                <w:sz w:val="18"/>
                <w:szCs w:val="18"/>
                <w:b w:val="1"/>
                <w:bCs w:val="1"/>
                <w:color w:val="auto"/>
              </w:rPr>
              <w:t>Publicly Traded Portfolio</w:t>
            </w:r>
          </w:p>
        </w:tc>
        <w:tc>
          <w:tcPr>
            <w:tcW w:w="26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17,359,536</w:t>
            </w:r>
          </w:p>
        </w:tc>
        <w:tc>
          <w:tcPr>
            <w:tcW w:w="1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128,318,084</w:t>
            </w:r>
          </w:p>
        </w:tc>
        <w:tc>
          <w:tcPr>
            <w:tcW w:w="100" w:type="dxa"/>
            <w:vAlign w:val="bottom"/>
          </w:tcPr>
          <w:p>
            <w:pPr>
              <w:spacing w:after="0"/>
              <w:rPr>
                <w:sz w:val="13"/>
                <w:szCs w:val="13"/>
                <w:color w:val="auto"/>
              </w:rPr>
            </w:pPr>
          </w:p>
        </w:tc>
        <w:tc>
          <w:tcPr>
            <w:tcW w:w="13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29.5 %</w:t>
            </w:r>
          </w:p>
        </w:tc>
        <w:tc>
          <w:tcPr>
            <w:tcW w:w="12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12,875,126</w:t>
            </w:r>
          </w:p>
        </w:tc>
        <w:tc>
          <w:tcPr>
            <w:tcW w:w="12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94,635,398</w:t>
            </w:r>
          </w:p>
        </w:tc>
        <w:tc>
          <w:tcPr>
            <w:tcW w:w="100" w:type="dxa"/>
            <w:vAlign w:val="bottom"/>
          </w:tcPr>
          <w:p>
            <w:pPr>
              <w:spacing w:after="0"/>
              <w:rPr>
                <w:sz w:val="13"/>
                <w:szCs w:val="13"/>
                <w:color w:val="auto"/>
              </w:rPr>
            </w:pPr>
          </w:p>
        </w:tc>
        <w:tc>
          <w:tcPr>
            <w:tcW w:w="13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31.4 %</w:t>
            </w:r>
          </w:p>
        </w:tc>
        <w:tc>
          <w:tcPr>
            <w:tcW w:w="0" w:type="dxa"/>
            <w:vAlign w:val="bottom"/>
          </w:tcPr>
          <w:p>
            <w:pPr>
              <w:spacing w:after="0"/>
              <w:rPr>
                <w:sz w:val="1"/>
                <w:szCs w:val="1"/>
                <w:color w:val="auto"/>
              </w:rPr>
            </w:pPr>
          </w:p>
        </w:tc>
      </w:tr>
      <w:tr>
        <w:trPr>
          <w:trHeight w:val="230"/>
        </w:trPr>
        <w:tc>
          <w:tcPr>
            <w:tcW w:w="2460" w:type="dxa"/>
            <w:vAlign w:val="bottom"/>
            <w:tcBorders>
              <w:bottom w:val="single" w:sz="8" w:color="CCEEFF"/>
            </w:tcBorders>
          </w:tcPr>
          <w:p>
            <w:pPr>
              <w:ind w:left="180"/>
              <w:spacing w:after="0"/>
              <w:rPr>
                <w:sz w:val="20"/>
                <w:szCs w:val="20"/>
                <w:color w:val="auto"/>
              </w:rPr>
            </w:pPr>
            <w:r>
              <w:rPr>
                <w:rFonts w:ascii="Arial" w:cs="Arial" w:eastAsia="Arial" w:hAnsi="Arial"/>
                <w:sz w:val="18"/>
                <w:szCs w:val="18"/>
                <w:b w:val="1"/>
                <w:bCs w:val="1"/>
                <w:color w:val="auto"/>
              </w:rPr>
              <w:t>Companies</w:t>
            </w: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3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46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w w:val="97"/>
              </w:rPr>
              <w:t>Total Portfolio Investments</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162,744,438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275,842,451</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63.3 %</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166,365,927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280,779,774</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93.1 %</w:t>
            </w:r>
          </w:p>
        </w:tc>
        <w:tc>
          <w:tcPr>
            <w:tcW w:w="0" w:type="dxa"/>
            <w:vAlign w:val="bottom"/>
          </w:tcPr>
          <w:p>
            <w:pPr>
              <w:spacing w:after="0"/>
              <w:rPr>
                <w:sz w:val="1"/>
                <w:szCs w:val="1"/>
                <w:color w:val="auto"/>
              </w:rPr>
            </w:pPr>
          </w:p>
        </w:tc>
      </w:tr>
      <w:tr>
        <w:trPr>
          <w:trHeight w:val="230"/>
        </w:trPr>
        <w:tc>
          <w:tcPr>
            <w:tcW w:w="2460" w:type="dxa"/>
            <w:vAlign w:val="bottom"/>
          </w:tcPr>
          <w:p>
            <w:pPr>
              <w:ind w:left="180"/>
              <w:spacing w:after="0"/>
              <w:rPr>
                <w:sz w:val="20"/>
                <w:szCs w:val="20"/>
                <w:color w:val="auto"/>
              </w:rPr>
            </w:pPr>
            <w:r>
              <w:rPr>
                <w:rFonts w:ascii="Arial" w:cs="Arial" w:eastAsia="Arial" w:hAnsi="Arial"/>
                <w:sz w:val="18"/>
                <w:szCs w:val="18"/>
                <w:b w:val="1"/>
                <w:bCs w:val="1"/>
                <w:color w:val="auto"/>
              </w:rPr>
              <w:t>Non-Portfolio Investments</w:t>
            </w: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U.S. Treasury bill</w:t>
            </w:r>
          </w:p>
        </w:tc>
        <w:tc>
          <w:tcPr>
            <w:tcW w:w="2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 %</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150,000,000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150,000,000</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49.7 %</w:t>
            </w:r>
          </w:p>
        </w:tc>
        <w:tc>
          <w:tcPr>
            <w:tcW w:w="0" w:type="dxa"/>
            <w:vAlign w:val="bottom"/>
          </w:tcPr>
          <w:p>
            <w:pPr>
              <w:spacing w:after="0"/>
              <w:rPr>
                <w:sz w:val="1"/>
                <w:szCs w:val="1"/>
                <w:color w:val="auto"/>
              </w:rPr>
            </w:pPr>
          </w:p>
        </w:tc>
      </w:tr>
      <w:tr>
        <w:trPr>
          <w:trHeight w:val="223"/>
        </w:trPr>
        <w:tc>
          <w:tcPr>
            <w:tcW w:w="2460" w:type="dxa"/>
            <w:vAlign w:val="bottom"/>
          </w:tcPr>
          <w:p>
            <w:pPr>
              <w:ind w:left="20"/>
              <w:spacing w:after="0"/>
              <w:rPr>
                <w:sz w:val="20"/>
                <w:szCs w:val="20"/>
                <w:color w:val="auto"/>
              </w:rPr>
            </w:pPr>
            <w:r>
              <w:rPr>
                <w:rFonts w:ascii="Arial" w:cs="Arial" w:eastAsia="Arial" w:hAnsi="Arial"/>
                <w:sz w:val="18"/>
                <w:szCs w:val="18"/>
                <w:b w:val="1"/>
                <w:bCs w:val="1"/>
                <w:color w:val="auto"/>
              </w:rPr>
              <w:t>Total Investments</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162,744,438</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275,842,451</w:t>
            </w:r>
          </w:p>
        </w:tc>
        <w:tc>
          <w:tcPr>
            <w:tcW w:w="100" w:type="dxa"/>
            <w:vAlign w:val="bottom"/>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63.3 %</w:t>
            </w:r>
          </w:p>
        </w:tc>
        <w:tc>
          <w:tcPr>
            <w:tcW w:w="1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316,365,927</w:t>
            </w: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6"/>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430,779,774</w:t>
            </w:r>
          </w:p>
        </w:tc>
        <w:tc>
          <w:tcPr>
            <w:tcW w:w="100" w:type="dxa"/>
            <w:vAlign w:val="bottom"/>
          </w:tcPr>
          <w:p>
            <w:pPr>
              <w:spacing w:after="0"/>
              <w:rPr>
                <w:sz w:val="19"/>
                <w:szCs w:val="19"/>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142.8 %</w:t>
            </w:r>
          </w:p>
        </w:tc>
        <w:tc>
          <w:tcPr>
            <w:tcW w:w="0" w:type="dxa"/>
            <w:vAlign w:val="bottom"/>
          </w:tcPr>
          <w:p>
            <w:pPr>
              <w:spacing w:after="0"/>
              <w:rPr>
                <w:sz w:val="1"/>
                <w:szCs w:val="1"/>
                <w:color w:val="auto"/>
              </w:rPr>
            </w:pPr>
          </w:p>
        </w:tc>
      </w:tr>
      <w:tr>
        <w:trPr>
          <w:trHeight w:val="20"/>
        </w:trPr>
        <w:tc>
          <w:tcPr>
            <w:tcW w:w="24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40"/>
          </w:cols>
          <w:pgMar w:left="320" w:top="121" w:right="339" w:bottom="1440" w:gutter="0" w:footer="0" w:header="0"/>
        </w:sectPr>
      </w:pPr>
    </w:p>
    <w:bookmarkStart w:id="29" w:name="page30"/>
    <w:bookmarkEnd w:id="2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SURO CAPITAL CORP. AND SUBSIDIARIES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2021</w:t>
      </w:r>
    </w:p>
    <w:p>
      <w:pPr>
        <w:spacing w:after="0" w:line="400"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The geographic and industrial compositions of the Company’s portfolio at fair value as of March 31, 2021 and December 31, 2020 were as follows: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4"/>
          </w:tcPr>
          <w:p>
            <w:pPr>
              <w:ind w:left="120"/>
              <w:spacing w:after="0"/>
              <w:rPr>
                <w:sz w:val="20"/>
                <w:szCs w:val="20"/>
                <w:color w:val="auto"/>
              </w:rPr>
            </w:pPr>
            <w:r>
              <w:rPr>
                <w:rFonts w:ascii="Arial" w:cs="Arial" w:eastAsia="Arial" w:hAnsi="Arial"/>
                <w:sz w:val="14"/>
                <w:szCs w:val="14"/>
                <w:b w:val="1"/>
                <w:bCs w:val="1"/>
                <w:color w:val="auto"/>
                <w:w w:val="99"/>
              </w:rPr>
              <w:t>As of March 31, 2021</w:t>
            </w:r>
          </w:p>
        </w:tc>
        <w:tc>
          <w:tcPr>
            <w:tcW w:w="13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92"/>
              </w:rPr>
              <w:t>As of December 31, 2020</w:t>
            </w:r>
          </w:p>
        </w:tc>
        <w:tc>
          <w:tcPr>
            <w:tcW w:w="144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0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gridSpan w:val="3"/>
            <w:vMerge w:val="restart"/>
          </w:tcPr>
          <w:p>
            <w:pPr>
              <w:jc w:val="right"/>
              <w:ind w:right="340"/>
              <w:spacing w:after="0"/>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11"/>
                <w:szCs w:val="11"/>
                <w:color w:val="auto"/>
              </w:rPr>
            </w:pPr>
          </w:p>
        </w:tc>
        <w:tc>
          <w:tcPr>
            <w:tcW w:w="1520" w:type="dxa"/>
            <w:vAlign w:val="bottom"/>
            <w:gridSpan w:val="4"/>
          </w:tcPr>
          <w:p>
            <w:pPr>
              <w:jc w:val="center"/>
              <w:ind w:right="100"/>
              <w:spacing w:after="0" w:line="135" w:lineRule="exact"/>
              <w:rPr>
                <w:sz w:val="20"/>
                <w:szCs w:val="20"/>
                <w:color w:val="auto"/>
              </w:rPr>
            </w:pPr>
            <w:r>
              <w:rPr>
                <w:rFonts w:ascii="Arial" w:cs="Arial" w:eastAsia="Arial" w:hAnsi="Arial"/>
                <w:sz w:val="14"/>
                <w:szCs w:val="14"/>
                <w:b w:val="1"/>
                <w:bCs w:val="1"/>
                <w:color w:val="auto"/>
                <w:w w:val="88"/>
              </w:rPr>
              <w:t>Percentage of</w:t>
            </w:r>
          </w:p>
        </w:tc>
        <w:tc>
          <w:tcPr>
            <w:tcW w:w="1440" w:type="dxa"/>
            <w:vAlign w:val="bottom"/>
            <w:gridSpan w:val="2"/>
          </w:tcPr>
          <w:p>
            <w:pPr>
              <w:jc w:val="right"/>
              <w:ind w:right="300"/>
              <w:spacing w:after="0" w:line="135" w:lineRule="exact"/>
              <w:rPr>
                <w:sz w:val="20"/>
                <w:szCs w:val="20"/>
                <w:color w:val="auto"/>
              </w:rPr>
            </w:pPr>
            <w:r>
              <w:rPr>
                <w:rFonts w:ascii="Arial" w:cs="Arial" w:eastAsia="Arial" w:hAnsi="Arial"/>
                <w:sz w:val="14"/>
                <w:szCs w:val="14"/>
                <w:b w:val="1"/>
                <w:bCs w:val="1"/>
                <w:color w:val="auto"/>
              </w:rPr>
              <w:t>Percentage of</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4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Fair Value</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560" w:type="dxa"/>
            <w:vAlign w:val="bottom"/>
            <w:gridSpan w:val="4"/>
          </w:tcPr>
          <w:p>
            <w:pPr>
              <w:jc w:val="center"/>
              <w:ind w:right="120"/>
              <w:spacing w:after="0" w:line="135" w:lineRule="exact"/>
              <w:rPr>
                <w:sz w:val="20"/>
                <w:szCs w:val="20"/>
                <w:color w:val="auto"/>
              </w:rPr>
            </w:pPr>
            <w:r>
              <w:rPr>
                <w:rFonts w:ascii="Arial" w:cs="Arial" w:eastAsia="Arial" w:hAnsi="Arial"/>
                <w:sz w:val="14"/>
                <w:szCs w:val="14"/>
                <w:b w:val="1"/>
                <w:bCs w:val="1"/>
                <w:color w:val="auto"/>
                <w:w w:val="90"/>
              </w:rPr>
              <w:t>Percentage of</w:t>
            </w:r>
          </w:p>
        </w:tc>
        <w:tc>
          <w:tcPr>
            <w:tcW w:w="14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8"/>
              </w:rPr>
              <w:t>Percentage of</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2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3"/>
            <w:vMerge w:val="continue"/>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93"/>
              </w:rPr>
              <w:t>Portfolio</w:t>
            </w:r>
          </w:p>
        </w:tc>
        <w:tc>
          <w:tcPr>
            <w:tcW w:w="144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Net Assets</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56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93"/>
              </w:rPr>
              <w:t>Portfolio</w:t>
            </w:r>
          </w:p>
        </w:tc>
        <w:tc>
          <w:tcPr>
            <w:tcW w:w="146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85"/>
              </w:rPr>
              <w:t>Net Assets</w:t>
            </w:r>
          </w:p>
        </w:tc>
        <w:tc>
          <w:tcPr>
            <w:tcW w:w="0" w:type="dxa"/>
            <w:vAlign w:val="bottom"/>
          </w:tcPr>
          <w:p>
            <w:pPr>
              <w:spacing w:after="0"/>
              <w:rPr>
                <w:sz w:val="1"/>
                <w:szCs w:val="1"/>
                <w:color w:val="auto"/>
              </w:rPr>
            </w:pPr>
          </w:p>
        </w:tc>
      </w:tr>
      <w:tr>
        <w:trPr>
          <w:trHeight w:val="211"/>
        </w:trPr>
        <w:tc>
          <w:tcPr>
            <w:tcW w:w="2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Geographic Region</w:t>
            </w: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40" w:type="dxa"/>
            <w:vAlign w:val="bottom"/>
          </w:tcPr>
          <w:p>
            <w:pPr>
              <w:ind w:left="20"/>
              <w:spacing w:after="0"/>
              <w:rPr>
                <w:sz w:val="20"/>
                <w:szCs w:val="20"/>
                <w:color w:val="auto"/>
              </w:rPr>
            </w:pPr>
            <w:r>
              <w:rPr>
                <w:rFonts w:ascii="Arial" w:cs="Arial" w:eastAsia="Arial" w:hAnsi="Arial"/>
                <w:sz w:val="18"/>
                <w:szCs w:val="18"/>
                <w:color w:val="auto"/>
              </w:rPr>
              <w:t>West</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3"/>
          </w:tcPr>
          <w:p>
            <w:pPr>
              <w:jc w:val="right"/>
              <w:ind w:right="80"/>
              <w:spacing w:after="0"/>
              <w:rPr>
                <w:sz w:val="20"/>
                <w:szCs w:val="20"/>
                <w:color w:val="auto"/>
              </w:rPr>
            </w:pPr>
            <w:r>
              <w:rPr>
                <w:rFonts w:ascii="Arial" w:cs="Arial" w:eastAsia="Arial" w:hAnsi="Arial"/>
                <w:sz w:val="18"/>
                <w:szCs w:val="18"/>
                <w:color w:val="auto"/>
              </w:rPr>
              <w:t>234,622,580</w:t>
            </w:r>
          </w:p>
        </w:tc>
        <w:tc>
          <w:tcPr>
            <w:tcW w:w="1520" w:type="dxa"/>
            <w:vAlign w:val="bottom"/>
            <w:gridSpan w:val="4"/>
          </w:tcPr>
          <w:p>
            <w:pPr>
              <w:jc w:val="right"/>
              <w:ind w:right="20"/>
              <w:spacing w:after="0"/>
              <w:rPr>
                <w:sz w:val="20"/>
                <w:szCs w:val="20"/>
                <w:color w:val="auto"/>
              </w:rPr>
            </w:pPr>
            <w:r>
              <w:rPr>
                <w:rFonts w:ascii="Arial" w:cs="Arial" w:eastAsia="Arial" w:hAnsi="Arial"/>
                <w:sz w:val="18"/>
                <w:szCs w:val="18"/>
                <w:color w:val="auto"/>
              </w:rPr>
              <w:t>85.1 %</w:t>
            </w:r>
          </w:p>
        </w:tc>
        <w:tc>
          <w:tcPr>
            <w:tcW w:w="100" w:type="dxa"/>
            <w:vAlign w:val="bottom"/>
          </w:tcPr>
          <w:p>
            <w:pPr>
              <w:spacing w:after="0"/>
              <w:rPr>
                <w:sz w:val="19"/>
                <w:szCs w:val="19"/>
                <w:color w:val="auto"/>
              </w:rPr>
            </w:pPr>
          </w:p>
        </w:tc>
        <w:tc>
          <w:tcPr>
            <w:tcW w:w="1440" w:type="dxa"/>
            <w:vAlign w:val="bottom"/>
            <w:gridSpan w:val="2"/>
          </w:tcPr>
          <w:p>
            <w:pPr>
              <w:jc w:val="right"/>
              <w:ind w:right="20"/>
              <w:spacing w:after="0"/>
              <w:rPr>
                <w:sz w:val="20"/>
                <w:szCs w:val="20"/>
                <w:color w:val="auto"/>
              </w:rPr>
            </w:pPr>
            <w:r>
              <w:rPr>
                <w:rFonts w:ascii="Arial" w:cs="Arial" w:eastAsia="Arial" w:hAnsi="Arial"/>
                <w:sz w:val="18"/>
                <w:szCs w:val="18"/>
                <w:color w:val="auto"/>
              </w:rPr>
              <w:t>53.9 %</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248,633,803</w:t>
            </w:r>
          </w:p>
        </w:tc>
        <w:tc>
          <w:tcPr>
            <w:tcW w:w="40" w:type="dxa"/>
            <w:vAlign w:val="bottom"/>
          </w:tcPr>
          <w:p>
            <w:pPr>
              <w:spacing w:after="0"/>
              <w:rPr>
                <w:sz w:val="19"/>
                <w:szCs w:val="19"/>
                <w:color w:val="auto"/>
              </w:rPr>
            </w:pPr>
          </w:p>
        </w:tc>
        <w:tc>
          <w:tcPr>
            <w:tcW w:w="1540" w:type="dxa"/>
            <w:vAlign w:val="bottom"/>
            <w:gridSpan w:val="3"/>
          </w:tcPr>
          <w:p>
            <w:pPr>
              <w:jc w:val="right"/>
              <w:spacing w:after="0"/>
              <w:rPr>
                <w:sz w:val="20"/>
                <w:szCs w:val="20"/>
                <w:color w:val="auto"/>
              </w:rPr>
            </w:pPr>
            <w:r>
              <w:rPr>
                <w:rFonts w:ascii="Arial" w:cs="Arial" w:eastAsia="Arial" w:hAnsi="Arial"/>
                <w:sz w:val="18"/>
                <w:szCs w:val="18"/>
                <w:color w:val="auto"/>
              </w:rPr>
              <w:t>88.5 %</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82.4 %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Northeast</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25,933,335</w:t>
            </w:r>
          </w:p>
        </w:tc>
        <w:tc>
          <w:tcPr>
            <w:tcW w:w="152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9.4 %</w:t>
            </w:r>
          </w:p>
        </w:tc>
        <w:tc>
          <w:tcPr>
            <w:tcW w:w="10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5.9 %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24,324,345</w:t>
            </w:r>
          </w:p>
        </w:tc>
        <w:tc>
          <w:tcPr>
            <w:tcW w:w="40" w:type="dxa"/>
            <w:vAlign w:val="bottom"/>
            <w:shd w:val="clear" w:color="auto" w:fill="CCEEFF"/>
          </w:tcPr>
          <w:p>
            <w:pPr>
              <w:spacing w:after="0"/>
              <w:rPr>
                <w:sz w:val="19"/>
                <w:szCs w:val="19"/>
                <w:color w:val="auto"/>
              </w:rPr>
            </w:pPr>
          </w:p>
        </w:tc>
        <w:tc>
          <w:tcPr>
            <w:tcW w:w="15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8.7 %</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40" w:type="dxa"/>
            <w:vAlign w:val="bottom"/>
          </w:tcPr>
          <w:p>
            <w:pPr>
              <w:ind w:left="20"/>
              <w:spacing w:after="0"/>
              <w:rPr>
                <w:sz w:val="20"/>
                <w:szCs w:val="20"/>
                <w:color w:val="auto"/>
              </w:rPr>
            </w:pPr>
            <w:r>
              <w:rPr>
                <w:rFonts w:ascii="Arial" w:cs="Arial" w:eastAsia="Arial" w:hAnsi="Arial"/>
                <w:sz w:val="18"/>
                <w:szCs w:val="18"/>
                <w:color w:val="auto"/>
              </w:rPr>
              <w:t>Mid-west</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3"/>
          </w:tcPr>
          <w:p>
            <w:pPr>
              <w:jc w:val="right"/>
              <w:ind w:right="80"/>
              <w:spacing w:after="0"/>
              <w:rPr>
                <w:sz w:val="20"/>
                <w:szCs w:val="20"/>
                <w:color w:val="auto"/>
              </w:rPr>
            </w:pPr>
            <w:r>
              <w:rPr>
                <w:rFonts w:ascii="Arial" w:cs="Arial" w:eastAsia="Arial" w:hAnsi="Arial"/>
                <w:sz w:val="18"/>
                <w:szCs w:val="18"/>
                <w:color w:val="auto"/>
              </w:rPr>
              <w:t>15,286,536</w:t>
            </w:r>
          </w:p>
        </w:tc>
        <w:tc>
          <w:tcPr>
            <w:tcW w:w="1520" w:type="dxa"/>
            <w:vAlign w:val="bottom"/>
            <w:gridSpan w:val="4"/>
          </w:tcPr>
          <w:p>
            <w:pPr>
              <w:jc w:val="right"/>
              <w:ind w:right="20"/>
              <w:spacing w:after="0"/>
              <w:rPr>
                <w:sz w:val="20"/>
                <w:szCs w:val="20"/>
                <w:color w:val="auto"/>
              </w:rPr>
            </w:pPr>
            <w:r>
              <w:rPr>
                <w:rFonts w:ascii="Arial" w:cs="Arial" w:eastAsia="Arial" w:hAnsi="Arial"/>
                <w:sz w:val="18"/>
                <w:szCs w:val="18"/>
                <w:color w:val="auto"/>
              </w:rPr>
              <w:t>5.5 %</w:t>
            </w:r>
          </w:p>
        </w:tc>
        <w:tc>
          <w:tcPr>
            <w:tcW w:w="100" w:type="dxa"/>
            <w:vAlign w:val="bottom"/>
          </w:tcPr>
          <w:p>
            <w:pPr>
              <w:spacing w:after="0"/>
              <w:rPr>
                <w:sz w:val="19"/>
                <w:szCs w:val="19"/>
                <w:color w:val="auto"/>
              </w:rPr>
            </w:pPr>
          </w:p>
        </w:tc>
        <w:tc>
          <w:tcPr>
            <w:tcW w:w="1440" w:type="dxa"/>
            <w:vAlign w:val="bottom"/>
            <w:gridSpan w:val="2"/>
          </w:tcPr>
          <w:p>
            <w:pPr>
              <w:jc w:val="right"/>
              <w:ind w:right="20"/>
              <w:spacing w:after="0"/>
              <w:rPr>
                <w:sz w:val="20"/>
                <w:szCs w:val="20"/>
                <w:color w:val="auto"/>
              </w:rPr>
            </w:pPr>
            <w:r>
              <w:rPr>
                <w:rFonts w:ascii="Arial" w:cs="Arial" w:eastAsia="Arial" w:hAnsi="Arial"/>
                <w:sz w:val="18"/>
                <w:szCs w:val="18"/>
                <w:color w:val="auto"/>
              </w:rPr>
              <w:t>3.5 %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7,821,626</w:t>
            </w:r>
          </w:p>
        </w:tc>
        <w:tc>
          <w:tcPr>
            <w:tcW w:w="40" w:type="dxa"/>
            <w:vAlign w:val="bottom"/>
          </w:tcPr>
          <w:p>
            <w:pPr>
              <w:spacing w:after="0"/>
              <w:rPr>
                <w:sz w:val="19"/>
                <w:szCs w:val="19"/>
                <w:color w:val="auto"/>
              </w:rPr>
            </w:pPr>
          </w:p>
        </w:tc>
        <w:tc>
          <w:tcPr>
            <w:tcW w:w="1540" w:type="dxa"/>
            <w:vAlign w:val="bottom"/>
            <w:gridSpan w:val="3"/>
          </w:tcPr>
          <w:p>
            <w:pPr>
              <w:jc w:val="right"/>
              <w:spacing w:after="0"/>
              <w:rPr>
                <w:sz w:val="20"/>
                <w:szCs w:val="20"/>
                <w:color w:val="auto"/>
              </w:rPr>
            </w:pPr>
            <w:r>
              <w:rPr>
                <w:rFonts w:ascii="Arial" w:cs="Arial" w:eastAsia="Arial" w:hAnsi="Arial"/>
                <w:sz w:val="18"/>
                <w:szCs w:val="18"/>
                <w:color w:val="auto"/>
              </w:rPr>
              <w:t>2.8 %</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2.6 %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w:t>
            </w:r>
          </w:p>
        </w:tc>
        <w:tc>
          <w:tcPr>
            <w:tcW w:w="24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275,842,451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20" w:type="dxa"/>
            <w:vAlign w:val="bottom"/>
            <w:tcBorders>
              <w:top w:val="single" w:sz="8" w:color="auto"/>
              <w:bottom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100.0 %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4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63.3 %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280,779,774</w:t>
            </w:r>
          </w:p>
        </w:tc>
        <w:tc>
          <w:tcPr>
            <w:tcW w:w="40" w:type="dxa"/>
            <w:vAlign w:val="bottom"/>
            <w:tcBorders>
              <w:top w:val="single" w:sz="8" w:color="auto"/>
              <w:bottom w:val="single" w:sz="8" w:color="auto"/>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93.1 %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3"/>
        </w:trPr>
        <w:tc>
          <w:tcPr>
            <w:tcW w:w="20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rPr>
              <w:t>As of March 31, 2021</w:t>
            </w:r>
          </w:p>
        </w:tc>
        <w:tc>
          <w:tcPr>
            <w:tcW w:w="13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5"/>
          </w:tcPr>
          <w:p>
            <w:pPr>
              <w:jc w:val="center"/>
              <w:ind w:right="20"/>
              <w:spacing w:after="0"/>
              <w:rPr>
                <w:sz w:val="20"/>
                <w:szCs w:val="20"/>
                <w:color w:val="auto"/>
              </w:rPr>
            </w:pPr>
            <w:r>
              <w:rPr>
                <w:rFonts w:ascii="Arial" w:cs="Arial" w:eastAsia="Arial" w:hAnsi="Arial"/>
                <w:sz w:val="14"/>
                <w:szCs w:val="14"/>
                <w:b w:val="1"/>
                <w:bCs w:val="1"/>
                <w:color w:val="auto"/>
                <w:w w:val="92"/>
              </w:rPr>
              <w:t>As of December 31, 2020</w:t>
            </w:r>
          </w:p>
        </w:tc>
        <w:tc>
          <w:tcPr>
            <w:tcW w:w="14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20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gridSpan w:val="3"/>
            <w:vMerge w:val="restart"/>
          </w:tcPr>
          <w:p>
            <w:pPr>
              <w:jc w:val="right"/>
              <w:ind w:right="580"/>
              <w:spacing w:after="0"/>
              <w:rPr>
                <w:sz w:val="20"/>
                <w:szCs w:val="20"/>
                <w:color w:val="auto"/>
              </w:rPr>
            </w:pPr>
            <w:r>
              <w:rPr>
                <w:rFonts w:ascii="Arial" w:cs="Arial" w:eastAsia="Arial" w:hAnsi="Arial"/>
                <w:sz w:val="14"/>
                <w:szCs w:val="14"/>
                <w:b w:val="1"/>
                <w:bCs w:val="1"/>
                <w:color w:val="auto"/>
                <w:w w:val="92"/>
              </w:rPr>
              <w:t>Fair Value</w:t>
            </w:r>
          </w:p>
        </w:tc>
        <w:tc>
          <w:tcPr>
            <w:tcW w:w="100" w:type="dxa"/>
            <w:vAlign w:val="bottom"/>
          </w:tcPr>
          <w:p>
            <w:pPr>
              <w:spacing w:after="0"/>
              <w:rPr>
                <w:sz w:val="11"/>
                <w:szCs w:val="11"/>
                <w:color w:val="auto"/>
              </w:rPr>
            </w:pPr>
          </w:p>
        </w:tc>
        <w:tc>
          <w:tcPr>
            <w:tcW w:w="1520" w:type="dxa"/>
            <w:vAlign w:val="bottom"/>
            <w:gridSpan w:val="4"/>
          </w:tcPr>
          <w:p>
            <w:pPr>
              <w:ind w:left="120"/>
              <w:spacing w:after="0" w:line="135" w:lineRule="exact"/>
              <w:rPr>
                <w:sz w:val="20"/>
                <w:szCs w:val="20"/>
                <w:color w:val="auto"/>
              </w:rPr>
            </w:pPr>
            <w:r>
              <w:rPr>
                <w:rFonts w:ascii="Arial" w:cs="Arial" w:eastAsia="Arial" w:hAnsi="Arial"/>
                <w:sz w:val="14"/>
                <w:szCs w:val="14"/>
                <w:b w:val="1"/>
                <w:bCs w:val="1"/>
                <w:color w:val="auto"/>
              </w:rPr>
              <w:t>Percentage of</w:t>
            </w:r>
          </w:p>
        </w:tc>
        <w:tc>
          <w:tcPr>
            <w:tcW w:w="1320" w:type="dxa"/>
            <w:vAlign w:val="bottom"/>
          </w:tcPr>
          <w:p>
            <w:pPr>
              <w:jc w:val="right"/>
              <w:ind w:right="235"/>
              <w:spacing w:after="0" w:line="135" w:lineRule="exact"/>
              <w:rPr>
                <w:sz w:val="20"/>
                <w:szCs w:val="20"/>
                <w:color w:val="auto"/>
              </w:rPr>
            </w:pPr>
            <w:r>
              <w:rPr>
                <w:rFonts w:ascii="Arial" w:cs="Arial" w:eastAsia="Arial" w:hAnsi="Arial"/>
                <w:sz w:val="14"/>
                <w:szCs w:val="14"/>
                <w:b w:val="1"/>
                <w:bCs w:val="1"/>
                <w:color w:val="auto"/>
              </w:rPr>
              <w:t>Percentage of</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Fair Value</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560" w:type="dxa"/>
            <w:vAlign w:val="bottom"/>
            <w:gridSpan w:val="4"/>
          </w:tcPr>
          <w:p>
            <w:pPr>
              <w:jc w:val="center"/>
              <w:ind w:right="200"/>
              <w:spacing w:after="0" w:line="135" w:lineRule="exact"/>
              <w:rPr>
                <w:sz w:val="20"/>
                <w:szCs w:val="20"/>
                <w:color w:val="auto"/>
              </w:rPr>
            </w:pPr>
            <w:r>
              <w:rPr>
                <w:rFonts w:ascii="Arial" w:cs="Arial" w:eastAsia="Arial" w:hAnsi="Arial"/>
                <w:sz w:val="14"/>
                <w:szCs w:val="14"/>
                <w:b w:val="1"/>
                <w:bCs w:val="1"/>
                <w:color w:val="auto"/>
                <w:w w:val="90"/>
              </w:rPr>
              <w:t>Percentage of</w:t>
            </w:r>
          </w:p>
        </w:tc>
        <w:tc>
          <w:tcPr>
            <w:tcW w:w="1460" w:type="dxa"/>
            <w:vAlign w:val="bottom"/>
            <w:gridSpan w:val="2"/>
          </w:tcPr>
          <w:p>
            <w:pPr>
              <w:jc w:val="center"/>
              <w:ind w:right="20"/>
              <w:spacing w:after="0" w:line="135" w:lineRule="exact"/>
              <w:rPr>
                <w:sz w:val="20"/>
                <w:szCs w:val="20"/>
                <w:color w:val="auto"/>
              </w:rPr>
            </w:pPr>
            <w:r>
              <w:rPr>
                <w:rFonts w:ascii="Arial" w:cs="Arial" w:eastAsia="Arial" w:hAnsi="Arial"/>
                <w:sz w:val="14"/>
                <w:szCs w:val="14"/>
                <w:b w:val="1"/>
                <w:bCs w:val="1"/>
                <w:color w:val="auto"/>
                <w:w w:val="90"/>
              </w:rPr>
              <w:t>Percentage of</w:t>
            </w:r>
          </w:p>
        </w:tc>
        <w:tc>
          <w:tcPr>
            <w:tcW w:w="0" w:type="dxa"/>
            <w:vAlign w:val="bottom"/>
          </w:tcPr>
          <w:p>
            <w:pPr>
              <w:spacing w:after="0"/>
              <w:rPr>
                <w:sz w:val="1"/>
                <w:szCs w:val="1"/>
                <w:color w:val="auto"/>
              </w:rPr>
            </w:pPr>
          </w:p>
        </w:tc>
      </w:tr>
      <w:tr>
        <w:trPr>
          <w:trHeight w:val="188"/>
        </w:trPr>
        <w:tc>
          <w:tcPr>
            <w:tcW w:w="2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3"/>
            <w:vMerge w:val="continue"/>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gridSpan w:val="4"/>
          </w:tcPr>
          <w:p>
            <w:pPr>
              <w:ind w:left="260"/>
              <w:spacing w:after="0"/>
              <w:rPr>
                <w:sz w:val="20"/>
                <w:szCs w:val="20"/>
                <w:color w:val="auto"/>
              </w:rPr>
            </w:pPr>
            <w:r>
              <w:rPr>
                <w:rFonts w:ascii="Arial" w:cs="Arial" w:eastAsia="Arial" w:hAnsi="Arial"/>
                <w:sz w:val="14"/>
                <w:szCs w:val="14"/>
                <w:b w:val="1"/>
                <w:bCs w:val="1"/>
                <w:color w:val="auto"/>
              </w:rPr>
              <w:t>Portfolio</w:t>
            </w:r>
          </w:p>
        </w:tc>
        <w:tc>
          <w:tcPr>
            <w:tcW w:w="144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Net Assets</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56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93"/>
              </w:rPr>
              <w:t>Portfolio</w:t>
            </w:r>
          </w:p>
        </w:tc>
        <w:tc>
          <w:tcPr>
            <w:tcW w:w="146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8"/>
              </w:rPr>
              <w:t>Net Assets</w:t>
            </w:r>
          </w:p>
        </w:tc>
        <w:tc>
          <w:tcPr>
            <w:tcW w:w="0" w:type="dxa"/>
            <w:vAlign w:val="bottom"/>
          </w:tcPr>
          <w:p>
            <w:pPr>
              <w:spacing w:after="0"/>
              <w:rPr>
                <w:sz w:val="1"/>
                <w:szCs w:val="1"/>
                <w:color w:val="auto"/>
              </w:rPr>
            </w:pPr>
          </w:p>
        </w:tc>
      </w:tr>
      <w:tr>
        <w:trPr>
          <w:trHeight w:val="211"/>
        </w:trPr>
        <w:tc>
          <w:tcPr>
            <w:tcW w:w="2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Industry</w:t>
            </w:r>
          </w:p>
        </w:tc>
        <w:tc>
          <w:tcPr>
            <w:tcW w:w="2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40" w:type="dxa"/>
            <w:vAlign w:val="bottom"/>
          </w:tcPr>
          <w:p>
            <w:pPr>
              <w:ind w:left="20"/>
              <w:spacing w:after="0"/>
              <w:rPr>
                <w:sz w:val="20"/>
                <w:szCs w:val="20"/>
                <w:color w:val="auto"/>
              </w:rPr>
            </w:pPr>
            <w:r>
              <w:rPr>
                <w:rFonts w:ascii="Arial" w:cs="Arial" w:eastAsia="Arial" w:hAnsi="Arial"/>
                <w:sz w:val="18"/>
                <w:szCs w:val="18"/>
                <w:color w:val="auto"/>
              </w:rPr>
              <w:t>Education Technology</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w w:val="91"/>
              </w:rPr>
              <w:t>170,801,304</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61.9 %</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39.2 %</w:t>
            </w:r>
          </w:p>
        </w:tc>
        <w:tc>
          <w:tcPr>
            <w:tcW w:w="120" w:type="dxa"/>
            <w:vAlign w:val="bottom"/>
          </w:tcPr>
          <w:p>
            <w:pPr>
              <w:spacing w:after="0"/>
              <w:rPr>
                <w:sz w:val="19"/>
                <w:szCs w:val="19"/>
                <w:color w:val="auto"/>
              </w:rPr>
            </w:pPr>
          </w:p>
        </w:tc>
        <w:tc>
          <w:tcPr>
            <w:tcW w:w="280" w:type="dxa"/>
            <w:vAlign w:val="bottom"/>
            <w:gridSpan w:val="2"/>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99,397,589</w:t>
            </w:r>
          </w:p>
        </w:tc>
        <w:tc>
          <w:tcPr>
            <w:tcW w:w="40" w:type="dxa"/>
            <w:vAlign w:val="bottom"/>
          </w:tcPr>
          <w:p>
            <w:pPr>
              <w:spacing w:after="0"/>
              <w:rPr>
                <w:sz w:val="19"/>
                <w:szCs w:val="19"/>
                <w:color w:val="auto"/>
              </w:rPr>
            </w:pPr>
          </w:p>
        </w:tc>
        <w:tc>
          <w:tcPr>
            <w:tcW w:w="1540" w:type="dxa"/>
            <w:vAlign w:val="bottom"/>
            <w:gridSpan w:val="3"/>
          </w:tcPr>
          <w:p>
            <w:pPr>
              <w:jc w:val="right"/>
              <w:spacing w:after="0"/>
              <w:rPr>
                <w:sz w:val="20"/>
                <w:szCs w:val="20"/>
                <w:color w:val="auto"/>
              </w:rPr>
            </w:pPr>
            <w:r>
              <w:rPr>
                <w:rFonts w:ascii="Arial" w:cs="Arial" w:eastAsia="Arial" w:hAnsi="Arial"/>
                <w:sz w:val="18"/>
                <w:szCs w:val="18"/>
                <w:color w:val="auto"/>
              </w:rPr>
              <w:t>35.4 %</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60" w:type="dxa"/>
            <w:vAlign w:val="bottom"/>
            <w:gridSpan w:val="2"/>
          </w:tcPr>
          <w:p>
            <w:pPr>
              <w:jc w:val="right"/>
              <w:ind w:right="20"/>
              <w:spacing w:after="0"/>
              <w:rPr>
                <w:sz w:val="20"/>
                <w:szCs w:val="20"/>
                <w:color w:val="auto"/>
              </w:rPr>
            </w:pPr>
            <w:r>
              <w:rPr>
                <w:rFonts w:ascii="Arial" w:cs="Arial" w:eastAsia="Arial" w:hAnsi="Arial"/>
                <w:sz w:val="18"/>
                <w:szCs w:val="18"/>
                <w:color w:val="auto"/>
              </w:rPr>
              <w:t>33.0 %</w:t>
            </w:r>
          </w:p>
        </w:tc>
        <w:tc>
          <w:tcPr>
            <w:tcW w:w="0" w:type="dxa"/>
            <w:vAlign w:val="bottom"/>
          </w:tcPr>
          <w:p>
            <w:pPr>
              <w:spacing w:after="0"/>
              <w:rPr>
                <w:sz w:val="1"/>
                <w:szCs w:val="1"/>
                <w:color w:val="auto"/>
              </w:rPr>
            </w:pPr>
          </w:p>
        </w:tc>
      </w:tr>
      <w:tr>
        <w:trPr>
          <w:trHeight w:val="230"/>
        </w:trPr>
        <w:tc>
          <w:tcPr>
            <w:tcW w:w="2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Marketplaces</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36,995,022</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13.5 %</w:t>
            </w: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8.5 %</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34,841,714</w:t>
            </w:r>
          </w:p>
        </w:tc>
        <w:tc>
          <w:tcPr>
            <w:tcW w:w="40" w:type="dxa"/>
            <w:vAlign w:val="bottom"/>
            <w:shd w:val="clear" w:color="auto" w:fill="CCEEFF"/>
          </w:tcPr>
          <w:p>
            <w:pPr>
              <w:spacing w:after="0"/>
              <w:rPr>
                <w:sz w:val="19"/>
                <w:szCs w:val="19"/>
                <w:color w:val="auto"/>
              </w:rPr>
            </w:pPr>
          </w:p>
        </w:tc>
        <w:tc>
          <w:tcPr>
            <w:tcW w:w="15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12.4 %</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11.6 %</w:t>
            </w:r>
          </w:p>
        </w:tc>
        <w:tc>
          <w:tcPr>
            <w:tcW w:w="0" w:type="dxa"/>
            <w:vAlign w:val="bottom"/>
          </w:tcPr>
          <w:p>
            <w:pPr>
              <w:spacing w:after="0"/>
              <w:rPr>
                <w:sz w:val="1"/>
                <w:szCs w:val="1"/>
                <w:color w:val="auto"/>
              </w:rPr>
            </w:pPr>
          </w:p>
        </w:tc>
      </w:tr>
      <w:tr>
        <w:trPr>
          <w:trHeight w:val="229"/>
        </w:trPr>
        <w:tc>
          <w:tcPr>
            <w:tcW w:w="2040" w:type="dxa"/>
            <w:vAlign w:val="bottom"/>
          </w:tcPr>
          <w:p>
            <w:pPr>
              <w:ind w:left="20"/>
              <w:spacing w:after="0"/>
              <w:rPr>
                <w:sz w:val="20"/>
                <w:szCs w:val="20"/>
                <w:color w:val="auto"/>
              </w:rPr>
            </w:pPr>
            <w:r>
              <w:rPr>
                <w:rFonts w:ascii="Arial" w:cs="Arial" w:eastAsia="Arial" w:hAnsi="Arial"/>
                <w:sz w:val="18"/>
                <w:szCs w:val="18"/>
                <w:color w:val="auto"/>
              </w:rPr>
              <w:t>Financial Technology</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35,108,381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12.7 %</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8.0 %</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25,614,522</w:t>
            </w:r>
          </w:p>
        </w:tc>
        <w:tc>
          <w:tcPr>
            <w:tcW w:w="40" w:type="dxa"/>
            <w:vAlign w:val="bottom"/>
          </w:tcPr>
          <w:p>
            <w:pPr>
              <w:spacing w:after="0"/>
              <w:rPr>
                <w:sz w:val="19"/>
                <w:szCs w:val="19"/>
                <w:color w:val="auto"/>
              </w:rPr>
            </w:pPr>
          </w:p>
        </w:tc>
        <w:tc>
          <w:tcPr>
            <w:tcW w:w="1540" w:type="dxa"/>
            <w:vAlign w:val="bottom"/>
            <w:gridSpan w:val="3"/>
          </w:tcPr>
          <w:p>
            <w:pPr>
              <w:jc w:val="right"/>
              <w:spacing w:after="0"/>
              <w:rPr>
                <w:sz w:val="20"/>
                <w:szCs w:val="20"/>
                <w:color w:val="auto"/>
              </w:rPr>
            </w:pPr>
            <w:r>
              <w:rPr>
                <w:rFonts w:ascii="Arial" w:cs="Arial" w:eastAsia="Arial" w:hAnsi="Arial"/>
                <w:sz w:val="18"/>
                <w:szCs w:val="18"/>
                <w:color w:val="auto"/>
              </w:rPr>
              <w:t>9.1 %</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60" w:type="dxa"/>
            <w:vAlign w:val="bottom"/>
            <w:gridSpan w:val="2"/>
          </w:tcPr>
          <w:p>
            <w:pPr>
              <w:jc w:val="right"/>
              <w:ind w:right="20"/>
              <w:spacing w:after="0"/>
              <w:rPr>
                <w:sz w:val="20"/>
                <w:szCs w:val="20"/>
                <w:color w:val="auto"/>
              </w:rPr>
            </w:pPr>
            <w:r>
              <w:rPr>
                <w:rFonts w:ascii="Arial" w:cs="Arial" w:eastAsia="Arial" w:hAnsi="Arial"/>
                <w:sz w:val="18"/>
                <w:szCs w:val="18"/>
                <w:color w:val="auto"/>
              </w:rPr>
              <w:t>8.5 %</w:t>
            </w:r>
          </w:p>
        </w:tc>
        <w:tc>
          <w:tcPr>
            <w:tcW w:w="0" w:type="dxa"/>
            <w:vAlign w:val="bottom"/>
          </w:tcPr>
          <w:p>
            <w:pPr>
              <w:spacing w:after="0"/>
              <w:rPr>
                <w:sz w:val="1"/>
                <w:szCs w:val="1"/>
                <w:color w:val="auto"/>
              </w:rPr>
            </w:pPr>
          </w:p>
        </w:tc>
      </w:tr>
      <w:tr>
        <w:trPr>
          <w:trHeight w:val="229"/>
        </w:trPr>
        <w:tc>
          <w:tcPr>
            <w:tcW w:w="2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Social/Mobile</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30,404,083</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11.0 %</w:t>
            </w: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7.0 %</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22,930,589</w:t>
            </w:r>
          </w:p>
        </w:tc>
        <w:tc>
          <w:tcPr>
            <w:tcW w:w="40" w:type="dxa"/>
            <w:vAlign w:val="bottom"/>
            <w:shd w:val="clear" w:color="auto" w:fill="CCEEFF"/>
          </w:tcPr>
          <w:p>
            <w:pPr>
              <w:spacing w:after="0"/>
              <w:rPr>
                <w:sz w:val="19"/>
                <w:szCs w:val="19"/>
                <w:color w:val="auto"/>
              </w:rPr>
            </w:pPr>
          </w:p>
        </w:tc>
        <w:tc>
          <w:tcPr>
            <w:tcW w:w="15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8.2 %</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7.6 %</w:t>
            </w:r>
          </w:p>
        </w:tc>
        <w:tc>
          <w:tcPr>
            <w:tcW w:w="0" w:type="dxa"/>
            <w:vAlign w:val="bottom"/>
          </w:tcPr>
          <w:p>
            <w:pPr>
              <w:spacing w:after="0"/>
              <w:rPr>
                <w:sz w:val="1"/>
                <w:szCs w:val="1"/>
                <w:color w:val="auto"/>
              </w:rPr>
            </w:pPr>
          </w:p>
        </w:tc>
      </w:tr>
      <w:tr>
        <w:trPr>
          <w:trHeight w:val="230"/>
        </w:trPr>
        <w:tc>
          <w:tcPr>
            <w:tcW w:w="2040" w:type="dxa"/>
            <w:vAlign w:val="bottom"/>
          </w:tcPr>
          <w:p>
            <w:pPr>
              <w:ind w:left="20"/>
              <w:spacing w:after="0"/>
              <w:rPr>
                <w:sz w:val="20"/>
                <w:szCs w:val="20"/>
                <w:color w:val="auto"/>
              </w:rPr>
            </w:pPr>
            <w:r>
              <w:rPr>
                <w:rFonts w:ascii="Arial" w:cs="Arial" w:eastAsia="Arial" w:hAnsi="Arial"/>
                <w:sz w:val="18"/>
                <w:szCs w:val="18"/>
                <w:color w:val="auto"/>
              </w:rPr>
              <w:t>Big Data/Cloud</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1,619,463</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0.6 %</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0.4 %</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97,186,162</w:t>
            </w:r>
          </w:p>
        </w:tc>
        <w:tc>
          <w:tcPr>
            <w:tcW w:w="40" w:type="dxa"/>
            <w:vAlign w:val="bottom"/>
          </w:tcPr>
          <w:p>
            <w:pPr>
              <w:spacing w:after="0"/>
              <w:rPr>
                <w:sz w:val="19"/>
                <w:szCs w:val="19"/>
                <w:color w:val="auto"/>
              </w:rPr>
            </w:pPr>
          </w:p>
        </w:tc>
        <w:tc>
          <w:tcPr>
            <w:tcW w:w="1540" w:type="dxa"/>
            <w:vAlign w:val="bottom"/>
            <w:gridSpan w:val="3"/>
          </w:tcPr>
          <w:p>
            <w:pPr>
              <w:jc w:val="right"/>
              <w:spacing w:after="0"/>
              <w:rPr>
                <w:sz w:val="20"/>
                <w:szCs w:val="20"/>
                <w:color w:val="auto"/>
              </w:rPr>
            </w:pPr>
            <w:r>
              <w:rPr>
                <w:rFonts w:ascii="Arial" w:cs="Arial" w:eastAsia="Arial" w:hAnsi="Arial"/>
                <w:sz w:val="18"/>
                <w:szCs w:val="18"/>
                <w:color w:val="auto"/>
              </w:rPr>
              <w:t>34.6 %</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60" w:type="dxa"/>
            <w:vAlign w:val="bottom"/>
            <w:gridSpan w:val="2"/>
          </w:tcPr>
          <w:p>
            <w:pPr>
              <w:jc w:val="right"/>
              <w:ind w:right="20"/>
              <w:spacing w:after="0"/>
              <w:rPr>
                <w:sz w:val="20"/>
                <w:szCs w:val="20"/>
                <w:color w:val="auto"/>
              </w:rPr>
            </w:pPr>
            <w:r>
              <w:rPr>
                <w:rFonts w:ascii="Arial" w:cs="Arial" w:eastAsia="Arial" w:hAnsi="Arial"/>
                <w:sz w:val="18"/>
                <w:szCs w:val="18"/>
                <w:color w:val="auto"/>
              </w:rPr>
              <w:t>32.1 %</w:t>
            </w:r>
          </w:p>
        </w:tc>
        <w:tc>
          <w:tcPr>
            <w:tcW w:w="0" w:type="dxa"/>
            <w:vAlign w:val="bottom"/>
          </w:tcPr>
          <w:p>
            <w:pPr>
              <w:spacing w:after="0"/>
              <w:rPr>
                <w:sz w:val="1"/>
                <w:szCs w:val="1"/>
                <w:color w:val="auto"/>
              </w:rPr>
            </w:pPr>
          </w:p>
        </w:tc>
      </w:tr>
      <w:tr>
        <w:trPr>
          <w:trHeight w:val="229"/>
        </w:trPr>
        <w:tc>
          <w:tcPr>
            <w:tcW w:w="2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Sustainability</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914,198</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0.3 %</w:t>
            </w: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0.2 %</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809,198</w:t>
            </w:r>
          </w:p>
        </w:tc>
        <w:tc>
          <w:tcPr>
            <w:tcW w:w="40" w:type="dxa"/>
            <w:vAlign w:val="bottom"/>
            <w:shd w:val="clear" w:color="auto" w:fill="CCEEFF"/>
          </w:tcPr>
          <w:p>
            <w:pPr>
              <w:spacing w:after="0"/>
              <w:rPr>
                <w:sz w:val="19"/>
                <w:szCs w:val="19"/>
                <w:color w:val="auto"/>
              </w:rPr>
            </w:pPr>
          </w:p>
        </w:tc>
        <w:tc>
          <w:tcPr>
            <w:tcW w:w="15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0.3 %</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0.3 %</w:t>
            </w:r>
          </w:p>
        </w:tc>
        <w:tc>
          <w:tcPr>
            <w:tcW w:w="0" w:type="dxa"/>
            <w:vAlign w:val="bottom"/>
          </w:tcPr>
          <w:p>
            <w:pPr>
              <w:spacing w:after="0"/>
              <w:rPr>
                <w:sz w:val="1"/>
                <w:szCs w:val="1"/>
                <w:color w:val="auto"/>
              </w:rPr>
            </w:pPr>
          </w:p>
        </w:tc>
      </w:tr>
      <w:tr>
        <w:trPr>
          <w:trHeight w:val="223"/>
        </w:trPr>
        <w:tc>
          <w:tcPr>
            <w:tcW w:w="2040" w:type="dxa"/>
            <w:vAlign w:val="bottom"/>
          </w:tcPr>
          <w:p>
            <w:pPr>
              <w:ind w:left="20"/>
              <w:spacing w:after="0"/>
              <w:rPr>
                <w:sz w:val="20"/>
                <w:szCs w:val="20"/>
                <w:color w:val="auto"/>
              </w:rPr>
            </w:pPr>
            <w:r>
              <w:rPr>
                <w:rFonts w:ascii="Arial" w:cs="Arial" w:eastAsia="Arial" w:hAnsi="Arial"/>
                <w:sz w:val="18"/>
                <w:szCs w:val="18"/>
                <w:b w:val="1"/>
                <w:bCs w:val="1"/>
                <w:color w:val="auto"/>
              </w:rPr>
              <w:t>Total</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2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275,842,451</w:t>
            </w: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100.0 %</w:t>
            </w:r>
          </w:p>
        </w:tc>
        <w:tc>
          <w:tcPr>
            <w:tcW w:w="120" w:type="dxa"/>
            <w:vAlign w:val="bottom"/>
          </w:tcPr>
          <w:p>
            <w:pPr>
              <w:spacing w:after="0"/>
              <w:rPr>
                <w:sz w:val="19"/>
                <w:szCs w:val="19"/>
                <w:color w:val="auto"/>
              </w:rPr>
            </w:pPr>
          </w:p>
        </w:tc>
        <w:tc>
          <w:tcPr>
            <w:tcW w:w="4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63.3 %</w:t>
            </w:r>
          </w:p>
        </w:tc>
        <w:tc>
          <w:tcPr>
            <w:tcW w:w="120" w:type="dxa"/>
            <w:vAlign w:val="bottom"/>
          </w:tcPr>
          <w:p>
            <w:pPr>
              <w:spacing w:after="0"/>
              <w:rPr>
                <w:sz w:val="19"/>
                <w:szCs w:val="19"/>
                <w:color w:val="auto"/>
              </w:rPr>
            </w:pPr>
          </w:p>
        </w:tc>
        <w:tc>
          <w:tcPr>
            <w:tcW w:w="280" w:type="dxa"/>
            <w:vAlign w:val="bottom"/>
            <w:tcBorders>
              <w:top w:val="single" w:sz="8" w:color="auto"/>
              <w:bottom w:val="single" w:sz="8" w:color="auto"/>
            </w:tcBorders>
            <w:gridSpan w:val="2"/>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280,779,774</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100.0 %</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146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93.1 %</w:t>
            </w:r>
          </w:p>
        </w:tc>
        <w:tc>
          <w:tcPr>
            <w:tcW w:w="0" w:type="dxa"/>
            <w:vAlign w:val="bottom"/>
          </w:tcPr>
          <w:p>
            <w:pPr>
              <w:spacing w:after="0"/>
              <w:rPr>
                <w:sz w:val="1"/>
                <w:szCs w:val="1"/>
                <w:color w:val="auto"/>
              </w:rPr>
            </w:pPr>
          </w:p>
        </w:tc>
      </w:tr>
      <w:tr>
        <w:trPr>
          <w:trHeight w:val="20"/>
        </w:trPr>
        <w:tc>
          <w:tcPr>
            <w:tcW w:w="20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11240"/>
          </w:cols>
          <w:pgMar w:left="320" w:top="121" w:right="339" w:bottom="1440" w:gutter="0" w:footer="0" w:header="0"/>
          <w:type w:val="continuous"/>
        </w:sectPr>
      </w:pPr>
    </w:p>
    <w:bookmarkStart w:id="30" w:name="page31"/>
    <w:bookmarkEnd w:id="3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87"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SURO CAPITAL CORP. AND SUBSIDIARIES</w:t>
      </w:r>
    </w:p>
    <w:p>
      <w:pPr>
        <w:spacing w:after="0" w:line="252" w:lineRule="exact"/>
        <w:rPr>
          <w:sz w:val="20"/>
          <w:szCs w:val="20"/>
          <w:color w:val="auto"/>
        </w:rPr>
      </w:pPr>
    </w:p>
    <w:p>
      <w:pPr>
        <w:jc w:val="center"/>
        <w:ind w:right="-1100"/>
        <w:spacing w:after="0"/>
        <w:rPr>
          <w:sz w:val="20"/>
          <w:szCs w:val="20"/>
          <w:color w:val="auto"/>
        </w:rPr>
      </w:pPr>
      <w:r>
        <w:rPr>
          <w:rFonts w:ascii="Arial" w:cs="Arial" w:eastAsia="Arial" w:hAnsi="Arial"/>
          <w:sz w:val="17"/>
          <w:szCs w:val="17"/>
          <w:b w:val="1"/>
          <w:bCs w:val="1"/>
          <w:color w:val="auto"/>
        </w:rPr>
        <w:t>NOTES TO CONDENSED CONSOLIDATED FINANCIAL STATEMENTS</w:t>
      </w:r>
    </w:p>
    <w:p>
      <w:pPr>
        <w:spacing w:after="0" w:line="39"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March 31, 2021</w:t>
      </w:r>
    </w:p>
    <w:p>
      <w:pPr>
        <w:spacing w:after="0" w:line="400" w:lineRule="exact"/>
        <w:rPr>
          <w:sz w:val="20"/>
          <w:szCs w:val="20"/>
          <w:color w:val="auto"/>
        </w:rPr>
      </w:pPr>
    </w:p>
    <w:p>
      <w:pPr>
        <w:spacing w:after="0"/>
        <w:rPr>
          <w:sz w:val="20"/>
          <w:szCs w:val="20"/>
          <w:color w:val="auto"/>
        </w:rPr>
      </w:pPr>
      <w:r>
        <w:rPr>
          <w:rFonts w:ascii="Arial" w:cs="Arial" w:eastAsia="Arial" w:hAnsi="Arial"/>
          <w:sz w:val="17"/>
          <w:szCs w:val="17"/>
          <w:color w:val="auto"/>
        </w:rPr>
        <w:t>The table below details the composition of the Company’s industrial themes presented in the preceding tables:</w:t>
      </w:r>
    </w:p>
    <w:p>
      <w:pPr>
        <w:sectPr>
          <w:pgSz w:w="11900" w:h="16838" w:orient="portrait"/>
          <w:cols w:equalWidth="0" w:num="1">
            <w:col w:w="10139"/>
          </w:cols>
          <w:pgMar w:left="320" w:top="121" w:right="1440" w:bottom="1440" w:gutter="0" w:footer="0" w:header="0"/>
        </w:sectPr>
      </w:pPr>
    </w:p>
    <w:p>
      <w:pPr>
        <w:spacing w:after="0" w:line="147"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Industry Theme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228028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280285" cy="8890"/>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Arial" w:cs="Arial" w:eastAsia="Arial" w:hAnsi="Arial"/>
          <w:sz w:val="16"/>
          <w:szCs w:val="16"/>
          <w:color w:val="auto"/>
        </w:rPr>
        <w:t>Education Technology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758190</wp:posOffset>
            </wp:positionV>
            <wp:extent cx="228028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28028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20"/>
        <w:spacing w:after="0"/>
        <w:rPr>
          <w:sz w:val="20"/>
          <w:szCs w:val="20"/>
          <w:color w:val="auto"/>
        </w:rPr>
      </w:pPr>
      <w:r>
        <w:rPr>
          <w:rFonts w:ascii="Arial" w:cs="Arial" w:eastAsia="Arial" w:hAnsi="Arial"/>
          <w:sz w:val="18"/>
          <w:szCs w:val="18"/>
          <w:color w:val="auto"/>
        </w:rPr>
        <w:t>Big Data/Cloud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28028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280285" cy="8890"/>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Marketplaces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1035050</wp:posOffset>
            </wp:positionV>
            <wp:extent cx="228028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28028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20"/>
        <w:spacing w:after="0"/>
        <w:rPr>
          <w:sz w:val="20"/>
          <w:szCs w:val="20"/>
          <w:color w:val="auto"/>
        </w:rPr>
      </w:pPr>
      <w:r>
        <w:rPr>
          <w:rFonts w:ascii="Arial" w:cs="Arial" w:eastAsia="Arial" w:hAnsi="Arial"/>
          <w:sz w:val="17"/>
          <w:szCs w:val="17"/>
          <w:color w:val="auto"/>
        </w:rPr>
        <w:t>Financial Technology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605155</wp:posOffset>
            </wp:positionV>
            <wp:extent cx="228028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28028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20"/>
        <w:spacing w:after="0"/>
        <w:rPr>
          <w:sz w:val="20"/>
          <w:szCs w:val="20"/>
          <w:color w:val="auto"/>
        </w:rPr>
      </w:pPr>
      <w:r>
        <w:rPr>
          <w:rFonts w:ascii="Arial" w:cs="Arial" w:eastAsia="Arial" w:hAnsi="Arial"/>
          <w:sz w:val="18"/>
          <w:szCs w:val="18"/>
          <w:color w:val="auto"/>
        </w:rPr>
        <w:t>Social/Mobile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452120</wp:posOffset>
            </wp:positionV>
            <wp:extent cx="228028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28028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20"/>
        <w:spacing w:after="0"/>
        <w:rPr>
          <w:sz w:val="20"/>
          <w:szCs w:val="20"/>
          <w:color w:val="auto"/>
        </w:rPr>
      </w:pPr>
      <w:r>
        <w:rPr>
          <w:rFonts w:ascii="Arial" w:cs="Arial" w:eastAsia="Arial" w:hAnsi="Arial"/>
          <w:sz w:val="18"/>
          <w:szCs w:val="18"/>
          <w:color w:val="auto"/>
        </w:rPr>
        <w:t>Sustainability</w:t>
      </w:r>
    </w:p>
    <w:p>
      <w:pPr>
        <w:spacing w:after="0" w:line="20" w:lineRule="exact"/>
        <w:rPr>
          <w:sz w:val="20"/>
          <w:szCs w:val="20"/>
          <w:color w:val="auto"/>
        </w:rPr>
      </w:pPr>
      <w:r>
        <w:rPr>
          <w:sz w:val="20"/>
          <w:szCs w:val="20"/>
          <w:color w:val="auto"/>
        </w:rPr>
        <w:br w:type="column"/>
      </w:r>
    </w:p>
    <w:p>
      <w:pPr>
        <w:spacing w:after="0" w:line="12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Industry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23495</wp:posOffset>
            </wp:positionV>
            <wp:extent cx="478345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4783455" cy="8890"/>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Business Education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Computer Software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Corporate Education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Education Software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Interactive Learning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Online Education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14605</wp:posOffset>
            </wp:positionV>
            <wp:extent cx="478345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4783455" cy="8255"/>
                    </a:xfrm>
                    <a:prstGeom prst="rect">
                      <a:avLst/>
                    </a:prstGeom>
                    <a:noFill/>
                  </pic:spPr>
                </pic:pic>
              </a:graphicData>
            </a:graphic>
          </wp:anchor>
        </w:drawing>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Data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14605</wp:posOffset>
            </wp:positionV>
            <wp:extent cx="478345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478345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Global Innovation Platform</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Knowledge Networks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Micromobility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On-Demand Commerce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Peer-to-Peer Pet Services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Pharmaceutical Technology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Real Estate Platform</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Subscription Fashion Rental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14605</wp:posOffset>
            </wp:positionV>
            <wp:extent cx="478345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4783455" cy="8255"/>
                    </a:xfrm>
                    <a:prstGeom prst="rect">
                      <a:avLst/>
                    </a:prstGeom>
                    <a:noFill/>
                  </pic:spPr>
                </pic:pic>
              </a:graphicData>
            </a:graphic>
          </wp:anchor>
        </w:drawing>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Cannabis REIT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Home Improvement Finance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Mobile Finance Technology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Online Marketplace Finance</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Special Purpose Acquisition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29210</wp:posOffset>
            </wp:positionV>
            <wp:extent cx="478345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4783455" cy="8255"/>
                    </a:xfrm>
                    <a:prstGeom prst="rect">
                      <a:avLst/>
                    </a:prstGeom>
                    <a:noFill/>
                  </pic:spPr>
                </pic:pic>
              </a:graphicData>
            </a:graphic>
          </wp:anchor>
        </w:drawing>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Digital Media Platform</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Interactive Media &amp; Services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Social Data Platform</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Social Networking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14605</wp:posOffset>
            </wp:positionV>
            <wp:extent cx="478345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4783455" cy="8255"/>
                    </a:xfrm>
                    <a:prstGeom prst="rect">
                      <a:avLst/>
                    </a:prstGeom>
                    <a:noFill/>
                  </pic:spPr>
                </pic:pic>
              </a:graphicData>
            </a:graphic>
          </wp:anchor>
        </w:drawing>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Clean Technology</w:t>
      </w:r>
    </w:p>
    <w:p>
      <w:pPr>
        <w:spacing w:after="0" w:line="200" w:lineRule="exact"/>
        <w:rPr>
          <w:sz w:val="20"/>
          <w:szCs w:val="20"/>
          <w:color w:val="auto"/>
        </w:rPr>
      </w:pPr>
    </w:p>
    <w:p>
      <w:pPr>
        <w:sectPr>
          <w:pgSz w:w="11900" w:h="16838" w:orient="portrait"/>
          <w:cols w:equalWidth="0" w:num="2">
            <w:col w:w="3000" w:space="720"/>
            <w:col w:w="6419"/>
          </w:cols>
          <w:pgMar w:left="320" w:top="121"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29</w:t>
      </w:r>
    </w:p>
    <w:p>
      <w:pPr>
        <w:sectPr>
          <w:pgSz w:w="11900" w:h="16838" w:orient="portrait"/>
          <w:cols w:equalWidth="0" w:num="1">
            <w:col w:w="10139"/>
          </w:cols>
          <w:pgMar w:left="320" w:top="121" w:right="1440" w:bottom="1440" w:gutter="0" w:footer="0" w:header="0"/>
          <w:type w:val="continuous"/>
        </w:sectPr>
      </w:pPr>
    </w:p>
    <w:bookmarkStart w:id="31" w:name="page32"/>
    <w:bookmarkEnd w:id="3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SURO CAPITAL CORP. AND SUBSIDIARIES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March 31, 2021</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Valuation Inputs</w:t>
      </w:r>
    </w:p>
    <w:p>
      <w:pPr>
        <w:spacing w:after="0" w:line="256" w:lineRule="exact"/>
        <w:rPr>
          <w:sz w:val="20"/>
          <w:szCs w:val="20"/>
          <w:color w:val="auto"/>
        </w:rPr>
      </w:pPr>
    </w:p>
    <w:p>
      <w:pPr>
        <w:ind w:firstLine="364"/>
        <w:spacing w:after="0" w:line="277" w:lineRule="auto"/>
        <w:rPr>
          <w:sz w:val="20"/>
          <w:szCs w:val="20"/>
          <w:color w:val="auto"/>
        </w:rPr>
      </w:pPr>
      <w:r>
        <w:rPr>
          <w:rFonts w:ascii="Arial" w:cs="Arial" w:eastAsia="Arial" w:hAnsi="Arial"/>
          <w:sz w:val="18"/>
          <w:szCs w:val="18"/>
          <w:color w:val="auto"/>
        </w:rPr>
        <w:t>The fair values of the Company’s investments disaggregated into the three levels of the fair value hierarchy based upon the lowest level of significant input used in the valuation as of March 31, 2021 and December 31, 2020 are as follows: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3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300" w:type="dxa"/>
            <w:vAlign w:val="bottom"/>
            <w:tcBorders>
              <w:bottom w:val="single" w:sz="8" w:color="auto"/>
            </w:tcBorders>
            <w:gridSpan w:val="5"/>
          </w:tcPr>
          <w:p>
            <w:pPr>
              <w:jc w:val="center"/>
              <w:ind w:right="280"/>
              <w:spacing w:after="0"/>
              <w:rPr>
                <w:sz w:val="20"/>
                <w:szCs w:val="20"/>
                <w:color w:val="auto"/>
              </w:rPr>
            </w:pPr>
            <w:r>
              <w:rPr>
                <w:rFonts w:ascii="Arial" w:cs="Arial" w:eastAsia="Arial" w:hAnsi="Arial"/>
                <w:sz w:val="14"/>
                <w:szCs w:val="14"/>
                <w:b w:val="1"/>
                <w:bCs w:val="1"/>
                <w:color w:val="auto"/>
                <w:w w:val="93"/>
              </w:rPr>
              <w:t>As of March 31, 2021</w:t>
            </w:r>
          </w:p>
        </w:tc>
        <w:tc>
          <w:tcPr>
            <w:tcW w:w="4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4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580" w:type="dxa"/>
            <w:vAlign w:val="bottom"/>
            <w:gridSpan w:val="3"/>
          </w:tcPr>
          <w:p>
            <w:pPr>
              <w:jc w:val="center"/>
              <w:ind w:right="280"/>
              <w:spacing w:after="0" w:line="135" w:lineRule="exact"/>
              <w:rPr>
                <w:sz w:val="20"/>
                <w:szCs w:val="20"/>
                <w:color w:val="auto"/>
              </w:rPr>
            </w:pPr>
            <w:r>
              <w:rPr>
                <w:rFonts w:ascii="Arial" w:cs="Arial" w:eastAsia="Arial" w:hAnsi="Arial"/>
                <w:sz w:val="14"/>
                <w:szCs w:val="14"/>
                <w:b w:val="1"/>
                <w:bCs w:val="1"/>
                <w:color w:val="auto"/>
                <w:w w:val="91"/>
              </w:rPr>
              <w:t>Quoted Prices in</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560" w:type="dxa"/>
            <w:vAlign w:val="bottom"/>
            <w:gridSpan w:val="2"/>
          </w:tcPr>
          <w:p>
            <w:pPr>
              <w:jc w:val="center"/>
              <w:ind w:right="320"/>
              <w:spacing w:after="0" w:line="135" w:lineRule="exact"/>
              <w:rPr>
                <w:sz w:val="20"/>
                <w:szCs w:val="20"/>
                <w:color w:val="auto"/>
              </w:rPr>
            </w:pPr>
            <w:r>
              <w:rPr>
                <w:rFonts w:ascii="Arial" w:cs="Arial" w:eastAsia="Arial" w:hAnsi="Arial"/>
                <w:sz w:val="14"/>
                <w:szCs w:val="14"/>
                <w:b w:val="1"/>
                <w:bCs w:val="1"/>
                <w:color w:val="auto"/>
                <w:w w:val="95"/>
              </w:rPr>
              <w:t>Significant Other</w:t>
            </w:r>
          </w:p>
        </w:tc>
        <w:tc>
          <w:tcPr>
            <w:tcW w:w="240" w:type="dxa"/>
            <w:vAlign w:val="bottom"/>
          </w:tcPr>
          <w:p>
            <w:pPr>
              <w:spacing w:after="0"/>
              <w:rPr>
                <w:sz w:val="11"/>
                <w:szCs w:val="11"/>
                <w:color w:val="auto"/>
              </w:rPr>
            </w:pPr>
          </w:p>
        </w:tc>
        <w:tc>
          <w:tcPr>
            <w:tcW w:w="1500" w:type="dxa"/>
            <w:vAlign w:val="bottom"/>
            <w:gridSpan w:val="2"/>
          </w:tcPr>
          <w:p>
            <w:pPr>
              <w:jc w:val="center"/>
              <w:ind w:right="360"/>
              <w:spacing w:after="0" w:line="135" w:lineRule="exact"/>
              <w:rPr>
                <w:sz w:val="20"/>
                <w:szCs w:val="20"/>
                <w:color w:val="auto"/>
              </w:rPr>
            </w:pPr>
            <w:r>
              <w:rPr>
                <w:rFonts w:ascii="Arial" w:cs="Arial" w:eastAsia="Arial" w:hAnsi="Arial"/>
                <w:sz w:val="14"/>
                <w:szCs w:val="14"/>
                <w:b w:val="1"/>
                <w:bCs w:val="1"/>
                <w:color w:val="auto"/>
                <w:w w:val="92"/>
              </w:rPr>
              <w:t>Significant</w:t>
            </w:r>
          </w:p>
        </w:tc>
        <w:tc>
          <w:tcPr>
            <w:tcW w:w="4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580" w:type="dxa"/>
            <w:vAlign w:val="bottom"/>
            <w:gridSpan w:val="3"/>
          </w:tcPr>
          <w:p>
            <w:pPr>
              <w:jc w:val="center"/>
              <w:ind w:right="280"/>
              <w:spacing w:after="0" w:line="135" w:lineRule="exact"/>
              <w:rPr>
                <w:sz w:val="20"/>
                <w:szCs w:val="20"/>
                <w:color w:val="auto"/>
              </w:rPr>
            </w:pPr>
            <w:r>
              <w:rPr>
                <w:rFonts w:ascii="Arial" w:cs="Arial" w:eastAsia="Arial" w:hAnsi="Arial"/>
                <w:sz w:val="14"/>
                <w:szCs w:val="14"/>
                <w:b w:val="1"/>
                <w:bCs w:val="1"/>
                <w:color w:val="auto"/>
                <w:w w:val="97"/>
              </w:rPr>
              <w:t>Active Markets for</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560" w:type="dxa"/>
            <w:vAlign w:val="bottom"/>
            <w:gridSpan w:val="2"/>
          </w:tcPr>
          <w:p>
            <w:pPr>
              <w:jc w:val="center"/>
              <w:ind w:right="320"/>
              <w:spacing w:after="0" w:line="135" w:lineRule="exact"/>
              <w:rPr>
                <w:sz w:val="20"/>
                <w:szCs w:val="20"/>
                <w:color w:val="auto"/>
              </w:rPr>
            </w:pPr>
            <w:r>
              <w:rPr>
                <w:rFonts w:ascii="Arial" w:cs="Arial" w:eastAsia="Arial" w:hAnsi="Arial"/>
                <w:sz w:val="14"/>
                <w:szCs w:val="14"/>
                <w:b w:val="1"/>
                <w:bCs w:val="1"/>
                <w:color w:val="auto"/>
                <w:w w:val="94"/>
              </w:rPr>
              <w:t>Observable</w:t>
            </w:r>
          </w:p>
        </w:tc>
        <w:tc>
          <w:tcPr>
            <w:tcW w:w="240" w:type="dxa"/>
            <w:vAlign w:val="bottom"/>
          </w:tcPr>
          <w:p>
            <w:pPr>
              <w:spacing w:after="0"/>
              <w:rPr>
                <w:sz w:val="11"/>
                <w:szCs w:val="11"/>
                <w:color w:val="auto"/>
              </w:rPr>
            </w:pPr>
          </w:p>
        </w:tc>
        <w:tc>
          <w:tcPr>
            <w:tcW w:w="1500" w:type="dxa"/>
            <w:vAlign w:val="bottom"/>
            <w:gridSpan w:val="2"/>
          </w:tcPr>
          <w:p>
            <w:pPr>
              <w:jc w:val="center"/>
              <w:ind w:right="340"/>
              <w:spacing w:after="0" w:line="135" w:lineRule="exact"/>
              <w:rPr>
                <w:sz w:val="20"/>
                <w:szCs w:val="20"/>
                <w:color w:val="auto"/>
              </w:rPr>
            </w:pPr>
            <w:r>
              <w:rPr>
                <w:rFonts w:ascii="Arial" w:cs="Arial" w:eastAsia="Arial" w:hAnsi="Arial"/>
                <w:sz w:val="14"/>
                <w:szCs w:val="14"/>
                <w:b w:val="1"/>
                <w:bCs w:val="1"/>
                <w:color w:val="auto"/>
                <w:w w:val="90"/>
              </w:rPr>
              <w:t>Unobservable</w:t>
            </w:r>
          </w:p>
        </w:tc>
        <w:tc>
          <w:tcPr>
            <w:tcW w:w="4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580" w:type="dxa"/>
            <w:vAlign w:val="bottom"/>
            <w:gridSpan w:val="3"/>
          </w:tcPr>
          <w:p>
            <w:pPr>
              <w:jc w:val="center"/>
              <w:ind w:right="280"/>
              <w:spacing w:after="0" w:line="135" w:lineRule="exact"/>
              <w:rPr>
                <w:sz w:val="20"/>
                <w:szCs w:val="20"/>
                <w:color w:val="auto"/>
              </w:rPr>
            </w:pPr>
            <w:r>
              <w:rPr>
                <w:rFonts w:ascii="Arial" w:cs="Arial" w:eastAsia="Arial" w:hAnsi="Arial"/>
                <w:sz w:val="14"/>
                <w:szCs w:val="14"/>
                <w:b w:val="1"/>
                <w:bCs w:val="1"/>
                <w:color w:val="auto"/>
                <w:w w:val="92"/>
              </w:rPr>
              <w:t>Identical Securities</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560" w:type="dxa"/>
            <w:vAlign w:val="bottom"/>
            <w:gridSpan w:val="2"/>
          </w:tcPr>
          <w:p>
            <w:pPr>
              <w:jc w:val="center"/>
              <w:ind w:right="320"/>
              <w:spacing w:after="0" w:line="135" w:lineRule="exact"/>
              <w:rPr>
                <w:sz w:val="20"/>
                <w:szCs w:val="20"/>
                <w:color w:val="auto"/>
              </w:rPr>
            </w:pPr>
            <w:r>
              <w:rPr>
                <w:rFonts w:ascii="Arial" w:cs="Arial" w:eastAsia="Arial" w:hAnsi="Arial"/>
                <w:sz w:val="14"/>
                <w:szCs w:val="14"/>
                <w:b w:val="1"/>
                <w:bCs w:val="1"/>
                <w:color w:val="auto"/>
                <w:w w:val="95"/>
              </w:rPr>
              <w:t>Inputs</w:t>
            </w:r>
          </w:p>
        </w:tc>
        <w:tc>
          <w:tcPr>
            <w:tcW w:w="240" w:type="dxa"/>
            <w:vAlign w:val="bottom"/>
          </w:tcPr>
          <w:p>
            <w:pPr>
              <w:spacing w:after="0"/>
              <w:rPr>
                <w:sz w:val="11"/>
                <w:szCs w:val="11"/>
                <w:color w:val="auto"/>
              </w:rPr>
            </w:pPr>
          </w:p>
        </w:tc>
        <w:tc>
          <w:tcPr>
            <w:tcW w:w="1500" w:type="dxa"/>
            <w:vAlign w:val="bottom"/>
            <w:gridSpan w:val="2"/>
          </w:tcPr>
          <w:p>
            <w:pPr>
              <w:jc w:val="center"/>
              <w:ind w:right="340"/>
              <w:spacing w:after="0" w:line="135" w:lineRule="exact"/>
              <w:rPr>
                <w:sz w:val="20"/>
                <w:szCs w:val="20"/>
                <w:color w:val="auto"/>
              </w:rPr>
            </w:pPr>
            <w:r>
              <w:rPr>
                <w:rFonts w:ascii="Arial" w:cs="Arial" w:eastAsia="Arial" w:hAnsi="Arial"/>
                <w:sz w:val="14"/>
                <w:szCs w:val="14"/>
                <w:b w:val="1"/>
                <w:bCs w:val="1"/>
                <w:color w:val="auto"/>
                <w:w w:val="95"/>
              </w:rPr>
              <w:t>Inputs</w:t>
            </w:r>
          </w:p>
        </w:tc>
        <w:tc>
          <w:tcPr>
            <w:tcW w:w="400" w:type="dxa"/>
            <w:vAlign w:val="bottom"/>
          </w:tcPr>
          <w:p>
            <w:pPr>
              <w:spacing w:after="0"/>
              <w:rPr>
                <w:sz w:val="11"/>
                <w:szCs w:val="11"/>
                <w:color w:val="auto"/>
              </w:rPr>
            </w:pPr>
          </w:p>
        </w:tc>
        <w:tc>
          <w:tcPr>
            <w:tcW w:w="1260" w:type="dxa"/>
            <w:vAlign w:val="bottom"/>
            <w:vMerge w:val="restart"/>
          </w:tcPr>
          <w:p>
            <w:pPr>
              <w:jc w:val="right"/>
              <w:ind w:right="59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4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8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4"/>
              </w:rPr>
              <w:t>(Level 1)</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(Level 2)</w:t>
            </w:r>
          </w:p>
        </w:tc>
        <w:tc>
          <w:tcPr>
            <w:tcW w:w="240" w:type="dxa"/>
            <w:vAlign w:val="bottom"/>
          </w:tcPr>
          <w:p>
            <w:pPr>
              <w:spacing w:after="0"/>
              <w:rPr>
                <w:sz w:val="16"/>
                <w:szCs w:val="16"/>
                <w:color w:val="auto"/>
              </w:rPr>
            </w:pPr>
          </w:p>
        </w:tc>
        <w:tc>
          <w:tcPr>
            <w:tcW w:w="15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4"/>
              </w:rPr>
              <w:t>(Level 3)</w:t>
            </w:r>
          </w:p>
        </w:tc>
        <w:tc>
          <w:tcPr>
            <w:tcW w:w="400" w:type="dxa"/>
            <w:vAlign w:val="bottom"/>
          </w:tcPr>
          <w:p>
            <w:pPr>
              <w:spacing w:after="0"/>
              <w:rPr>
                <w:sz w:val="16"/>
                <w:szCs w:val="16"/>
                <w:color w:val="auto"/>
              </w:rPr>
            </w:pPr>
          </w:p>
        </w:tc>
        <w:tc>
          <w:tcPr>
            <w:tcW w:w="12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4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Investments at Fair Value</w:t>
            </w:r>
          </w:p>
        </w:tc>
        <w:tc>
          <w:tcPr>
            <w:tcW w:w="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320" w:type="dxa"/>
            <w:vAlign w:val="bottom"/>
          </w:tcPr>
          <w:p>
            <w:pPr>
              <w:ind w:left="20"/>
              <w:spacing w:after="0"/>
              <w:rPr>
                <w:sz w:val="20"/>
                <w:szCs w:val="20"/>
                <w:color w:val="auto"/>
              </w:rPr>
            </w:pPr>
            <w:r>
              <w:rPr>
                <w:rFonts w:ascii="Arial" w:cs="Arial" w:eastAsia="Arial" w:hAnsi="Arial"/>
                <w:sz w:val="18"/>
                <w:szCs w:val="18"/>
                <w:b w:val="1"/>
                <w:bCs w:val="1"/>
                <w:color w:val="auto"/>
              </w:rPr>
              <w:t>Private Portfolio Companies</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Preferred Stock</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gridSpan w:val="3"/>
            <w:shd w:val="clear" w:color="auto" w:fill="CCEEFF"/>
          </w:tcPr>
          <w:p>
            <w:pPr>
              <w:ind w:left="122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92,992,910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92,992,910</w:t>
            </w:r>
          </w:p>
        </w:tc>
        <w:tc>
          <w:tcPr>
            <w:tcW w:w="0" w:type="dxa"/>
            <w:vAlign w:val="bottom"/>
          </w:tcPr>
          <w:p>
            <w:pPr>
              <w:spacing w:after="0"/>
              <w:rPr>
                <w:sz w:val="1"/>
                <w:szCs w:val="1"/>
                <w:color w:val="auto"/>
              </w:rPr>
            </w:pPr>
          </w:p>
        </w:tc>
      </w:tr>
      <w:tr>
        <w:trPr>
          <w:trHeight w:val="230"/>
        </w:trPr>
        <w:tc>
          <w:tcPr>
            <w:tcW w:w="4320" w:type="dxa"/>
            <w:vAlign w:val="bottom"/>
          </w:tcPr>
          <w:p>
            <w:pPr>
              <w:ind w:left="140"/>
              <w:spacing w:after="0"/>
              <w:rPr>
                <w:sz w:val="20"/>
                <w:szCs w:val="20"/>
                <w:color w:val="auto"/>
              </w:rPr>
            </w:pPr>
            <w:r>
              <w:rPr>
                <w:rFonts w:ascii="Arial" w:cs="Arial" w:eastAsia="Arial" w:hAnsi="Arial"/>
                <w:sz w:val="18"/>
                <w:szCs w:val="18"/>
                <w:color w:val="auto"/>
              </w:rPr>
              <w:t>Common Stock</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80" w:type="dxa"/>
            <w:vAlign w:val="bottom"/>
            <w:gridSpan w:val="3"/>
          </w:tcPr>
          <w:p>
            <w:pPr>
              <w:ind w:left="1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45,159,739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45,159,739</w:t>
            </w:r>
          </w:p>
        </w:tc>
        <w:tc>
          <w:tcPr>
            <w:tcW w:w="0" w:type="dxa"/>
            <w:vAlign w:val="bottom"/>
          </w:tcPr>
          <w:p>
            <w:pPr>
              <w:spacing w:after="0"/>
              <w:rPr>
                <w:sz w:val="1"/>
                <w:szCs w:val="1"/>
                <w:color w:val="auto"/>
              </w:rPr>
            </w:pPr>
          </w:p>
        </w:tc>
      </w:tr>
      <w:tr>
        <w:trPr>
          <w:trHeight w:val="229"/>
        </w:trPr>
        <w:tc>
          <w:tcPr>
            <w:tcW w:w="4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Debt Investments</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80" w:type="dxa"/>
            <w:vAlign w:val="bottom"/>
            <w:gridSpan w:val="3"/>
            <w:shd w:val="clear" w:color="auto" w:fill="CCEEFF"/>
          </w:tcPr>
          <w:p>
            <w:pPr>
              <w:ind w:left="1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4,595,340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4,595,340</w:t>
            </w:r>
          </w:p>
        </w:tc>
        <w:tc>
          <w:tcPr>
            <w:tcW w:w="0" w:type="dxa"/>
            <w:vAlign w:val="bottom"/>
          </w:tcPr>
          <w:p>
            <w:pPr>
              <w:spacing w:after="0"/>
              <w:rPr>
                <w:sz w:val="1"/>
                <w:szCs w:val="1"/>
                <w:color w:val="auto"/>
              </w:rPr>
            </w:pPr>
          </w:p>
        </w:tc>
      </w:tr>
      <w:tr>
        <w:trPr>
          <w:trHeight w:val="230"/>
        </w:trPr>
        <w:tc>
          <w:tcPr>
            <w:tcW w:w="4320" w:type="dxa"/>
            <w:vAlign w:val="bottom"/>
          </w:tcPr>
          <w:p>
            <w:pPr>
              <w:ind w:left="140"/>
              <w:spacing w:after="0"/>
              <w:rPr>
                <w:sz w:val="20"/>
                <w:szCs w:val="20"/>
                <w:color w:val="auto"/>
              </w:rPr>
            </w:pPr>
            <w:r>
              <w:rPr>
                <w:rFonts w:ascii="Arial" w:cs="Arial" w:eastAsia="Arial" w:hAnsi="Arial"/>
                <w:sz w:val="18"/>
                <w:szCs w:val="18"/>
                <w:color w:val="auto"/>
              </w:rPr>
              <w:t>Options</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80" w:type="dxa"/>
            <w:vAlign w:val="bottom"/>
            <w:gridSpan w:val="3"/>
          </w:tcPr>
          <w:p>
            <w:pPr>
              <w:ind w:left="1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4,776,378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4,776,378</w:t>
            </w:r>
          </w:p>
        </w:tc>
        <w:tc>
          <w:tcPr>
            <w:tcW w:w="0" w:type="dxa"/>
            <w:vAlign w:val="bottom"/>
          </w:tcPr>
          <w:p>
            <w:pPr>
              <w:spacing w:after="0"/>
              <w:rPr>
                <w:sz w:val="1"/>
                <w:szCs w:val="1"/>
                <w:color w:val="auto"/>
              </w:rPr>
            </w:pPr>
          </w:p>
        </w:tc>
      </w:tr>
      <w:tr>
        <w:trPr>
          <w:trHeight w:val="223"/>
        </w:trPr>
        <w:tc>
          <w:tcPr>
            <w:tcW w:w="4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Private Portfolio Companies</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460" w:type="dxa"/>
            <w:vAlign w:val="bottom"/>
            <w:tcBorders>
              <w:top w:val="single" w:sz="8" w:color="auto"/>
              <w:bottom w:val="single" w:sz="8" w:color="auto"/>
            </w:tcBorders>
            <w:shd w:val="clear" w:color="auto" w:fill="CCEEFF"/>
          </w:tcPr>
          <w:p>
            <w:pPr>
              <w:ind w:left="1220"/>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147,524,367</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spacing w:after="0"/>
              <w:rPr>
                <w:sz w:val="19"/>
                <w:szCs w:val="19"/>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147,524,367</w:t>
            </w:r>
          </w:p>
        </w:tc>
        <w:tc>
          <w:tcPr>
            <w:tcW w:w="0" w:type="dxa"/>
            <w:vAlign w:val="bottom"/>
          </w:tcPr>
          <w:p>
            <w:pPr>
              <w:spacing w:after="0"/>
              <w:rPr>
                <w:sz w:val="1"/>
                <w:szCs w:val="1"/>
                <w:color w:val="auto"/>
              </w:rPr>
            </w:pPr>
          </w:p>
        </w:tc>
      </w:tr>
      <w:tr>
        <w:trPr>
          <w:trHeight w:val="210"/>
        </w:trPr>
        <w:tc>
          <w:tcPr>
            <w:tcW w:w="4320" w:type="dxa"/>
            <w:vAlign w:val="bottom"/>
          </w:tcPr>
          <w:p>
            <w:pPr>
              <w:ind w:left="20"/>
              <w:spacing w:after="0"/>
              <w:rPr>
                <w:sz w:val="20"/>
                <w:szCs w:val="20"/>
                <w:color w:val="auto"/>
              </w:rPr>
            </w:pPr>
            <w:r>
              <w:rPr>
                <w:rFonts w:ascii="Arial" w:cs="Arial" w:eastAsia="Arial" w:hAnsi="Arial"/>
                <w:sz w:val="18"/>
                <w:szCs w:val="18"/>
                <w:b w:val="1"/>
                <w:bCs w:val="1"/>
                <w:color w:val="auto"/>
              </w:rPr>
              <w:t>Publicly Traded Portfolio Companies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Common Stock</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80" w:type="dxa"/>
            <w:vAlign w:val="bottom"/>
            <w:gridSpan w:val="3"/>
            <w:shd w:val="clear" w:color="auto" w:fill="CCEEFF"/>
          </w:tcPr>
          <w:p>
            <w:pPr>
              <w:ind w:left="1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126,698,621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126,698,621</w:t>
            </w:r>
          </w:p>
        </w:tc>
        <w:tc>
          <w:tcPr>
            <w:tcW w:w="0" w:type="dxa"/>
            <w:vAlign w:val="bottom"/>
          </w:tcPr>
          <w:p>
            <w:pPr>
              <w:spacing w:after="0"/>
              <w:rPr>
                <w:sz w:val="1"/>
                <w:szCs w:val="1"/>
                <w:color w:val="auto"/>
              </w:rPr>
            </w:pPr>
          </w:p>
        </w:tc>
      </w:tr>
      <w:tr>
        <w:trPr>
          <w:trHeight w:val="229"/>
        </w:trPr>
        <w:tc>
          <w:tcPr>
            <w:tcW w:w="4320" w:type="dxa"/>
            <w:vAlign w:val="bottom"/>
          </w:tcPr>
          <w:p>
            <w:pPr>
              <w:ind w:left="140"/>
              <w:spacing w:after="0"/>
              <w:rPr>
                <w:sz w:val="20"/>
                <w:szCs w:val="20"/>
                <w:color w:val="auto"/>
              </w:rPr>
            </w:pPr>
            <w:r>
              <w:rPr>
                <w:rFonts w:ascii="Arial" w:cs="Arial" w:eastAsia="Arial" w:hAnsi="Arial"/>
                <w:sz w:val="18"/>
                <w:szCs w:val="18"/>
                <w:color w:val="auto"/>
              </w:rPr>
              <w:t>Options</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80" w:type="dxa"/>
            <w:vAlign w:val="bottom"/>
            <w:gridSpan w:val="3"/>
          </w:tcPr>
          <w:p>
            <w:pPr>
              <w:ind w:left="1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1,619,463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1,619,463</w:t>
            </w:r>
          </w:p>
        </w:tc>
        <w:tc>
          <w:tcPr>
            <w:tcW w:w="0" w:type="dxa"/>
            <w:vAlign w:val="bottom"/>
          </w:tcPr>
          <w:p>
            <w:pPr>
              <w:spacing w:after="0"/>
              <w:rPr>
                <w:sz w:val="1"/>
                <w:szCs w:val="1"/>
                <w:color w:val="auto"/>
              </w:rPr>
            </w:pPr>
          </w:p>
        </w:tc>
      </w:tr>
      <w:tr>
        <w:trPr>
          <w:trHeight w:val="223"/>
        </w:trPr>
        <w:tc>
          <w:tcPr>
            <w:tcW w:w="4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Publicly Traded Portfolio Companies</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460" w:type="dxa"/>
            <w:vAlign w:val="bottom"/>
            <w:tcBorders>
              <w:top w:val="single" w:sz="8" w:color="auto"/>
              <w:bottom w:val="single" w:sz="8" w:color="auto"/>
            </w:tcBorders>
            <w:shd w:val="clear" w:color="auto" w:fill="CCEEFF"/>
          </w:tcPr>
          <w:p>
            <w:pPr>
              <w:ind w:left="1220"/>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128,318,084</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spacing w:after="0"/>
              <w:rPr>
                <w:sz w:val="19"/>
                <w:szCs w:val="19"/>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128,318,084</w:t>
            </w:r>
          </w:p>
        </w:tc>
        <w:tc>
          <w:tcPr>
            <w:tcW w:w="0" w:type="dxa"/>
            <w:vAlign w:val="bottom"/>
          </w:tcPr>
          <w:p>
            <w:pPr>
              <w:spacing w:after="0"/>
              <w:rPr>
                <w:sz w:val="1"/>
                <w:szCs w:val="1"/>
                <w:color w:val="auto"/>
              </w:rPr>
            </w:pPr>
          </w:p>
        </w:tc>
      </w:tr>
      <w:tr>
        <w:trPr>
          <w:trHeight w:val="223"/>
        </w:trPr>
        <w:tc>
          <w:tcPr>
            <w:tcW w:w="4320" w:type="dxa"/>
            <w:vAlign w:val="bottom"/>
          </w:tcPr>
          <w:p>
            <w:pPr>
              <w:ind w:left="20"/>
              <w:spacing w:after="0"/>
              <w:rPr>
                <w:sz w:val="20"/>
                <w:szCs w:val="20"/>
                <w:color w:val="auto"/>
              </w:rPr>
            </w:pPr>
            <w:r>
              <w:rPr>
                <w:rFonts w:ascii="Arial" w:cs="Arial" w:eastAsia="Arial" w:hAnsi="Arial"/>
                <w:sz w:val="18"/>
                <w:szCs w:val="18"/>
                <w:b w:val="1"/>
                <w:bCs w:val="1"/>
                <w:color w:val="auto"/>
              </w:rPr>
              <w:t>Total Investments at Fair Value</w:t>
            </w:r>
          </w:p>
        </w:tc>
        <w:tc>
          <w:tcPr>
            <w:tcW w:w="1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tcPr>
          <w:p>
            <w:pPr>
              <w:ind w:left="1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128,318,084</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147,524,367</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275,842,451</w:t>
            </w: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22"/>
        </w:trPr>
        <w:tc>
          <w:tcPr>
            <w:tcW w:w="4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300" w:type="dxa"/>
            <w:vAlign w:val="bottom"/>
            <w:tcBorders>
              <w:bottom w:val="single" w:sz="8" w:color="auto"/>
            </w:tcBorders>
            <w:gridSpan w:val="5"/>
          </w:tcPr>
          <w:p>
            <w:pPr>
              <w:jc w:val="center"/>
              <w:ind w:right="280"/>
              <w:spacing w:after="0"/>
              <w:rPr>
                <w:sz w:val="20"/>
                <w:szCs w:val="20"/>
                <w:color w:val="auto"/>
              </w:rPr>
            </w:pPr>
            <w:r>
              <w:rPr>
                <w:rFonts w:ascii="Arial" w:cs="Arial" w:eastAsia="Arial" w:hAnsi="Arial"/>
                <w:sz w:val="14"/>
                <w:szCs w:val="14"/>
                <w:b w:val="1"/>
                <w:bCs w:val="1"/>
                <w:color w:val="auto"/>
                <w:w w:val="90"/>
              </w:rPr>
              <w:t>As of December 31, 2020</w:t>
            </w:r>
          </w:p>
        </w:tc>
        <w:tc>
          <w:tcPr>
            <w:tcW w:w="4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4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580" w:type="dxa"/>
            <w:vAlign w:val="bottom"/>
            <w:gridSpan w:val="3"/>
          </w:tcPr>
          <w:p>
            <w:pPr>
              <w:jc w:val="center"/>
              <w:ind w:right="240"/>
              <w:spacing w:after="0" w:line="135" w:lineRule="exact"/>
              <w:rPr>
                <w:sz w:val="20"/>
                <w:szCs w:val="20"/>
                <w:color w:val="auto"/>
              </w:rPr>
            </w:pPr>
            <w:r>
              <w:rPr>
                <w:rFonts w:ascii="Arial" w:cs="Arial" w:eastAsia="Arial" w:hAnsi="Arial"/>
                <w:sz w:val="14"/>
                <w:szCs w:val="14"/>
                <w:b w:val="1"/>
                <w:bCs w:val="1"/>
                <w:color w:val="auto"/>
                <w:w w:val="91"/>
              </w:rPr>
              <w:t>Quoted Prices in</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56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w w:val="93"/>
              </w:rPr>
              <w:t>Significant Other</w:t>
            </w:r>
          </w:p>
        </w:tc>
        <w:tc>
          <w:tcPr>
            <w:tcW w:w="240" w:type="dxa"/>
            <w:vAlign w:val="bottom"/>
          </w:tcPr>
          <w:p>
            <w:pPr>
              <w:spacing w:after="0"/>
              <w:rPr>
                <w:sz w:val="11"/>
                <w:szCs w:val="11"/>
                <w:color w:val="auto"/>
              </w:rPr>
            </w:pPr>
          </w:p>
        </w:tc>
        <w:tc>
          <w:tcPr>
            <w:tcW w:w="1500" w:type="dxa"/>
            <w:vAlign w:val="bottom"/>
            <w:gridSpan w:val="2"/>
          </w:tcPr>
          <w:p>
            <w:pPr>
              <w:jc w:val="center"/>
              <w:ind w:right="360"/>
              <w:spacing w:after="0" w:line="135" w:lineRule="exact"/>
              <w:rPr>
                <w:sz w:val="20"/>
                <w:szCs w:val="20"/>
                <w:color w:val="auto"/>
              </w:rPr>
            </w:pPr>
            <w:r>
              <w:rPr>
                <w:rFonts w:ascii="Arial" w:cs="Arial" w:eastAsia="Arial" w:hAnsi="Arial"/>
                <w:sz w:val="14"/>
                <w:szCs w:val="14"/>
                <w:b w:val="1"/>
                <w:bCs w:val="1"/>
                <w:color w:val="auto"/>
                <w:w w:val="92"/>
              </w:rPr>
              <w:t>Significant</w:t>
            </w:r>
          </w:p>
        </w:tc>
        <w:tc>
          <w:tcPr>
            <w:tcW w:w="4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580" w:type="dxa"/>
            <w:vAlign w:val="bottom"/>
            <w:gridSpan w:val="3"/>
          </w:tcPr>
          <w:p>
            <w:pPr>
              <w:jc w:val="center"/>
              <w:ind w:right="260"/>
              <w:spacing w:after="0" w:line="135" w:lineRule="exact"/>
              <w:rPr>
                <w:sz w:val="20"/>
                <w:szCs w:val="20"/>
                <w:color w:val="auto"/>
              </w:rPr>
            </w:pPr>
            <w:r>
              <w:rPr>
                <w:rFonts w:ascii="Arial" w:cs="Arial" w:eastAsia="Arial" w:hAnsi="Arial"/>
                <w:sz w:val="14"/>
                <w:szCs w:val="14"/>
                <w:b w:val="1"/>
                <w:bCs w:val="1"/>
                <w:color w:val="auto"/>
                <w:w w:val="95"/>
              </w:rPr>
              <w:t>Active Markets for</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56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w w:val="91"/>
              </w:rPr>
              <w:t>Observable</w:t>
            </w:r>
          </w:p>
        </w:tc>
        <w:tc>
          <w:tcPr>
            <w:tcW w:w="240" w:type="dxa"/>
            <w:vAlign w:val="bottom"/>
          </w:tcPr>
          <w:p>
            <w:pPr>
              <w:spacing w:after="0"/>
              <w:rPr>
                <w:sz w:val="11"/>
                <w:szCs w:val="11"/>
                <w:color w:val="auto"/>
              </w:rPr>
            </w:pPr>
          </w:p>
        </w:tc>
        <w:tc>
          <w:tcPr>
            <w:tcW w:w="1500" w:type="dxa"/>
            <w:vAlign w:val="bottom"/>
            <w:gridSpan w:val="2"/>
          </w:tcPr>
          <w:p>
            <w:pPr>
              <w:jc w:val="center"/>
              <w:ind w:right="340"/>
              <w:spacing w:after="0" w:line="135" w:lineRule="exact"/>
              <w:rPr>
                <w:sz w:val="20"/>
                <w:szCs w:val="20"/>
                <w:color w:val="auto"/>
              </w:rPr>
            </w:pPr>
            <w:r>
              <w:rPr>
                <w:rFonts w:ascii="Arial" w:cs="Arial" w:eastAsia="Arial" w:hAnsi="Arial"/>
                <w:sz w:val="14"/>
                <w:szCs w:val="14"/>
                <w:b w:val="1"/>
                <w:bCs w:val="1"/>
                <w:color w:val="auto"/>
                <w:w w:val="90"/>
              </w:rPr>
              <w:t>Unobservable</w:t>
            </w:r>
          </w:p>
        </w:tc>
        <w:tc>
          <w:tcPr>
            <w:tcW w:w="4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580" w:type="dxa"/>
            <w:vAlign w:val="bottom"/>
            <w:gridSpan w:val="3"/>
          </w:tcPr>
          <w:p>
            <w:pPr>
              <w:jc w:val="center"/>
              <w:ind w:right="240"/>
              <w:spacing w:after="0" w:line="135" w:lineRule="exact"/>
              <w:rPr>
                <w:sz w:val="20"/>
                <w:szCs w:val="20"/>
                <w:color w:val="auto"/>
              </w:rPr>
            </w:pPr>
            <w:r>
              <w:rPr>
                <w:rFonts w:ascii="Arial" w:cs="Arial" w:eastAsia="Arial" w:hAnsi="Arial"/>
                <w:sz w:val="14"/>
                <w:szCs w:val="14"/>
                <w:b w:val="1"/>
                <w:bCs w:val="1"/>
                <w:color w:val="auto"/>
                <w:w w:val="92"/>
              </w:rPr>
              <w:t>Identical Securities</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560" w:type="dxa"/>
            <w:vAlign w:val="bottom"/>
            <w:gridSpan w:val="2"/>
          </w:tcPr>
          <w:p>
            <w:pPr>
              <w:jc w:val="center"/>
              <w:ind w:right="320"/>
              <w:spacing w:after="0" w:line="135" w:lineRule="exact"/>
              <w:rPr>
                <w:sz w:val="20"/>
                <w:szCs w:val="20"/>
                <w:color w:val="auto"/>
              </w:rPr>
            </w:pPr>
            <w:r>
              <w:rPr>
                <w:rFonts w:ascii="Arial" w:cs="Arial" w:eastAsia="Arial" w:hAnsi="Arial"/>
                <w:sz w:val="14"/>
                <w:szCs w:val="14"/>
                <w:b w:val="1"/>
                <w:bCs w:val="1"/>
                <w:color w:val="auto"/>
                <w:w w:val="95"/>
              </w:rPr>
              <w:t>Inputs</w:t>
            </w:r>
          </w:p>
        </w:tc>
        <w:tc>
          <w:tcPr>
            <w:tcW w:w="240" w:type="dxa"/>
            <w:vAlign w:val="bottom"/>
          </w:tcPr>
          <w:p>
            <w:pPr>
              <w:spacing w:after="0"/>
              <w:rPr>
                <w:sz w:val="11"/>
                <w:szCs w:val="11"/>
                <w:color w:val="auto"/>
              </w:rPr>
            </w:pPr>
          </w:p>
        </w:tc>
        <w:tc>
          <w:tcPr>
            <w:tcW w:w="1500" w:type="dxa"/>
            <w:vAlign w:val="bottom"/>
            <w:gridSpan w:val="2"/>
          </w:tcPr>
          <w:p>
            <w:pPr>
              <w:jc w:val="center"/>
              <w:ind w:right="340"/>
              <w:spacing w:after="0" w:line="135" w:lineRule="exact"/>
              <w:rPr>
                <w:sz w:val="20"/>
                <w:szCs w:val="20"/>
                <w:color w:val="auto"/>
              </w:rPr>
            </w:pPr>
            <w:r>
              <w:rPr>
                <w:rFonts w:ascii="Arial" w:cs="Arial" w:eastAsia="Arial" w:hAnsi="Arial"/>
                <w:sz w:val="14"/>
                <w:szCs w:val="14"/>
                <w:b w:val="1"/>
                <w:bCs w:val="1"/>
                <w:color w:val="auto"/>
                <w:w w:val="95"/>
              </w:rPr>
              <w:t>Inputs</w:t>
            </w:r>
          </w:p>
        </w:tc>
        <w:tc>
          <w:tcPr>
            <w:tcW w:w="400" w:type="dxa"/>
            <w:vAlign w:val="bottom"/>
          </w:tcPr>
          <w:p>
            <w:pPr>
              <w:spacing w:after="0"/>
              <w:rPr>
                <w:sz w:val="11"/>
                <w:szCs w:val="11"/>
                <w:color w:val="auto"/>
              </w:rPr>
            </w:pPr>
          </w:p>
        </w:tc>
        <w:tc>
          <w:tcPr>
            <w:tcW w:w="1260" w:type="dxa"/>
            <w:vAlign w:val="bottom"/>
            <w:vMerge w:val="restart"/>
          </w:tcPr>
          <w:p>
            <w:pPr>
              <w:jc w:val="right"/>
              <w:ind w:right="59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4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8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4"/>
              </w:rPr>
              <w:t>(Level 1)</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(Level 2)</w:t>
            </w:r>
          </w:p>
        </w:tc>
        <w:tc>
          <w:tcPr>
            <w:tcW w:w="240" w:type="dxa"/>
            <w:vAlign w:val="bottom"/>
          </w:tcPr>
          <w:p>
            <w:pPr>
              <w:spacing w:after="0"/>
              <w:rPr>
                <w:sz w:val="16"/>
                <w:szCs w:val="16"/>
                <w:color w:val="auto"/>
              </w:rPr>
            </w:pPr>
          </w:p>
        </w:tc>
        <w:tc>
          <w:tcPr>
            <w:tcW w:w="15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4"/>
              </w:rPr>
              <w:t>(Level 3)</w:t>
            </w:r>
          </w:p>
        </w:tc>
        <w:tc>
          <w:tcPr>
            <w:tcW w:w="400" w:type="dxa"/>
            <w:vAlign w:val="bottom"/>
          </w:tcPr>
          <w:p>
            <w:pPr>
              <w:spacing w:after="0"/>
              <w:rPr>
                <w:sz w:val="16"/>
                <w:szCs w:val="16"/>
                <w:color w:val="auto"/>
              </w:rPr>
            </w:pPr>
          </w:p>
        </w:tc>
        <w:tc>
          <w:tcPr>
            <w:tcW w:w="12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4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Investments at Fair Value</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20" w:type="dxa"/>
            <w:vAlign w:val="bottom"/>
          </w:tcPr>
          <w:p>
            <w:pPr>
              <w:ind w:left="20"/>
              <w:spacing w:after="0"/>
              <w:rPr>
                <w:sz w:val="20"/>
                <w:szCs w:val="20"/>
                <w:color w:val="auto"/>
              </w:rPr>
            </w:pPr>
            <w:r>
              <w:rPr>
                <w:rFonts w:ascii="Arial" w:cs="Arial" w:eastAsia="Arial" w:hAnsi="Arial"/>
                <w:sz w:val="18"/>
                <w:szCs w:val="18"/>
                <w:b w:val="1"/>
                <w:bCs w:val="1"/>
                <w:color w:val="auto"/>
              </w:rPr>
              <w:t>Private Portfolio Companies</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Preferred Stock</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141,235,987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141,235,987</w:t>
            </w:r>
          </w:p>
        </w:tc>
        <w:tc>
          <w:tcPr>
            <w:tcW w:w="0" w:type="dxa"/>
            <w:vAlign w:val="bottom"/>
          </w:tcPr>
          <w:p>
            <w:pPr>
              <w:spacing w:after="0"/>
              <w:rPr>
                <w:sz w:val="1"/>
                <w:szCs w:val="1"/>
                <w:color w:val="auto"/>
              </w:rPr>
            </w:pPr>
          </w:p>
        </w:tc>
      </w:tr>
      <w:tr>
        <w:trPr>
          <w:trHeight w:val="230"/>
        </w:trPr>
        <w:tc>
          <w:tcPr>
            <w:tcW w:w="4320" w:type="dxa"/>
            <w:vAlign w:val="bottom"/>
          </w:tcPr>
          <w:p>
            <w:pPr>
              <w:ind w:left="140"/>
              <w:spacing w:after="0"/>
              <w:rPr>
                <w:sz w:val="20"/>
                <w:szCs w:val="20"/>
                <w:color w:val="auto"/>
              </w:rPr>
            </w:pPr>
            <w:r>
              <w:rPr>
                <w:rFonts w:ascii="Arial" w:cs="Arial" w:eastAsia="Arial" w:hAnsi="Arial"/>
                <w:sz w:val="18"/>
                <w:szCs w:val="18"/>
                <w:color w:val="auto"/>
              </w:rPr>
              <w:t>Common Stock</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8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34,190,839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34,190,839</w:t>
            </w:r>
          </w:p>
        </w:tc>
        <w:tc>
          <w:tcPr>
            <w:tcW w:w="0" w:type="dxa"/>
            <w:vAlign w:val="bottom"/>
          </w:tcPr>
          <w:p>
            <w:pPr>
              <w:spacing w:after="0"/>
              <w:rPr>
                <w:sz w:val="1"/>
                <w:szCs w:val="1"/>
                <w:color w:val="auto"/>
              </w:rPr>
            </w:pPr>
          </w:p>
        </w:tc>
      </w:tr>
      <w:tr>
        <w:trPr>
          <w:trHeight w:val="230"/>
        </w:trPr>
        <w:tc>
          <w:tcPr>
            <w:tcW w:w="4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Debt Investments</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4,845,340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4,845,340</w:t>
            </w:r>
          </w:p>
        </w:tc>
        <w:tc>
          <w:tcPr>
            <w:tcW w:w="0" w:type="dxa"/>
            <w:vAlign w:val="bottom"/>
          </w:tcPr>
          <w:p>
            <w:pPr>
              <w:spacing w:after="0"/>
              <w:rPr>
                <w:sz w:val="1"/>
                <w:szCs w:val="1"/>
                <w:color w:val="auto"/>
              </w:rPr>
            </w:pPr>
          </w:p>
        </w:tc>
      </w:tr>
      <w:tr>
        <w:trPr>
          <w:trHeight w:val="230"/>
        </w:trPr>
        <w:tc>
          <w:tcPr>
            <w:tcW w:w="4320" w:type="dxa"/>
            <w:vAlign w:val="bottom"/>
          </w:tcPr>
          <w:p>
            <w:pPr>
              <w:ind w:left="140"/>
              <w:spacing w:after="0"/>
              <w:rPr>
                <w:sz w:val="20"/>
                <w:szCs w:val="20"/>
                <w:color w:val="auto"/>
              </w:rPr>
            </w:pPr>
            <w:r>
              <w:rPr>
                <w:rFonts w:ascii="Arial" w:cs="Arial" w:eastAsia="Arial" w:hAnsi="Arial"/>
                <w:sz w:val="18"/>
                <w:szCs w:val="18"/>
                <w:color w:val="auto"/>
              </w:rPr>
              <w:t>Options</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8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5,872,210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5,872,210</w:t>
            </w:r>
          </w:p>
        </w:tc>
        <w:tc>
          <w:tcPr>
            <w:tcW w:w="0" w:type="dxa"/>
            <w:vAlign w:val="bottom"/>
          </w:tcPr>
          <w:p>
            <w:pPr>
              <w:spacing w:after="0"/>
              <w:rPr>
                <w:sz w:val="1"/>
                <w:szCs w:val="1"/>
                <w:color w:val="auto"/>
              </w:rPr>
            </w:pPr>
          </w:p>
        </w:tc>
      </w:tr>
      <w:tr>
        <w:trPr>
          <w:trHeight w:val="223"/>
        </w:trPr>
        <w:tc>
          <w:tcPr>
            <w:tcW w:w="4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Private Portfolio Companies</w:t>
            </w:r>
          </w:p>
        </w:tc>
        <w:tc>
          <w:tcPr>
            <w:tcW w:w="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480" w:type="dxa"/>
            <w:vAlign w:val="bottom"/>
            <w:tcBorders>
              <w:top w:val="single" w:sz="8" w:color="auto"/>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186,144,376</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spacing w:after="0"/>
              <w:rPr>
                <w:sz w:val="19"/>
                <w:szCs w:val="19"/>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186,144,376</w:t>
            </w:r>
          </w:p>
        </w:tc>
        <w:tc>
          <w:tcPr>
            <w:tcW w:w="0" w:type="dxa"/>
            <w:vAlign w:val="bottom"/>
          </w:tcPr>
          <w:p>
            <w:pPr>
              <w:spacing w:after="0"/>
              <w:rPr>
                <w:sz w:val="1"/>
                <w:szCs w:val="1"/>
                <w:color w:val="auto"/>
              </w:rPr>
            </w:pPr>
          </w:p>
        </w:tc>
      </w:tr>
      <w:tr>
        <w:trPr>
          <w:trHeight w:val="210"/>
        </w:trPr>
        <w:tc>
          <w:tcPr>
            <w:tcW w:w="4320" w:type="dxa"/>
            <w:vAlign w:val="bottom"/>
          </w:tcPr>
          <w:p>
            <w:pPr>
              <w:ind w:left="20"/>
              <w:spacing w:after="0"/>
              <w:rPr>
                <w:sz w:val="20"/>
                <w:szCs w:val="20"/>
                <w:color w:val="auto"/>
              </w:rPr>
            </w:pPr>
            <w:r>
              <w:rPr>
                <w:rFonts w:ascii="Arial" w:cs="Arial" w:eastAsia="Arial" w:hAnsi="Arial"/>
                <w:sz w:val="18"/>
                <w:szCs w:val="18"/>
                <w:b w:val="1"/>
                <w:bCs w:val="1"/>
                <w:color w:val="auto"/>
              </w:rPr>
              <w:t>Publicly Traded Portfolio Companies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Common Stock</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94,635,398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94,635,398</w:t>
            </w:r>
          </w:p>
        </w:tc>
        <w:tc>
          <w:tcPr>
            <w:tcW w:w="0" w:type="dxa"/>
            <w:vAlign w:val="bottom"/>
          </w:tcPr>
          <w:p>
            <w:pPr>
              <w:spacing w:after="0"/>
              <w:rPr>
                <w:sz w:val="1"/>
                <w:szCs w:val="1"/>
                <w:color w:val="auto"/>
              </w:rPr>
            </w:pPr>
          </w:p>
        </w:tc>
      </w:tr>
      <w:tr>
        <w:trPr>
          <w:trHeight w:val="223"/>
        </w:trPr>
        <w:tc>
          <w:tcPr>
            <w:tcW w:w="432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Total Portfolio Investments</w:t>
            </w:r>
          </w:p>
        </w:tc>
        <w:tc>
          <w:tcPr>
            <w:tcW w:w="2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480" w:type="dxa"/>
            <w:vAlign w:val="bottom"/>
            <w:tcBorders>
              <w:top w:val="single" w:sz="8" w:color="auto"/>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tcPr>
          <w:p>
            <w:pPr>
              <w:spacing w:after="0"/>
              <w:rPr>
                <w:sz w:val="19"/>
                <w:szCs w:val="19"/>
                <w:color w:val="auto"/>
              </w:rPr>
            </w:pPr>
          </w:p>
        </w:tc>
        <w:tc>
          <w:tcPr>
            <w:tcW w:w="20" w:type="dxa"/>
            <w:vAlign w:val="bottom"/>
            <w:tcBorders>
              <w:top w:val="single" w:sz="8" w:color="CCEEFF"/>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94,635,398</w:t>
            </w:r>
          </w:p>
        </w:tc>
        <w:tc>
          <w:tcPr>
            <w:tcW w:w="120" w:type="dxa"/>
            <w:vAlign w:val="bottom"/>
            <w:tcBorders>
              <w:top w:val="single" w:sz="8" w:color="CCEEFF"/>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186,144,376</w:t>
            </w:r>
          </w:p>
        </w:tc>
        <w:tc>
          <w:tcPr>
            <w:tcW w:w="100" w:type="dxa"/>
            <w:vAlign w:val="bottom"/>
            <w:tcBorders>
              <w:bottom w:val="single" w:sz="8" w:color="CCEEFF"/>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280,779,774</w:t>
            </w:r>
          </w:p>
        </w:tc>
        <w:tc>
          <w:tcPr>
            <w:tcW w:w="0" w:type="dxa"/>
            <w:vAlign w:val="bottom"/>
          </w:tcPr>
          <w:p>
            <w:pPr>
              <w:spacing w:after="0"/>
              <w:rPr>
                <w:sz w:val="1"/>
                <w:szCs w:val="1"/>
                <w:color w:val="auto"/>
              </w:rPr>
            </w:pPr>
          </w:p>
        </w:tc>
      </w:tr>
      <w:tr>
        <w:trPr>
          <w:trHeight w:val="210"/>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Non-Portfolio Investments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20" w:type="dxa"/>
            <w:vAlign w:val="bottom"/>
          </w:tcPr>
          <w:p>
            <w:pPr>
              <w:ind w:left="20"/>
              <w:spacing w:after="0"/>
              <w:rPr>
                <w:sz w:val="20"/>
                <w:szCs w:val="20"/>
                <w:color w:val="auto"/>
              </w:rPr>
            </w:pPr>
            <w:r>
              <w:rPr>
                <w:rFonts w:ascii="Arial" w:cs="Arial" w:eastAsia="Arial" w:hAnsi="Arial"/>
                <w:sz w:val="18"/>
                <w:szCs w:val="18"/>
                <w:color w:val="auto"/>
              </w:rPr>
              <w:t>U.S. Treasury bills</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150,000,000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150,000,000</w:t>
            </w:r>
          </w:p>
        </w:tc>
        <w:tc>
          <w:tcPr>
            <w:tcW w:w="0" w:type="dxa"/>
            <w:vAlign w:val="bottom"/>
          </w:tcPr>
          <w:p>
            <w:pPr>
              <w:spacing w:after="0"/>
              <w:rPr>
                <w:sz w:val="1"/>
                <w:szCs w:val="1"/>
                <w:color w:val="auto"/>
              </w:rPr>
            </w:pPr>
          </w:p>
        </w:tc>
      </w:tr>
      <w:tr>
        <w:trPr>
          <w:trHeight w:val="248"/>
        </w:trPr>
        <w:tc>
          <w:tcPr>
            <w:tcW w:w="43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Investments at Fair Value</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150,000,000</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94,635,398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186,144,376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430,779,774</w:t>
            </w:r>
          </w:p>
        </w:tc>
        <w:tc>
          <w:tcPr>
            <w:tcW w:w="0" w:type="dxa"/>
            <w:vAlign w:val="bottom"/>
          </w:tcPr>
          <w:p>
            <w:pPr>
              <w:spacing w:after="0"/>
              <w:rPr>
                <w:sz w:val="1"/>
                <w:szCs w:val="1"/>
                <w:color w:val="auto"/>
              </w:rPr>
            </w:pP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9"/>
        </w:trPr>
        <w:tc>
          <w:tcPr>
            <w:tcW w:w="4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tcPr>
          <w:p>
            <w:pPr>
              <w:jc w:val="right"/>
              <w:ind w:right="135"/>
              <w:spacing w:after="0"/>
              <w:rPr>
                <w:sz w:val="20"/>
                <w:szCs w:val="20"/>
                <w:color w:val="auto"/>
              </w:rPr>
            </w:pPr>
            <w:r>
              <w:rPr>
                <w:rFonts w:ascii="Arial" w:cs="Arial" w:eastAsia="Arial" w:hAnsi="Arial"/>
                <w:sz w:val="18"/>
                <w:szCs w:val="18"/>
                <w:color w:val="auto"/>
              </w:rPr>
              <w:t>30</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4891405</wp:posOffset>
            </wp:positionH>
            <wp:positionV relativeFrom="paragraph">
              <wp:posOffset>-4251325</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3776980</wp:posOffset>
            </wp:positionH>
            <wp:positionV relativeFrom="paragraph">
              <wp:posOffset>-4251325</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-762000</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-762000</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-1054100</wp:posOffset>
            </wp:positionV>
            <wp:extent cx="6858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-1054100</wp:posOffset>
            </wp:positionV>
            <wp:extent cx="6858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-1653540</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-1653540</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8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SURO CAPITAL CORP. AND SUBSIDIARIES</w:t>
      </w:r>
    </w:p>
    <w:p>
      <w:pPr>
        <w:spacing w:after="0" w:line="25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March 31, 2021</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Unobservable Inputs for Level 3 Assets and Liabilities</w:t>
      </w:r>
    </w:p>
    <w:p>
      <w:pPr>
        <w:spacing w:after="0" w:line="252" w:lineRule="exact"/>
        <w:rPr>
          <w:sz w:val="20"/>
          <w:szCs w:val="20"/>
          <w:color w:val="auto"/>
        </w:rPr>
      </w:pPr>
    </w:p>
    <w:p>
      <w:pPr>
        <w:jc w:val="both"/>
        <w:ind w:right="20" w:firstLine="364"/>
        <w:spacing w:after="0" w:line="267" w:lineRule="auto"/>
        <w:rPr>
          <w:sz w:val="20"/>
          <w:szCs w:val="20"/>
          <w:color w:val="auto"/>
        </w:rPr>
      </w:pPr>
      <w:r>
        <w:rPr>
          <w:rFonts w:ascii="Arial" w:cs="Arial" w:eastAsia="Arial" w:hAnsi="Arial"/>
          <w:sz w:val="17"/>
          <w:szCs w:val="17"/>
          <w:color w:val="auto"/>
        </w:rPr>
        <w:t xml:space="preserve">In accordance with FASB ASC 820, </w:t>
      </w:r>
      <w:r>
        <w:rPr>
          <w:rFonts w:ascii="Arial" w:cs="Arial" w:eastAsia="Arial" w:hAnsi="Arial"/>
          <w:sz w:val="17"/>
          <w:szCs w:val="17"/>
          <w:i w:val="1"/>
          <w:iCs w:val="1"/>
          <w:color w:val="auto"/>
        </w:rPr>
        <w:t>Fair Value Measurement</w:t>
      </w:r>
      <w:r>
        <w:rPr>
          <w:rFonts w:ascii="Arial" w:cs="Arial" w:eastAsia="Arial" w:hAnsi="Arial"/>
          <w:sz w:val="17"/>
          <w:szCs w:val="17"/>
          <w:color w:val="auto"/>
        </w:rPr>
        <w:t>, the tables below provide quantitative information about the Company’s fair value measurements of its Level 3 assets as of March 31, 2021 and December 31, 2020. In addition to the techniques and inputs noted in the tables below, according to the Company’s valuation policy, the Company may also use other valuation techniques and methodologies when determining the Company’s fair value measurements. The tables below are not intended to be all-inclusive, but rather provide information on the significant Level 3 inputs as they relate to the Company’s fair value measurements. To the extent an unobservable input is not reflected in the tables below, such input is deemed insignificant with respect to the Company’s Level 3 fair value measurements as of March 31, 2021 and December 31, 2020. Significant changes in the inputs in isolation would result in a significant change in the fair value measurement, depending on the input and the materiality of the investment. Refer to “Note 2— Significant Accounting Policies—</w:t>
      </w:r>
      <w:r>
        <w:rPr>
          <w:rFonts w:ascii="Arial" w:cs="Arial" w:eastAsia="Arial" w:hAnsi="Arial"/>
          <w:sz w:val="17"/>
          <w:szCs w:val="17"/>
          <w:i w:val="1"/>
          <w:iCs w:val="1"/>
          <w:color w:val="auto"/>
        </w:rPr>
        <w:t>Investments at Fair Value</w:t>
      </w:r>
      <w:r>
        <w:rPr>
          <w:rFonts w:ascii="Arial" w:cs="Arial" w:eastAsia="Arial" w:hAnsi="Arial"/>
          <w:sz w:val="17"/>
          <w:szCs w:val="17"/>
          <w:color w:val="auto"/>
        </w:rPr>
        <w:t>” for more detail.</w:t>
      </w:r>
    </w:p>
    <w:p>
      <w:pPr>
        <w:spacing w:after="0" w:line="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As of March 31, 2021</w:t>
      </w:r>
    </w:p>
    <w:p>
      <w:pPr>
        <w:spacing w:after="0" w:line="111" w:lineRule="exact"/>
        <w:rPr>
          <w:sz w:val="20"/>
          <w:szCs w:val="20"/>
          <w:color w:val="auto"/>
        </w:rPr>
      </w:pPr>
    </w:p>
    <w:tbl>
      <w:tblPr>
        <w:tblLayout w:type="fixed"/>
        <w:tblInd w:w="10" w:type="dxa"/>
        <w:tblCellMar>
          <w:top w:w="0" w:type="dxa"/>
          <w:left w:w="0" w:type="dxa"/>
          <w:bottom w:w="0" w:type="dxa"/>
          <w:right w:w="0" w:type="dxa"/>
        </w:tblCellMar>
      </w:tblPr>
      <w:tr>
        <w:trPr>
          <w:trHeight w:val="148"/>
        </w:trPr>
        <w:tc>
          <w:tcPr>
            <w:tcW w:w="3700" w:type="dxa"/>
            <w:vAlign w:val="bottom"/>
            <w:tcBorders>
              <w:top w:val="single" w:sz="8" w:color="auto"/>
              <w:left w:val="single" w:sz="8" w:color="auto"/>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89"/>
              </w:rPr>
              <w:t>Asset</w:t>
            </w:r>
          </w:p>
        </w:tc>
        <w:tc>
          <w:tcPr>
            <w:tcW w:w="1880" w:type="dxa"/>
            <w:vAlign w:val="bottom"/>
            <w:tcBorders>
              <w:top w:val="single" w:sz="8" w:color="auto"/>
              <w:right w:val="single" w:sz="8" w:color="auto"/>
            </w:tcBorders>
            <w:vMerge w:val="restart"/>
          </w:tcPr>
          <w:p>
            <w:pPr>
              <w:ind w:left="600"/>
              <w:spacing w:after="0"/>
              <w:rPr>
                <w:sz w:val="20"/>
                <w:szCs w:val="20"/>
                <w:color w:val="auto"/>
              </w:rPr>
            </w:pPr>
            <w:r>
              <w:rPr>
                <w:rFonts w:ascii="Arial" w:cs="Arial" w:eastAsia="Arial" w:hAnsi="Arial"/>
                <w:sz w:val="14"/>
                <w:szCs w:val="14"/>
                <w:b w:val="1"/>
                <w:bCs w:val="1"/>
                <w:color w:val="auto"/>
              </w:rPr>
              <w:t>Fair Value</w:t>
            </w:r>
          </w:p>
        </w:tc>
        <w:tc>
          <w:tcPr>
            <w:tcW w:w="1900" w:type="dxa"/>
            <w:vAlign w:val="bottom"/>
            <w:tcBorders>
              <w:top w:val="single" w:sz="8" w:color="auto"/>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5"/>
              </w:rPr>
              <w:t>Valuation</w:t>
            </w:r>
          </w:p>
        </w:tc>
        <w:tc>
          <w:tcPr>
            <w:tcW w:w="188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0"/>
              </w:rPr>
              <w:t>Unobservable Inputs</w:t>
            </w:r>
            <w:r>
              <w:rPr>
                <w:rFonts w:ascii="Arial" w:cs="Arial" w:eastAsia="Arial" w:hAnsi="Arial"/>
                <w:sz w:val="18"/>
                <w:szCs w:val="18"/>
                <w:b w:val="1"/>
                <w:bCs w:val="1"/>
                <w:color w:val="auto"/>
                <w:w w:val="90"/>
                <w:vertAlign w:val="superscript"/>
              </w:rPr>
              <w:t>(2)</w:t>
            </w:r>
          </w:p>
        </w:tc>
        <w:tc>
          <w:tcPr>
            <w:tcW w:w="1500" w:type="dxa"/>
            <w:vAlign w:val="bottom"/>
            <w:tcBorders>
              <w:top w:val="single" w:sz="8" w:color="auto"/>
            </w:tcBorders>
            <w:vMerge w:val="restart"/>
          </w:tcPr>
          <w:p>
            <w:pPr>
              <w:jc w:val="center"/>
              <w:ind w:left="292"/>
              <w:spacing w:after="0"/>
              <w:rPr>
                <w:sz w:val="20"/>
                <w:szCs w:val="20"/>
                <w:color w:val="auto"/>
              </w:rPr>
            </w:pPr>
            <w:r>
              <w:rPr>
                <w:rFonts w:ascii="Arial" w:cs="Arial" w:eastAsia="Arial" w:hAnsi="Arial"/>
                <w:sz w:val="14"/>
                <w:szCs w:val="14"/>
                <w:b w:val="1"/>
                <w:bCs w:val="1"/>
                <w:color w:val="auto"/>
                <w:w w:val="93"/>
              </w:rPr>
              <w:t>Range</w:t>
            </w:r>
          </w:p>
        </w:tc>
        <w:tc>
          <w:tcPr>
            <w:tcW w:w="400" w:type="dxa"/>
            <w:vAlign w:val="bottom"/>
            <w:tcBorders>
              <w:top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700" w:type="dxa"/>
            <w:vAlign w:val="bottom"/>
            <w:tcBorders>
              <w:left w:val="single" w:sz="8" w:color="auto"/>
              <w:right w:val="single" w:sz="8" w:color="auto"/>
            </w:tcBorders>
            <w:vMerge w:val="continue"/>
          </w:tcPr>
          <w:p>
            <w:pPr>
              <w:spacing w:after="0"/>
              <w:rPr>
                <w:sz w:val="11"/>
                <w:szCs w:val="11"/>
                <w:color w:val="auto"/>
              </w:rPr>
            </w:pPr>
          </w:p>
        </w:tc>
        <w:tc>
          <w:tcPr>
            <w:tcW w:w="1880" w:type="dxa"/>
            <w:vAlign w:val="bottom"/>
            <w:tcBorders>
              <w:right w:val="single" w:sz="8" w:color="auto"/>
            </w:tcBorders>
            <w:vMerge w:val="continue"/>
          </w:tcPr>
          <w:p>
            <w:pPr>
              <w:spacing w:after="0"/>
              <w:rPr>
                <w:sz w:val="11"/>
                <w:szCs w:val="11"/>
                <w:color w:val="auto"/>
              </w:rPr>
            </w:pPr>
          </w:p>
        </w:tc>
        <w:tc>
          <w:tcPr>
            <w:tcW w:w="190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4"/>
                <w:szCs w:val="14"/>
                <w:b w:val="1"/>
                <w:bCs w:val="1"/>
                <w:color w:val="auto"/>
                <w:w w:val="92"/>
              </w:rPr>
              <w:t>Approach/</w:t>
            </w:r>
          </w:p>
        </w:tc>
        <w:tc>
          <w:tcPr>
            <w:tcW w:w="1880" w:type="dxa"/>
            <w:vAlign w:val="bottom"/>
            <w:tcBorders>
              <w:right w:val="single" w:sz="8" w:color="auto"/>
            </w:tcBorders>
            <w:vMerge w:val="continue"/>
          </w:tcPr>
          <w:p>
            <w:pPr>
              <w:spacing w:after="0"/>
              <w:rPr>
                <w:sz w:val="11"/>
                <w:szCs w:val="11"/>
                <w:color w:val="auto"/>
              </w:rPr>
            </w:pPr>
          </w:p>
        </w:tc>
        <w:tc>
          <w:tcPr>
            <w:tcW w:w="1500" w:type="dxa"/>
            <w:vAlign w:val="bottom"/>
            <w:vMerge w:val="continue"/>
          </w:tcPr>
          <w:p>
            <w:pPr>
              <w:spacing w:after="0"/>
              <w:rPr>
                <w:sz w:val="11"/>
                <w:szCs w:val="11"/>
                <w:color w:val="auto"/>
              </w:rPr>
            </w:pPr>
          </w:p>
        </w:tc>
        <w:tc>
          <w:tcPr>
            <w:tcW w:w="400" w:type="dxa"/>
            <w:vAlign w:val="bottom"/>
            <w:tcBorders>
              <w:right w:val="single" w:sz="8" w:color="auto"/>
            </w:tcBorders>
          </w:tcPr>
          <w:p>
            <w:pPr>
              <w:jc w:val="right"/>
              <w:ind w:right="253"/>
              <w:spacing w:after="0"/>
              <w:rPr>
                <w:sz w:val="20"/>
                <w:szCs w:val="20"/>
                <w:color w:val="auto"/>
              </w:rPr>
            </w:pPr>
            <w:r>
              <w:rPr>
                <w:rFonts w:ascii="Arial" w:cs="Arial" w:eastAsia="Arial" w:hAnsi="Arial"/>
                <w:sz w:val="9"/>
                <w:szCs w:val="9"/>
                <w:b w:val="1"/>
                <w:bCs w:val="1"/>
                <w:color w:val="auto"/>
                <w:w w:val="72"/>
              </w:rPr>
              <w:t>(3)</w:t>
            </w:r>
          </w:p>
        </w:tc>
        <w:tc>
          <w:tcPr>
            <w:tcW w:w="0" w:type="dxa"/>
            <w:vAlign w:val="bottom"/>
          </w:tcPr>
          <w:p>
            <w:pPr>
              <w:spacing w:after="0"/>
              <w:rPr>
                <w:sz w:val="1"/>
                <w:szCs w:val="1"/>
                <w:color w:val="auto"/>
              </w:rPr>
            </w:pPr>
          </w:p>
        </w:tc>
      </w:tr>
      <w:tr>
        <w:trPr>
          <w:trHeight w:val="189"/>
        </w:trPr>
        <w:tc>
          <w:tcPr>
            <w:tcW w:w="3700" w:type="dxa"/>
            <w:vAlign w:val="bottom"/>
            <w:tcBorders>
              <w:left w:val="single" w:sz="8" w:color="auto"/>
              <w:bottom w:val="single" w:sz="8" w:color="auto"/>
              <w:right w:val="single" w:sz="8" w:color="auto"/>
            </w:tcBorders>
          </w:tcPr>
          <w:p>
            <w:pPr>
              <w:spacing w:after="0"/>
              <w:rPr>
                <w:sz w:val="16"/>
                <w:szCs w:val="16"/>
                <w:color w:val="auto"/>
              </w:rPr>
            </w:pPr>
          </w:p>
        </w:tc>
        <w:tc>
          <w:tcPr>
            <w:tcW w:w="1880" w:type="dxa"/>
            <w:vAlign w:val="bottom"/>
            <w:tcBorders>
              <w:bottom w:val="single" w:sz="8" w:color="auto"/>
              <w:right w:val="single" w:sz="8" w:color="auto"/>
            </w:tcBorders>
          </w:tcPr>
          <w:p>
            <w:pPr>
              <w:spacing w:after="0"/>
              <w:rPr>
                <w:sz w:val="16"/>
                <w:szCs w:val="16"/>
                <w:color w:val="auto"/>
              </w:rPr>
            </w:pPr>
          </w:p>
        </w:tc>
        <w:tc>
          <w:tcPr>
            <w:tcW w:w="1900" w:type="dxa"/>
            <w:vAlign w:val="bottom"/>
            <w:tcBorders>
              <w:bottom w:val="single" w:sz="8" w:color="auto"/>
              <w:right w:val="single" w:sz="8" w:color="auto"/>
            </w:tcBorders>
          </w:tcPr>
          <w:p>
            <w:pPr>
              <w:jc w:val="center"/>
              <w:spacing w:after="0" w:line="189" w:lineRule="exact"/>
              <w:rPr>
                <w:sz w:val="20"/>
                <w:szCs w:val="20"/>
                <w:color w:val="auto"/>
              </w:rPr>
            </w:pPr>
            <w:r>
              <w:rPr>
                <w:rFonts w:ascii="Arial" w:cs="Arial" w:eastAsia="Arial" w:hAnsi="Arial"/>
                <w:sz w:val="14"/>
                <w:szCs w:val="14"/>
                <w:b w:val="1"/>
                <w:bCs w:val="1"/>
                <w:color w:val="auto"/>
                <w:w w:val="87"/>
              </w:rPr>
              <w:t>Technique</w:t>
            </w:r>
            <w:r>
              <w:rPr>
                <w:rFonts w:ascii="Arial" w:cs="Arial" w:eastAsia="Arial" w:hAnsi="Arial"/>
                <w:sz w:val="18"/>
                <w:szCs w:val="18"/>
                <w:b w:val="1"/>
                <w:bCs w:val="1"/>
                <w:color w:val="auto"/>
                <w:w w:val="87"/>
                <w:vertAlign w:val="superscript"/>
              </w:rPr>
              <w:t>(1)</w:t>
            </w:r>
          </w:p>
        </w:tc>
        <w:tc>
          <w:tcPr>
            <w:tcW w:w="1880" w:type="dxa"/>
            <w:vAlign w:val="bottom"/>
            <w:tcBorders>
              <w:bottom w:val="single" w:sz="8" w:color="auto"/>
              <w:right w:val="single" w:sz="8" w:color="auto"/>
            </w:tcBorders>
          </w:tcPr>
          <w:p>
            <w:pPr>
              <w:spacing w:after="0"/>
              <w:rPr>
                <w:sz w:val="16"/>
                <w:szCs w:val="16"/>
                <w:color w:val="auto"/>
              </w:rPr>
            </w:pPr>
          </w:p>
        </w:tc>
        <w:tc>
          <w:tcPr>
            <w:tcW w:w="150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w w:val="91"/>
              </w:rPr>
              <w:t>(Weighted Average)</w:t>
            </w:r>
          </w:p>
        </w:tc>
        <w:tc>
          <w:tcPr>
            <w:tcW w:w="40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73"/>
        </w:trPr>
        <w:tc>
          <w:tcPr>
            <w:tcW w:w="3700" w:type="dxa"/>
            <w:vAlign w:val="bottom"/>
            <w:tcBorders>
              <w:left w:val="single" w:sz="8" w:color="auto"/>
              <w:right w:val="single" w:sz="8" w:color="auto"/>
            </w:tcBorders>
          </w:tcPr>
          <w:p>
            <w:pPr>
              <w:spacing w:after="0"/>
              <w:rPr>
                <w:sz w:val="24"/>
                <w:szCs w:val="24"/>
                <w:color w:val="auto"/>
              </w:rPr>
            </w:pPr>
          </w:p>
        </w:tc>
        <w:tc>
          <w:tcPr>
            <w:tcW w:w="1880" w:type="dxa"/>
            <w:vAlign w:val="bottom"/>
            <w:tcBorders>
              <w:right w:val="single" w:sz="8" w:color="auto"/>
            </w:tcBorders>
          </w:tcPr>
          <w:p>
            <w:pPr>
              <w:spacing w:after="0"/>
              <w:rPr>
                <w:sz w:val="24"/>
                <w:szCs w:val="24"/>
                <w:color w:val="auto"/>
              </w:rPr>
            </w:pPr>
          </w:p>
        </w:tc>
        <w:tc>
          <w:tcPr>
            <w:tcW w:w="1900" w:type="dxa"/>
            <w:vAlign w:val="bottom"/>
            <w:tcBorders>
              <w:right w:val="single" w:sz="8" w:color="auto"/>
            </w:tcBorders>
          </w:tcPr>
          <w:p>
            <w:pPr>
              <w:spacing w:after="0"/>
              <w:rPr>
                <w:sz w:val="24"/>
                <w:szCs w:val="24"/>
                <w:color w:val="auto"/>
              </w:rPr>
            </w:pPr>
          </w:p>
        </w:tc>
        <w:tc>
          <w:tcPr>
            <w:tcW w:w="18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AFFO</w:t>
            </w:r>
            <w:r>
              <w:rPr>
                <w:rFonts w:ascii="Arial" w:cs="Arial" w:eastAsia="Arial" w:hAnsi="Arial"/>
                <w:sz w:val="23"/>
                <w:szCs w:val="23"/>
                <w:color w:val="auto"/>
                <w:w w:val="92"/>
                <w:vertAlign w:val="superscript"/>
              </w:rPr>
              <w:t>(4)</w:t>
            </w:r>
            <w:r>
              <w:rPr>
                <w:rFonts w:ascii="Arial" w:cs="Arial" w:eastAsia="Arial" w:hAnsi="Arial"/>
                <w:sz w:val="18"/>
                <w:szCs w:val="18"/>
                <w:color w:val="auto"/>
                <w:w w:val="92"/>
              </w:rPr>
              <w:t xml:space="preserve"> multiple</w:t>
            </w:r>
          </w:p>
        </w:tc>
        <w:tc>
          <w:tcPr>
            <w:tcW w:w="190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color w:val="auto"/>
                <w:w w:val="92"/>
              </w:rPr>
              <w:t>27.09x (27.09x)</w:t>
            </w:r>
          </w:p>
        </w:tc>
        <w:tc>
          <w:tcPr>
            <w:tcW w:w="0" w:type="dxa"/>
            <w:vAlign w:val="bottom"/>
          </w:tcPr>
          <w:p>
            <w:pPr>
              <w:spacing w:after="0"/>
              <w:rPr>
                <w:sz w:val="1"/>
                <w:szCs w:val="1"/>
                <w:color w:val="auto"/>
              </w:rPr>
            </w:pPr>
          </w:p>
        </w:tc>
      </w:tr>
      <w:tr>
        <w:trPr>
          <w:trHeight w:val="26"/>
        </w:trPr>
        <w:tc>
          <w:tcPr>
            <w:tcW w:w="3700" w:type="dxa"/>
            <w:vAlign w:val="bottom"/>
            <w:tcBorders>
              <w:left w:val="single" w:sz="8" w:color="auto"/>
              <w:right w:val="single" w:sz="8" w:color="auto"/>
            </w:tcBorders>
          </w:tcPr>
          <w:p>
            <w:pPr>
              <w:spacing w:after="0"/>
              <w:rPr>
                <w:sz w:val="2"/>
                <w:szCs w:val="2"/>
                <w:color w:val="auto"/>
              </w:rPr>
            </w:pPr>
          </w:p>
        </w:tc>
        <w:tc>
          <w:tcPr>
            <w:tcW w:w="1880" w:type="dxa"/>
            <w:vAlign w:val="bottom"/>
            <w:tcBorders>
              <w:right w:val="single" w:sz="8" w:color="auto"/>
            </w:tcBorders>
          </w:tcPr>
          <w:p>
            <w:pPr>
              <w:spacing w:after="0"/>
              <w:rPr>
                <w:sz w:val="2"/>
                <w:szCs w:val="2"/>
                <w:color w:val="auto"/>
              </w:rPr>
            </w:pPr>
          </w:p>
        </w:tc>
        <w:tc>
          <w:tcPr>
            <w:tcW w:w="19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Market approach</w:t>
            </w:r>
          </w:p>
        </w:tc>
        <w:tc>
          <w:tcPr>
            <w:tcW w:w="1880" w:type="dxa"/>
            <w:vAlign w:val="bottom"/>
            <w:tcBorders>
              <w:bottom w:val="single" w:sz="8" w:color="auto"/>
              <w:right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4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37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Common stock in</w:t>
            </w:r>
          </w:p>
        </w:tc>
        <w:tc>
          <w:tcPr>
            <w:tcW w:w="18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$45,159,739</w:t>
            </w:r>
          </w:p>
        </w:tc>
        <w:tc>
          <w:tcPr>
            <w:tcW w:w="1900" w:type="dxa"/>
            <w:vAlign w:val="bottom"/>
            <w:tcBorders>
              <w:right w:val="single" w:sz="8" w:color="auto"/>
            </w:tcBorders>
            <w:vMerge w:val="continue"/>
          </w:tcPr>
          <w:p>
            <w:pPr>
              <w:spacing w:after="0"/>
              <w:rPr>
                <w:sz w:val="19"/>
                <w:szCs w:val="19"/>
                <w:color w:val="auto"/>
              </w:rPr>
            </w:pPr>
          </w:p>
        </w:tc>
        <w:tc>
          <w:tcPr>
            <w:tcW w:w="18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Revenue multiples</w:t>
            </w:r>
          </w:p>
        </w:tc>
        <w:tc>
          <w:tcPr>
            <w:tcW w:w="190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color w:val="auto"/>
                <w:w w:val="92"/>
              </w:rPr>
              <w:t>1.74x - 2.02x (0.00x)</w:t>
            </w:r>
          </w:p>
        </w:tc>
        <w:tc>
          <w:tcPr>
            <w:tcW w:w="0" w:type="dxa"/>
            <w:vAlign w:val="bottom"/>
          </w:tcPr>
          <w:p>
            <w:pPr>
              <w:spacing w:after="0"/>
              <w:rPr>
                <w:sz w:val="1"/>
                <w:szCs w:val="1"/>
                <w:color w:val="auto"/>
              </w:rPr>
            </w:pPr>
          </w:p>
        </w:tc>
      </w:tr>
      <w:tr>
        <w:trPr>
          <w:trHeight w:val="40"/>
        </w:trPr>
        <w:tc>
          <w:tcPr>
            <w:tcW w:w="3700" w:type="dxa"/>
            <w:vAlign w:val="bottom"/>
            <w:tcBorders>
              <w:left w:val="single" w:sz="8" w:color="auto"/>
              <w:right w:val="single" w:sz="8" w:color="auto"/>
            </w:tcBorders>
            <w:vMerge w:val="continue"/>
          </w:tcPr>
          <w:p>
            <w:pPr>
              <w:spacing w:after="0"/>
              <w:rPr>
                <w:sz w:val="3"/>
                <w:szCs w:val="3"/>
                <w:color w:val="auto"/>
              </w:rPr>
            </w:pPr>
          </w:p>
        </w:tc>
        <w:tc>
          <w:tcPr>
            <w:tcW w:w="1880" w:type="dxa"/>
            <w:vAlign w:val="bottom"/>
            <w:tcBorders>
              <w:right w:val="single" w:sz="8" w:color="auto"/>
            </w:tcBorders>
            <w:vMerge w:val="continue"/>
          </w:tcPr>
          <w:p>
            <w:pPr>
              <w:spacing w:after="0"/>
              <w:rPr>
                <w:sz w:val="3"/>
                <w:szCs w:val="3"/>
                <w:color w:val="auto"/>
              </w:rPr>
            </w:pPr>
          </w:p>
        </w:tc>
        <w:tc>
          <w:tcPr>
            <w:tcW w:w="1900" w:type="dxa"/>
            <w:vAlign w:val="bottom"/>
            <w:tcBorders>
              <w:right w:val="single" w:sz="8" w:color="auto"/>
            </w:tcBorders>
          </w:tcPr>
          <w:p>
            <w:pPr>
              <w:spacing w:after="0"/>
              <w:rPr>
                <w:sz w:val="3"/>
                <w:szCs w:val="3"/>
                <w:color w:val="auto"/>
              </w:rPr>
            </w:pPr>
          </w:p>
        </w:tc>
        <w:tc>
          <w:tcPr>
            <w:tcW w:w="1880" w:type="dxa"/>
            <w:vAlign w:val="bottom"/>
            <w:tcBorders>
              <w:right w:val="single" w:sz="8" w:color="auto"/>
            </w:tcBorders>
            <w:vMerge w:val="continue"/>
          </w:tcPr>
          <w:p>
            <w:pPr>
              <w:spacing w:after="0"/>
              <w:rPr>
                <w:sz w:val="3"/>
                <w:szCs w:val="3"/>
                <w:color w:val="auto"/>
              </w:rPr>
            </w:pPr>
          </w:p>
        </w:tc>
        <w:tc>
          <w:tcPr>
            <w:tcW w:w="1900" w:type="dxa"/>
            <w:vAlign w:val="bottom"/>
            <w:tcBorders>
              <w:right w:val="single" w:sz="8" w:color="auto"/>
            </w:tcBorders>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35"/>
        </w:trPr>
        <w:tc>
          <w:tcPr>
            <w:tcW w:w="37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88"/>
              </w:rPr>
              <w:t>private companies</w:t>
            </w:r>
          </w:p>
        </w:tc>
        <w:tc>
          <w:tcPr>
            <w:tcW w:w="1880" w:type="dxa"/>
            <w:vAlign w:val="bottom"/>
            <w:tcBorders>
              <w:right w:val="single" w:sz="8" w:color="auto"/>
            </w:tcBorders>
            <w:vMerge w:val="continue"/>
          </w:tcPr>
          <w:p>
            <w:pPr>
              <w:spacing w:after="0"/>
              <w:rPr>
                <w:sz w:val="11"/>
                <w:szCs w:val="11"/>
                <w:color w:val="auto"/>
              </w:rPr>
            </w:pPr>
          </w:p>
        </w:tc>
        <w:tc>
          <w:tcPr>
            <w:tcW w:w="1900" w:type="dxa"/>
            <w:vAlign w:val="bottom"/>
            <w:tcBorders>
              <w:right w:val="single" w:sz="8" w:color="auto"/>
            </w:tcBorders>
          </w:tcPr>
          <w:p>
            <w:pPr>
              <w:spacing w:after="0"/>
              <w:rPr>
                <w:sz w:val="11"/>
                <w:szCs w:val="11"/>
                <w:color w:val="auto"/>
              </w:rPr>
            </w:pPr>
          </w:p>
        </w:tc>
        <w:tc>
          <w:tcPr>
            <w:tcW w:w="1880" w:type="dxa"/>
            <w:vAlign w:val="bottom"/>
            <w:tcBorders>
              <w:bottom w:val="single" w:sz="8" w:color="auto"/>
              <w:right w:val="single" w:sz="8" w:color="auto"/>
            </w:tcBorders>
          </w:tcPr>
          <w:p>
            <w:pPr>
              <w:spacing w:after="0"/>
              <w:rPr>
                <w:sz w:val="11"/>
                <w:szCs w:val="11"/>
                <w:color w:val="auto"/>
              </w:rPr>
            </w:pPr>
          </w:p>
        </w:tc>
        <w:tc>
          <w:tcPr>
            <w:tcW w:w="1500" w:type="dxa"/>
            <w:vAlign w:val="bottom"/>
            <w:tcBorders>
              <w:bottom w:val="single" w:sz="8" w:color="auto"/>
            </w:tcBorders>
          </w:tcPr>
          <w:p>
            <w:pPr>
              <w:spacing w:after="0"/>
              <w:rPr>
                <w:sz w:val="11"/>
                <w:szCs w:val="11"/>
                <w:color w:val="auto"/>
              </w:rPr>
            </w:pPr>
          </w:p>
        </w:tc>
        <w:tc>
          <w:tcPr>
            <w:tcW w:w="40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3700" w:type="dxa"/>
            <w:vAlign w:val="bottom"/>
            <w:tcBorders>
              <w:left w:val="single" w:sz="8" w:color="auto"/>
              <w:right w:val="single" w:sz="8" w:color="auto"/>
            </w:tcBorders>
            <w:vMerge w:val="continue"/>
          </w:tcPr>
          <w:p>
            <w:pPr>
              <w:spacing w:after="0"/>
              <w:rPr>
                <w:sz w:val="6"/>
                <w:szCs w:val="6"/>
                <w:color w:val="auto"/>
              </w:rPr>
            </w:pPr>
          </w:p>
        </w:tc>
        <w:tc>
          <w:tcPr>
            <w:tcW w:w="1880" w:type="dxa"/>
            <w:vAlign w:val="bottom"/>
            <w:tcBorders>
              <w:right w:val="single" w:sz="8" w:color="auto"/>
            </w:tcBorders>
          </w:tcPr>
          <w:p>
            <w:pPr>
              <w:spacing w:after="0"/>
              <w:rPr>
                <w:sz w:val="6"/>
                <w:szCs w:val="6"/>
                <w:color w:val="auto"/>
              </w:rPr>
            </w:pPr>
          </w:p>
        </w:tc>
        <w:tc>
          <w:tcPr>
            <w:tcW w:w="1900" w:type="dxa"/>
            <w:vAlign w:val="bottom"/>
            <w:tcBorders>
              <w:right w:val="single" w:sz="8" w:color="auto"/>
            </w:tcBorders>
          </w:tcPr>
          <w:p>
            <w:pPr>
              <w:spacing w:after="0"/>
              <w:rPr>
                <w:sz w:val="6"/>
                <w:szCs w:val="6"/>
                <w:color w:val="auto"/>
              </w:rPr>
            </w:pPr>
          </w:p>
        </w:tc>
        <w:tc>
          <w:tcPr>
            <w:tcW w:w="18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3"/>
              </w:rPr>
              <w:t>Liquidation value</w:t>
            </w:r>
          </w:p>
        </w:tc>
        <w:tc>
          <w:tcPr>
            <w:tcW w:w="1500" w:type="dxa"/>
            <w:vAlign w:val="bottom"/>
            <w:vMerge w:val="restart"/>
          </w:tcPr>
          <w:p>
            <w:pPr>
              <w:jc w:val="center"/>
              <w:ind w:left="292"/>
              <w:spacing w:after="0"/>
              <w:rPr>
                <w:sz w:val="20"/>
                <w:szCs w:val="20"/>
                <w:color w:val="auto"/>
              </w:rPr>
            </w:pPr>
            <w:r>
              <w:rPr>
                <w:rFonts w:ascii="Arial" w:cs="Arial" w:eastAsia="Arial" w:hAnsi="Arial"/>
                <w:sz w:val="18"/>
                <w:szCs w:val="18"/>
                <w:color w:val="auto"/>
              </w:rPr>
              <w:t>N/A</w:t>
            </w:r>
          </w:p>
        </w:tc>
        <w:tc>
          <w:tcPr>
            <w:tcW w:w="40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55"/>
        </w:trPr>
        <w:tc>
          <w:tcPr>
            <w:tcW w:w="3700" w:type="dxa"/>
            <w:vAlign w:val="bottom"/>
            <w:tcBorders>
              <w:left w:val="single" w:sz="8" w:color="auto"/>
              <w:right w:val="single" w:sz="8" w:color="auto"/>
            </w:tcBorders>
          </w:tcPr>
          <w:p>
            <w:pPr>
              <w:spacing w:after="0"/>
              <w:rPr>
                <w:sz w:val="13"/>
                <w:szCs w:val="13"/>
                <w:color w:val="auto"/>
              </w:rPr>
            </w:pPr>
          </w:p>
        </w:tc>
        <w:tc>
          <w:tcPr>
            <w:tcW w:w="1880" w:type="dxa"/>
            <w:vAlign w:val="bottom"/>
            <w:tcBorders>
              <w:right w:val="single" w:sz="8" w:color="auto"/>
            </w:tcBorders>
          </w:tcPr>
          <w:p>
            <w:pPr>
              <w:spacing w:after="0"/>
              <w:rPr>
                <w:sz w:val="13"/>
                <w:szCs w:val="13"/>
                <w:color w:val="auto"/>
              </w:rPr>
            </w:pPr>
          </w:p>
        </w:tc>
        <w:tc>
          <w:tcPr>
            <w:tcW w:w="1900" w:type="dxa"/>
            <w:vAlign w:val="bottom"/>
            <w:tcBorders>
              <w:bottom w:val="single" w:sz="8" w:color="auto"/>
              <w:right w:val="single" w:sz="8" w:color="auto"/>
            </w:tcBorders>
          </w:tcPr>
          <w:p>
            <w:pPr>
              <w:spacing w:after="0"/>
              <w:rPr>
                <w:sz w:val="13"/>
                <w:szCs w:val="13"/>
                <w:color w:val="auto"/>
              </w:rPr>
            </w:pPr>
          </w:p>
        </w:tc>
        <w:tc>
          <w:tcPr>
            <w:tcW w:w="1880" w:type="dxa"/>
            <w:vAlign w:val="bottom"/>
            <w:tcBorders>
              <w:bottom w:val="single" w:sz="8" w:color="auto"/>
              <w:right w:val="single" w:sz="8" w:color="auto"/>
            </w:tcBorders>
            <w:vMerge w:val="continue"/>
          </w:tcPr>
          <w:p>
            <w:pPr>
              <w:spacing w:after="0"/>
              <w:rPr>
                <w:sz w:val="13"/>
                <w:szCs w:val="13"/>
                <w:color w:val="auto"/>
              </w:rPr>
            </w:pPr>
          </w:p>
        </w:tc>
        <w:tc>
          <w:tcPr>
            <w:tcW w:w="1500" w:type="dxa"/>
            <w:vAlign w:val="bottom"/>
            <w:tcBorders>
              <w:bottom w:val="single" w:sz="8" w:color="auto"/>
            </w:tcBorders>
            <w:vMerge w:val="continue"/>
          </w:tcPr>
          <w:p>
            <w:pPr>
              <w:spacing w:after="0"/>
              <w:rPr>
                <w:sz w:val="13"/>
                <w:szCs w:val="13"/>
                <w:color w:val="auto"/>
              </w:rPr>
            </w:pPr>
          </w:p>
        </w:tc>
        <w:tc>
          <w:tcPr>
            <w:tcW w:w="40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83"/>
        </w:trPr>
        <w:tc>
          <w:tcPr>
            <w:tcW w:w="3700" w:type="dxa"/>
            <w:vAlign w:val="bottom"/>
            <w:tcBorders>
              <w:left w:val="single" w:sz="8" w:color="auto"/>
              <w:right w:val="single" w:sz="8" w:color="auto"/>
            </w:tcBorders>
          </w:tcPr>
          <w:p>
            <w:pPr>
              <w:spacing w:after="0"/>
              <w:rPr>
                <w:sz w:val="24"/>
                <w:szCs w:val="24"/>
                <w:color w:val="auto"/>
              </w:rPr>
            </w:pPr>
          </w:p>
        </w:tc>
        <w:tc>
          <w:tcPr>
            <w:tcW w:w="1880" w:type="dxa"/>
            <w:vAlign w:val="bottom"/>
            <w:tcBorders>
              <w:right w:val="single" w:sz="8" w:color="auto"/>
            </w:tcBorders>
          </w:tcPr>
          <w:p>
            <w:pPr>
              <w:spacing w:after="0"/>
              <w:rPr>
                <w:sz w:val="24"/>
                <w:szCs w:val="24"/>
                <w:color w:val="auto"/>
              </w:rPr>
            </w:pPr>
          </w:p>
        </w:tc>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Discounted cash flow</w:t>
            </w:r>
          </w:p>
        </w:tc>
        <w:tc>
          <w:tcPr>
            <w:tcW w:w="18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Discount rate</w:t>
            </w:r>
          </w:p>
        </w:tc>
        <w:tc>
          <w:tcPr>
            <w:tcW w:w="1500" w:type="dxa"/>
            <w:vAlign w:val="bottom"/>
          </w:tcPr>
          <w:p>
            <w:pPr>
              <w:jc w:val="center"/>
              <w:ind w:left="292"/>
              <w:spacing w:after="0"/>
              <w:rPr>
                <w:sz w:val="20"/>
                <w:szCs w:val="20"/>
                <w:color w:val="auto"/>
              </w:rPr>
            </w:pPr>
            <w:r>
              <w:rPr>
                <w:rFonts w:ascii="Arial" w:cs="Arial" w:eastAsia="Arial" w:hAnsi="Arial"/>
                <w:sz w:val="18"/>
                <w:szCs w:val="18"/>
                <w:color w:val="auto"/>
                <w:w w:val="90"/>
              </w:rPr>
              <w:t>12.0% (12.0%)</w:t>
            </w:r>
          </w:p>
        </w:tc>
        <w:tc>
          <w:tcPr>
            <w:tcW w:w="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67"/>
        </w:trPr>
        <w:tc>
          <w:tcPr>
            <w:tcW w:w="3700" w:type="dxa"/>
            <w:vAlign w:val="bottom"/>
            <w:tcBorders>
              <w:left w:val="single" w:sz="8" w:color="auto"/>
              <w:bottom w:val="single" w:sz="8" w:color="auto"/>
              <w:right w:val="single" w:sz="8" w:color="auto"/>
            </w:tcBorders>
          </w:tcPr>
          <w:p>
            <w:pPr>
              <w:spacing w:after="0"/>
              <w:rPr>
                <w:sz w:val="5"/>
                <w:szCs w:val="5"/>
                <w:color w:val="auto"/>
              </w:rPr>
            </w:pPr>
          </w:p>
        </w:tc>
        <w:tc>
          <w:tcPr>
            <w:tcW w:w="1880" w:type="dxa"/>
            <w:vAlign w:val="bottom"/>
            <w:tcBorders>
              <w:bottom w:val="single" w:sz="8" w:color="auto"/>
              <w:right w:val="single" w:sz="8" w:color="auto"/>
            </w:tcBorders>
          </w:tcPr>
          <w:p>
            <w:pPr>
              <w:spacing w:after="0"/>
              <w:rPr>
                <w:sz w:val="5"/>
                <w:szCs w:val="5"/>
                <w:color w:val="auto"/>
              </w:rPr>
            </w:pPr>
          </w:p>
        </w:tc>
        <w:tc>
          <w:tcPr>
            <w:tcW w:w="1900" w:type="dxa"/>
            <w:vAlign w:val="bottom"/>
            <w:tcBorders>
              <w:bottom w:val="single" w:sz="8" w:color="auto"/>
              <w:right w:val="single" w:sz="8" w:color="auto"/>
            </w:tcBorders>
          </w:tcPr>
          <w:p>
            <w:pPr>
              <w:spacing w:after="0"/>
              <w:rPr>
                <w:sz w:val="5"/>
                <w:szCs w:val="5"/>
                <w:color w:val="auto"/>
              </w:rPr>
            </w:pPr>
          </w:p>
        </w:tc>
        <w:tc>
          <w:tcPr>
            <w:tcW w:w="1880" w:type="dxa"/>
            <w:vAlign w:val="bottom"/>
            <w:tcBorders>
              <w:bottom w:val="single" w:sz="8" w:color="auto"/>
              <w:right w:val="single" w:sz="8" w:color="auto"/>
            </w:tcBorders>
          </w:tcPr>
          <w:p>
            <w:pPr>
              <w:spacing w:after="0"/>
              <w:rPr>
                <w:sz w:val="5"/>
                <w:szCs w:val="5"/>
                <w:color w:val="auto"/>
              </w:rPr>
            </w:pPr>
          </w:p>
        </w:tc>
        <w:tc>
          <w:tcPr>
            <w:tcW w:w="1900" w:type="dxa"/>
            <w:vAlign w:val="bottom"/>
            <w:tcBorders>
              <w:bottom w:val="single" w:sz="8" w:color="auto"/>
              <w:right w:val="single" w:sz="8" w:color="auto"/>
            </w:tcBorders>
            <w:gridSpan w:val="2"/>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3700" w:type="dxa"/>
            <w:vAlign w:val="bottom"/>
            <w:tcBorders>
              <w:left w:val="single" w:sz="8" w:color="auto"/>
              <w:right w:val="single" w:sz="8" w:color="auto"/>
            </w:tcBorders>
          </w:tcPr>
          <w:p>
            <w:pPr>
              <w:spacing w:after="0"/>
              <w:rPr>
                <w:sz w:val="24"/>
                <w:szCs w:val="24"/>
                <w:color w:val="auto"/>
              </w:rPr>
            </w:pPr>
          </w:p>
        </w:tc>
        <w:tc>
          <w:tcPr>
            <w:tcW w:w="1880" w:type="dxa"/>
            <w:vAlign w:val="bottom"/>
            <w:tcBorders>
              <w:right w:val="single" w:sz="8" w:color="auto"/>
            </w:tcBorders>
          </w:tcPr>
          <w:p>
            <w:pPr>
              <w:spacing w:after="0"/>
              <w:rPr>
                <w:sz w:val="24"/>
                <w:szCs w:val="24"/>
                <w:color w:val="auto"/>
              </w:rPr>
            </w:pPr>
          </w:p>
        </w:tc>
        <w:tc>
          <w:tcPr>
            <w:tcW w:w="19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Market approach</w:t>
            </w:r>
          </w:p>
        </w:tc>
        <w:tc>
          <w:tcPr>
            <w:tcW w:w="18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Revenue multiples</w:t>
            </w:r>
          </w:p>
        </w:tc>
        <w:tc>
          <w:tcPr>
            <w:tcW w:w="190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color w:val="auto"/>
                <w:w w:val="92"/>
              </w:rPr>
              <w:t>1.17x - 4.46x (3.08x)</w:t>
            </w:r>
          </w:p>
        </w:tc>
        <w:tc>
          <w:tcPr>
            <w:tcW w:w="0" w:type="dxa"/>
            <w:vAlign w:val="bottom"/>
          </w:tcPr>
          <w:p>
            <w:pPr>
              <w:spacing w:after="0"/>
              <w:rPr>
                <w:sz w:val="1"/>
                <w:szCs w:val="1"/>
                <w:color w:val="auto"/>
              </w:rPr>
            </w:pPr>
          </w:p>
        </w:tc>
      </w:tr>
      <w:tr>
        <w:trPr>
          <w:trHeight w:val="67"/>
        </w:trPr>
        <w:tc>
          <w:tcPr>
            <w:tcW w:w="3700" w:type="dxa"/>
            <w:vAlign w:val="bottom"/>
            <w:tcBorders>
              <w:left w:val="single" w:sz="8" w:color="auto"/>
              <w:right w:val="single" w:sz="8" w:color="auto"/>
            </w:tcBorders>
          </w:tcPr>
          <w:p>
            <w:pPr>
              <w:spacing w:after="0"/>
              <w:rPr>
                <w:sz w:val="5"/>
                <w:szCs w:val="5"/>
                <w:color w:val="auto"/>
              </w:rPr>
            </w:pPr>
          </w:p>
        </w:tc>
        <w:tc>
          <w:tcPr>
            <w:tcW w:w="1880" w:type="dxa"/>
            <w:vAlign w:val="bottom"/>
            <w:tcBorders>
              <w:right w:val="single" w:sz="8" w:color="auto"/>
            </w:tcBorders>
          </w:tcPr>
          <w:p>
            <w:pPr>
              <w:spacing w:after="0"/>
              <w:rPr>
                <w:sz w:val="5"/>
                <w:szCs w:val="5"/>
                <w:color w:val="auto"/>
              </w:rPr>
            </w:pPr>
          </w:p>
        </w:tc>
        <w:tc>
          <w:tcPr>
            <w:tcW w:w="1900" w:type="dxa"/>
            <w:vAlign w:val="bottom"/>
            <w:tcBorders>
              <w:right w:val="single" w:sz="8" w:color="auto"/>
            </w:tcBorders>
            <w:vMerge w:val="continue"/>
          </w:tcPr>
          <w:p>
            <w:pPr>
              <w:spacing w:after="0"/>
              <w:rPr>
                <w:sz w:val="5"/>
                <w:szCs w:val="5"/>
                <w:color w:val="auto"/>
              </w:rPr>
            </w:pPr>
          </w:p>
        </w:tc>
        <w:tc>
          <w:tcPr>
            <w:tcW w:w="1880" w:type="dxa"/>
            <w:vAlign w:val="bottom"/>
            <w:tcBorders>
              <w:bottom w:val="single" w:sz="8" w:color="auto"/>
              <w:right w:val="single" w:sz="8" w:color="auto"/>
            </w:tcBorders>
          </w:tcPr>
          <w:p>
            <w:pPr>
              <w:spacing w:after="0"/>
              <w:rPr>
                <w:sz w:val="5"/>
                <w:szCs w:val="5"/>
                <w:color w:val="auto"/>
              </w:rPr>
            </w:pPr>
          </w:p>
        </w:tc>
        <w:tc>
          <w:tcPr>
            <w:tcW w:w="1500" w:type="dxa"/>
            <w:vAlign w:val="bottom"/>
            <w:tcBorders>
              <w:bottom w:val="single" w:sz="8" w:color="auto"/>
            </w:tcBorders>
          </w:tcPr>
          <w:p>
            <w:pPr>
              <w:spacing w:after="0"/>
              <w:rPr>
                <w:sz w:val="5"/>
                <w:szCs w:val="5"/>
                <w:color w:val="auto"/>
              </w:rPr>
            </w:pPr>
          </w:p>
        </w:tc>
        <w:tc>
          <w:tcPr>
            <w:tcW w:w="4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9"/>
        </w:trPr>
        <w:tc>
          <w:tcPr>
            <w:tcW w:w="3700" w:type="dxa"/>
            <w:vAlign w:val="bottom"/>
            <w:tcBorders>
              <w:left w:val="single" w:sz="8" w:color="auto"/>
              <w:right w:val="single" w:sz="8" w:color="auto"/>
            </w:tcBorders>
          </w:tcPr>
          <w:p>
            <w:pPr>
              <w:spacing w:after="0"/>
              <w:rPr>
                <w:sz w:val="11"/>
                <w:szCs w:val="11"/>
                <w:color w:val="auto"/>
              </w:rPr>
            </w:pPr>
          </w:p>
        </w:tc>
        <w:tc>
          <w:tcPr>
            <w:tcW w:w="1880" w:type="dxa"/>
            <w:vAlign w:val="bottom"/>
            <w:tcBorders>
              <w:right w:val="single" w:sz="8" w:color="auto"/>
            </w:tcBorders>
          </w:tcPr>
          <w:p>
            <w:pPr>
              <w:spacing w:after="0"/>
              <w:rPr>
                <w:sz w:val="11"/>
                <w:szCs w:val="11"/>
                <w:color w:val="auto"/>
              </w:rPr>
            </w:pPr>
          </w:p>
        </w:tc>
        <w:tc>
          <w:tcPr>
            <w:tcW w:w="1900" w:type="dxa"/>
            <w:vAlign w:val="bottom"/>
            <w:tcBorders>
              <w:right w:val="single" w:sz="8" w:color="auto"/>
            </w:tcBorders>
            <w:vMerge w:val="continue"/>
          </w:tcPr>
          <w:p>
            <w:pPr>
              <w:spacing w:after="0"/>
              <w:rPr>
                <w:sz w:val="11"/>
                <w:szCs w:val="11"/>
                <w:color w:val="auto"/>
              </w:rPr>
            </w:pPr>
          </w:p>
        </w:tc>
        <w:tc>
          <w:tcPr>
            <w:tcW w:w="1880" w:type="dxa"/>
            <w:vAlign w:val="bottom"/>
            <w:tcBorders>
              <w:right w:val="single" w:sz="8" w:color="auto"/>
            </w:tcBorders>
            <w:vMerge w:val="restart"/>
          </w:tcPr>
          <w:p>
            <w:pPr>
              <w:jc w:val="center"/>
              <w:spacing w:after="0" w:line="169" w:lineRule="exact"/>
              <w:rPr>
                <w:sz w:val="20"/>
                <w:szCs w:val="20"/>
                <w:color w:val="auto"/>
              </w:rPr>
            </w:pPr>
            <w:r>
              <w:rPr>
                <w:rFonts w:ascii="Arial" w:cs="Arial" w:eastAsia="Arial" w:hAnsi="Arial"/>
                <w:sz w:val="18"/>
                <w:szCs w:val="18"/>
                <w:color w:val="auto"/>
                <w:w w:val="85"/>
              </w:rPr>
              <w:t>Precedent</w:t>
            </w:r>
          </w:p>
        </w:tc>
        <w:tc>
          <w:tcPr>
            <w:tcW w:w="1500" w:type="dxa"/>
            <w:vAlign w:val="bottom"/>
            <w:vMerge w:val="restart"/>
          </w:tcPr>
          <w:p>
            <w:pPr>
              <w:jc w:val="center"/>
              <w:ind w:left="292"/>
              <w:spacing w:after="0"/>
              <w:rPr>
                <w:sz w:val="20"/>
                <w:szCs w:val="20"/>
                <w:color w:val="auto"/>
              </w:rPr>
            </w:pPr>
            <w:r>
              <w:rPr>
                <w:rFonts w:ascii="Arial" w:cs="Arial" w:eastAsia="Arial" w:hAnsi="Arial"/>
                <w:sz w:val="18"/>
                <w:szCs w:val="18"/>
                <w:color w:val="auto"/>
              </w:rPr>
              <w:t>N/A</w:t>
            </w:r>
          </w:p>
        </w:tc>
        <w:tc>
          <w:tcPr>
            <w:tcW w:w="4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40"/>
        </w:trPr>
        <w:tc>
          <w:tcPr>
            <w:tcW w:w="3700" w:type="dxa"/>
            <w:vAlign w:val="bottom"/>
            <w:tcBorders>
              <w:left w:val="single" w:sz="8" w:color="auto"/>
              <w:right w:val="single" w:sz="8" w:color="auto"/>
            </w:tcBorders>
          </w:tcPr>
          <w:p>
            <w:pPr>
              <w:spacing w:after="0"/>
              <w:rPr>
                <w:sz w:val="3"/>
                <w:szCs w:val="3"/>
                <w:color w:val="auto"/>
              </w:rPr>
            </w:pPr>
          </w:p>
        </w:tc>
        <w:tc>
          <w:tcPr>
            <w:tcW w:w="1880" w:type="dxa"/>
            <w:vAlign w:val="bottom"/>
            <w:tcBorders>
              <w:right w:val="single" w:sz="8" w:color="auto"/>
            </w:tcBorders>
          </w:tcPr>
          <w:p>
            <w:pPr>
              <w:spacing w:after="0"/>
              <w:rPr>
                <w:sz w:val="3"/>
                <w:szCs w:val="3"/>
                <w:color w:val="auto"/>
              </w:rPr>
            </w:pPr>
          </w:p>
        </w:tc>
        <w:tc>
          <w:tcPr>
            <w:tcW w:w="1900" w:type="dxa"/>
            <w:vAlign w:val="bottom"/>
            <w:tcBorders>
              <w:right w:val="single" w:sz="8" w:color="auto"/>
            </w:tcBorders>
          </w:tcPr>
          <w:p>
            <w:pPr>
              <w:spacing w:after="0"/>
              <w:rPr>
                <w:sz w:val="3"/>
                <w:szCs w:val="3"/>
                <w:color w:val="auto"/>
              </w:rPr>
            </w:pPr>
          </w:p>
        </w:tc>
        <w:tc>
          <w:tcPr>
            <w:tcW w:w="1880" w:type="dxa"/>
            <w:vAlign w:val="bottom"/>
            <w:tcBorders>
              <w:right w:val="single" w:sz="8" w:color="auto"/>
            </w:tcBorders>
            <w:vMerge w:val="continue"/>
          </w:tcPr>
          <w:p>
            <w:pPr>
              <w:spacing w:after="0"/>
              <w:rPr>
                <w:sz w:val="3"/>
                <w:szCs w:val="3"/>
                <w:color w:val="auto"/>
              </w:rPr>
            </w:pPr>
          </w:p>
        </w:tc>
        <w:tc>
          <w:tcPr>
            <w:tcW w:w="1500" w:type="dxa"/>
            <w:vAlign w:val="bottom"/>
            <w:vMerge w:val="continue"/>
          </w:tcPr>
          <w:p>
            <w:pPr>
              <w:spacing w:after="0"/>
              <w:rPr>
                <w:sz w:val="3"/>
                <w:szCs w:val="3"/>
                <w:color w:val="auto"/>
              </w:rPr>
            </w:pPr>
          </w:p>
        </w:tc>
        <w:tc>
          <w:tcPr>
            <w:tcW w:w="400" w:type="dxa"/>
            <w:vAlign w:val="bottom"/>
            <w:tcBorders>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35"/>
        </w:trPr>
        <w:tc>
          <w:tcPr>
            <w:tcW w:w="3700" w:type="dxa"/>
            <w:vAlign w:val="bottom"/>
            <w:tcBorders>
              <w:left w:val="single" w:sz="8" w:color="auto"/>
              <w:right w:val="single" w:sz="8" w:color="auto"/>
            </w:tcBorders>
          </w:tcPr>
          <w:p>
            <w:pPr>
              <w:spacing w:after="0"/>
              <w:rPr>
                <w:sz w:val="11"/>
                <w:szCs w:val="11"/>
                <w:color w:val="auto"/>
              </w:rPr>
            </w:pPr>
          </w:p>
        </w:tc>
        <w:tc>
          <w:tcPr>
            <w:tcW w:w="1880" w:type="dxa"/>
            <w:vAlign w:val="bottom"/>
            <w:tcBorders>
              <w:right w:val="single" w:sz="8" w:color="auto"/>
            </w:tcBorders>
          </w:tcPr>
          <w:p>
            <w:pPr>
              <w:spacing w:after="0"/>
              <w:rPr>
                <w:sz w:val="11"/>
                <w:szCs w:val="11"/>
                <w:color w:val="auto"/>
              </w:rPr>
            </w:pPr>
          </w:p>
        </w:tc>
        <w:tc>
          <w:tcPr>
            <w:tcW w:w="1900" w:type="dxa"/>
            <w:vAlign w:val="bottom"/>
            <w:tcBorders>
              <w:right w:val="single" w:sz="8" w:color="auto"/>
            </w:tcBorders>
          </w:tcPr>
          <w:p>
            <w:pPr>
              <w:spacing w:after="0"/>
              <w:rPr>
                <w:sz w:val="11"/>
                <w:szCs w:val="11"/>
                <w:color w:val="auto"/>
              </w:rPr>
            </w:pPr>
          </w:p>
        </w:tc>
        <w:tc>
          <w:tcPr>
            <w:tcW w:w="18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8"/>
              </w:rPr>
              <w:t>transactions</w:t>
            </w:r>
          </w:p>
        </w:tc>
        <w:tc>
          <w:tcPr>
            <w:tcW w:w="1500" w:type="dxa"/>
            <w:vAlign w:val="bottom"/>
            <w:vMerge w:val="continue"/>
          </w:tcPr>
          <w:p>
            <w:pPr>
              <w:spacing w:after="0"/>
              <w:rPr>
                <w:sz w:val="11"/>
                <w:szCs w:val="11"/>
                <w:color w:val="auto"/>
              </w:rPr>
            </w:pPr>
          </w:p>
        </w:tc>
        <w:tc>
          <w:tcPr>
            <w:tcW w:w="4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37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Preferred stock in</w:t>
            </w:r>
          </w:p>
        </w:tc>
        <w:tc>
          <w:tcPr>
            <w:tcW w:w="1880" w:type="dxa"/>
            <w:vAlign w:val="bottom"/>
            <w:tcBorders>
              <w:right w:val="single" w:sz="8" w:color="auto"/>
            </w:tcBorders>
          </w:tcPr>
          <w:p>
            <w:pPr>
              <w:spacing w:after="0"/>
              <w:rPr>
                <w:sz w:val="8"/>
                <w:szCs w:val="8"/>
                <w:color w:val="auto"/>
              </w:rPr>
            </w:pPr>
          </w:p>
        </w:tc>
        <w:tc>
          <w:tcPr>
            <w:tcW w:w="1900" w:type="dxa"/>
            <w:vAlign w:val="bottom"/>
            <w:tcBorders>
              <w:bottom w:val="single" w:sz="8" w:color="auto"/>
              <w:right w:val="single" w:sz="8" w:color="auto"/>
            </w:tcBorders>
          </w:tcPr>
          <w:p>
            <w:pPr>
              <w:spacing w:after="0"/>
              <w:rPr>
                <w:sz w:val="8"/>
                <w:szCs w:val="8"/>
                <w:color w:val="auto"/>
              </w:rPr>
            </w:pPr>
          </w:p>
        </w:tc>
        <w:tc>
          <w:tcPr>
            <w:tcW w:w="1880" w:type="dxa"/>
            <w:vAlign w:val="bottom"/>
            <w:tcBorders>
              <w:bottom w:val="single" w:sz="8" w:color="auto"/>
              <w:right w:val="single" w:sz="8" w:color="auto"/>
            </w:tcBorders>
            <w:vMerge w:val="continue"/>
          </w:tcPr>
          <w:p>
            <w:pPr>
              <w:spacing w:after="0"/>
              <w:rPr>
                <w:sz w:val="8"/>
                <w:szCs w:val="8"/>
                <w:color w:val="auto"/>
              </w:rPr>
            </w:pPr>
          </w:p>
        </w:tc>
        <w:tc>
          <w:tcPr>
            <w:tcW w:w="1500" w:type="dxa"/>
            <w:vAlign w:val="bottom"/>
            <w:tcBorders>
              <w:bottom w:val="single" w:sz="8" w:color="auto"/>
            </w:tcBorders>
          </w:tcPr>
          <w:p>
            <w:pPr>
              <w:spacing w:after="0"/>
              <w:rPr>
                <w:sz w:val="8"/>
                <w:szCs w:val="8"/>
                <w:color w:val="auto"/>
              </w:rPr>
            </w:pPr>
          </w:p>
        </w:tc>
        <w:tc>
          <w:tcPr>
            <w:tcW w:w="40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3700" w:type="dxa"/>
            <w:vAlign w:val="bottom"/>
            <w:tcBorders>
              <w:left w:val="single" w:sz="8" w:color="auto"/>
              <w:right w:val="single" w:sz="8" w:color="auto"/>
            </w:tcBorders>
            <w:vMerge w:val="continue"/>
          </w:tcPr>
          <w:p>
            <w:pPr>
              <w:spacing w:after="0"/>
              <w:rPr>
                <w:sz w:val="10"/>
                <w:szCs w:val="10"/>
                <w:color w:val="auto"/>
              </w:rPr>
            </w:pPr>
          </w:p>
        </w:tc>
        <w:tc>
          <w:tcPr>
            <w:tcW w:w="18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$92,992,910</w:t>
            </w:r>
          </w:p>
        </w:tc>
        <w:tc>
          <w:tcPr>
            <w:tcW w:w="19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Discounted cash flow</w:t>
            </w:r>
          </w:p>
        </w:tc>
        <w:tc>
          <w:tcPr>
            <w:tcW w:w="18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Discount rate</w:t>
            </w:r>
          </w:p>
        </w:tc>
        <w:tc>
          <w:tcPr>
            <w:tcW w:w="1500" w:type="dxa"/>
            <w:vAlign w:val="bottom"/>
            <w:vMerge w:val="restart"/>
          </w:tcPr>
          <w:p>
            <w:pPr>
              <w:jc w:val="center"/>
              <w:ind w:left="292"/>
              <w:spacing w:after="0"/>
              <w:rPr>
                <w:sz w:val="20"/>
                <w:szCs w:val="20"/>
                <w:color w:val="auto"/>
              </w:rPr>
            </w:pPr>
            <w:r>
              <w:rPr>
                <w:rFonts w:ascii="Arial" w:cs="Arial" w:eastAsia="Arial" w:hAnsi="Arial"/>
                <w:sz w:val="18"/>
                <w:szCs w:val="18"/>
                <w:color w:val="auto"/>
                <w:w w:val="90"/>
              </w:rPr>
              <w:t>12.0% (12.0%)</w:t>
            </w:r>
          </w:p>
        </w:tc>
        <w:tc>
          <w:tcPr>
            <w:tcW w:w="4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37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88"/>
              </w:rPr>
              <w:t>private companies</w:t>
            </w:r>
          </w:p>
        </w:tc>
        <w:tc>
          <w:tcPr>
            <w:tcW w:w="1880" w:type="dxa"/>
            <w:vAlign w:val="bottom"/>
            <w:tcBorders>
              <w:right w:val="single" w:sz="8" w:color="auto"/>
            </w:tcBorders>
            <w:vMerge w:val="continue"/>
          </w:tcPr>
          <w:p>
            <w:pPr>
              <w:spacing w:after="0"/>
              <w:rPr>
                <w:sz w:val="14"/>
                <w:szCs w:val="14"/>
                <w:color w:val="auto"/>
              </w:rPr>
            </w:pPr>
          </w:p>
        </w:tc>
        <w:tc>
          <w:tcPr>
            <w:tcW w:w="1900" w:type="dxa"/>
            <w:vAlign w:val="bottom"/>
            <w:tcBorders>
              <w:right w:val="single" w:sz="8" w:color="auto"/>
            </w:tcBorders>
            <w:vMerge w:val="continue"/>
          </w:tcPr>
          <w:p>
            <w:pPr>
              <w:spacing w:after="0"/>
              <w:rPr>
                <w:sz w:val="14"/>
                <w:szCs w:val="14"/>
                <w:color w:val="auto"/>
              </w:rPr>
            </w:pPr>
          </w:p>
        </w:tc>
        <w:tc>
          <w:tcPr>
            <w:tcW w:w="1880" w:type="dxa"/>
            <w:vAlign w:val="bottom"/>
            <w:tcBorders>
              <w:right w:val="single" w:sz="8" w:color="auto"/>
            </w:tcBorders>
            <w:vMerge w:val="continue"/>
          </w:tcPr>
          <w:p>
            <w:pPr>
              <w:spacing w:after="0"/>
              <w:rPr>
                <w:sz w:val="14"/>
                <w:szCs w:val="14"/>
                <w:color w:val="auto"/>
              </w:rPr>
            </w:pPr>
          </w:p>
        </w:tc>
        <w:tc>
          <w:tcPr>
            <w:tcW w:w="1500" w:type="dxa"/>
            <w:vAlign w:val="bottom"/>
            <w:vMerge w:val="continue"/>
          </w:tcPr>
          <w:p>
            <w:pPr>
              <w:spacing w:after="0"/>
              <w:rPr>
                <w:sz w:val="14"/>
                <w:szCs w:val="14"/>
                <w:color w:val="auto"/>
              </w:rPr>
            </w:pPr>
          </w:p>
        </w:tc>
        <w:tc>
          <w:tcPr>
            <w:tcW w:w="4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67"/>
        </w:trPr>
        <w:tc>
          <w:tcPr>
            <w:tcW w:w="3700" w:type="dxa"/>
            <w:vAlign w:val="bottom"/>
            <w:tcBorders>
              <w:left w:val="single" w:sz="8" w:color="auto"/>
              <w:right w:val="single" w:sz="8" w:color="auto"/>
            </w:tcBorders>
            <w:vMerge w:val="continue"/>
          </w:tcPr>
          <w:p>
            <w:pPr>
              <w:spacing w:after="0"/>
              <w:rPr>
                <w:sz w:val="5"/>
                <w:szCs w:val="5"/>
                <w:color w:val="auto"/>
              </w:rPr>
            </w:pPr>
          </w:p>
        </w:tc>
        <w:tc>
          <w:tcPr>
            <w:tcW w:w="1880" w:type="dxa"/>
            <w:vAlign w:val="bottom"/>
            <w:tcBorders>
              <w:right w:val="single" w:sz="8" w:color="auto"/>
            </w:tcBorders>
          </w:tcPr>
          <w:p>
            <w:pPr>
              <w:spacing w:after="0"/>
              <w:rPr>
                <w:sz w:val="5"/>
                <w:szCs w:val="5"/>
                <w:color w:val="auto"/>
              </w:rPr>
            </w:pPr>
          </w:p>
        </w:tc>
        <w:tc>
          <w:tcPr>
            <w:tcW w:w="1900" w:type="dxa"/>
            <w:vAlign w:val="bottom"/>
            <w:tcBorders>
              <w:bottom w:val="single" w:sz="8" w:color="auto"/>
              <w:right w:val="single" w:sz="8" w:color="auto"/>
            </w:tcBorders>
          </w:tcPr>
          <w:p>
            <w:pPr>
              <w:spacing w:after="0"/>
              <w:rPr>
                <w:sz w:val="5"/>
                <w:szCs w:val="5"/>
                <w:color w:val="auto"/>
              </w:rPr>
            </w:pPr>
          </w:p>
        </w:tc>
        <w:tc>
          <w:tcPr>
            <w:tcW w:w="1880" w:type="dxa"/>
            <w:vAlign w:val="bottom"/>
            <w:tcBorders>
              <w:bottom w:val="single" w:sz="8" w:color="auto"/>
              <w:right w:val="single" w:sz="8" w:color="auto"/>
            </w:tcBorders>
          </w:tcPr>
          <w:p>
            <w:pPr>
              <w:spacing w:after="0"/>
              <w:rPr>
                <w:sz w:val="5"/>
                <w:szCs w:val="5"/>
                <w:color w:val="auto"/>
              </w:rPr>
            </w:pPr>
          </w:p>
        </w:tc>
        <w:tc>
          <w:tcPr>
            <w:tcW w:w="1500" w:type="dxa"/>
            <w:vAlign w:val="bottom"/>
            <w:tcBorders>
              <w:bottom w:val="single" w:sz="8" w:color="auto"/>
            </w:tcBorders>
          </w:tcPr>
          <w:p>
            <w:pPr>
              <w:spacing w:after="0"/>
              <w:rPr>
                <w:sz w:val="5"/>
                <w:szCs w:val="5"/>
                <w:color w:val="auto"/>
              </w:rPr>
            </w:pPr>
          </w:p>
        </w:tc>
        <w:tc>
          <w:tcPr>
            <w:tcW w:w="4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3700" w:type="dxa"/>
            <w:vAlign w:val="bottom"/>
            <w:tcBorders>
              <w:left w:val="single" w:sz="8" w:color="auto"/>
              <w:right w:val="single" w:sz="8" w:color="auto"/>
            </w:tcBorders>
          </w:tcPr>
          <w:p>
            <w:pPr>
              <w:spacing w:after="0"/>
              <w:rPr>
                <w:sz w:val="24"/>
                <w:szCs w:val="24"/>
                <w:color w:val="auto"/>
              </w:rPr>
            </w:pPr>
          </w:p>
        </w:tc>
        <w:tc>
          <w:tcPr>
            <w:tcW w:w="1880" w:type="dxa"/>
            <w:vAlign w:val="bottom"/>
            <w:tcBorders>
              <w:right w:val="single" w:sz="8" w:color="auto"/>
            </w:tcBorders>
          </w:tcPr>
          <w:p>
            <w:pPr>
              <w:spacing w:after="0"/>
              <w:rPr>
                <w:sz w:val="24"/>
                <w:szCs w:val="24"/>
                <w:color w:val="auto"/>
              </w:rPr>
            </w:pPr>
          </w:p>
        </w:tc>
        <w:tc>
          <w:tcPr>
            <w:tcW w:w="19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PWERM</w:t>
            </w:r>
            <w:r>
              <w:rPr>
                <w:rFonts w:ascii="Arial" w:cs="Arial" w:eastAsia="Arial" w:hAnsi="Arial"/>
                <w:sz w:val="23"/>
                <w:szCs w:val="23"/>
                <w:color w:val="auto"/>
                <w:w w:val="91"/>
                <w:vertAlign w:val="superscript"/>
              </w:rPr>
              <w:t>(5)</w:t>
            </w:r>
          </w:p>
        </w:tc>
        <w:tc>
          <w:tcPr>
            <w:tcW w:w="18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Revenue multiples</w:t>
            </w:r>
          </w:p>
        </w:tc>
        <w:tc>
          <w:tcPr>
            <w:tcW w:w="190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color w:val="auto"/>
                <w:w w:val="92"/>
              </w:rPr>
              <w:t>1.27x - 3.60x (1.92x)</w:t>
            </w:r>
          </w:p>
        </w:tc>
        <w:tc>
          <w:tcPr>
            <w:tcW w:w="0" w:type="dxa"/>
            <w:vAlign w:val="bottom"/>
          </w:tcPr>
          <w:p>
            <w:pPr>
              <w:spacing w:after="0"/>
              <w:rPr>
                <w:sz w:val="1"/>
                <w:szCs w:val="1"/>
                <w:color w:val="auto"/>
              </w:rPr>
            </w:pPr>
          </w:p>
        </w:tc>
      </w:tr>
      <w:tr>
        <w:trPr>
          <w:trHeight w:val="67"/>
        </w:trPr>
        <w:tc>
          <w:tcPr>
            <w:tcW w:w="3700" w:type="dxa"/>
            <w:vAlign w:val="bottom"/>
            <w:tcBorders>
              <w:left w:val="single" w:sz="8" w:color="auto"/>
              <w:right w:val="single" w:sz="8" w:color="auto"/>
            </w:tcBorders>
          </w:tcPr>
          <w:p>
            <w:pPr>
              <w:spacing w:after="0"/>
              <w:rPr>
                <w:sz w:val="5"/>
                <w:szCs w:val="5"/>
                <w:color w:val="auto"/>
              </w:rPr>
            </w:pPr>
          </w:p>
        </w:tc>
        <w:tc>
          <w:tcPr>
            <w:tcW w:w="1880" w:type="dxa"/>
            <w:vAlign w:val="bottom"/>
            <w:tcBorders>
              <w:right w:val="single" w:sz="8" w:color="auto"/>
            </w:tcBorders>
          </w:tcPr>
          <w:p>
            <w:pPr>
              <w:spacing w:after="0"/>
              <w:rPr>
                <w:sz w:val="5"/>
                <w:szCs w:val="5"/>
                <w:color w:val="auto"/>
              </w:rPr>
            </w:pPr>
          </w:p>
        </w:tc>
        <w:tc>
          <w:tcPr>
            <w:tcW w:w="1900" w:type="dxa"/>
            <w:vAlign w:val="bottom"/>
            <w:tcBorders>
              <w:right w:val="single" w:sz="8" w:color="auto"/>
            </w:tcBorders>
            <w:vMerge w:val="continue"/>
          </w:tcPr>
          <w:p>
            <w:pPr>
              <w:spacing w:after="0"/>
              <w:rPr>
                <w:sz w:val="5"/>
                <w:szCs w:val="5"/>
                <w:color w:val="auto"/>
              </w:rPr>
            </w:pPr>
          </w:p>
        </w:tc>
        <w:tc>
          <w:tcPr>
            <w:tcW w:w="1880" w:type="dxa"/>
            <w:vAlign w:val="bottom"/>
            <w:tcBorders>
              <w:bottom w:val="single" w:sz="8" w:color="auto"/>
              <w:right w:val="single" w:sz="8" w:color="auto"/>
            </w:tcBorders>
          </w:tcPr>
          <w:p>
            <w:pPr>
              <w:spacing w:after="0"/>
              <w:rPr>
                <w:sz w:val="5"/>
                <w:szCs w:val="5"/>
                <w:color w:val="auto"/>
              </w:rPr>
            </w:pPr>
          </w:p>
        </w:tc>
        <w:tc>
          <w:tcPr>
            <w:tcW w:w="1500" w:type="dxa"/>
            <w:vAlign w:val="bottom"/>
            <w:tcBorders>
              <w:bottom w:val="single" w:sz="8" w:color="auto"/>
            </w:tcBorders>
          </w:tcPr>
          <w:p>
            <w:pPr>
              <w:spacing w:after="0"/>
              <w:rPr>
                <w:sz w:val="5"/>
                <w:szCs w:val="5"/>
                <w:color w:val="auto"/>
              </w:rPr>
            </w:pPr>
          </w:p>
        </w:tc>
        <w:tc>
          <w:tcPr>
            <w:tcW w:w="4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70"/>
        </w:trPr>
        <w:tc>
          <w:tcPr>
            <w:tcW w:w="3700" w:type="dxa"/>
            <w:vAlign w:val="bottom"/>
            <w:tcBorders>
              <w:left w:val="single" w:sz="8" w:color="auto"/>
              <w:right w:val="single" w:sz="8" w:color="auto"/>
            </w:tcBorders>
          </w:tcPr>
          <w:p>
            <w:pPr>
              <w:spacing w:after="0"/>
              <w:rPr>
                <w:sz w:val="14"/>
                <w:szCs w:val="14"/>
                <w:color w:val="auto"/>
              </w:rPr>
            </w:pPr>
          </w:p>
        </w:tc>
        <w:tc>
          <w:tcPr>
            <w:tcW w:w="1880" w:type="dxa"/>
            <w:vAlign w:val="bottom"/>
            <w:tcBorders>
              <w:right w:val="single" w:sz="8" w:color="auto"/>
            </w:tcBorders>
          </w:tcPr>
          <w:p>
            <w:pPr>
              <w:spacing w:after="0"/>
              <w:rPr>
                <w:sz w:val="14"/>
                <w:szCs w:val="14"/>
                <w:color w:val="auto"/>
              </w:rPr>
            </w:pPr>
          </w:p>
        </w:tc>
        <w:tc>
          <w:tcPr>
            <w:tcW w:w="1900" w:type="dxa"/>
            <w:vAlign w:val="bottom"/>
            <w:tcBorders>
              <w:right w:val="single" w:sz="8" w:color="auto"/>
            </w:tcBorders>
            <w:vMerge w:val="continue"/>
          </w:tcPr>
          <w:p>
            <w:pPr>
              <w:spacing w:after="0"/>
              <w:rPr>
                <w:sz w:val="14"/>
                <w:szCs w:val="14"/>
                <w:color w:val="auto"/>
              </w:rPr>
            </w:pPr>
          </w:p>
        </w:tc>
        <w:tc>
          <w:tcPr>
            <w:tcW w:w="18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7"/>
              </w:rPr>
              <w:t>Precedent transactions</w:t>
            </w:r>
          </w:p>
        </w:tc>
        <w:tc>
          <w:tcPr>
            <w:tcW w:w="1500" w:type="dxa"/>
            <w:vAlign w:val="bottom"/>
            <w:vMerge w:val="restart"/>
          </w:tcPr>
          <w:p>
            <w:pPr>
              <w:jc w:val="center"/>
              <w:ind w:left="292"/>
              <w:spacing w:after="0"/>
              <w:rPr>
                <w:sz w:val="20"/>
                <w:szCs w:val="20"/>
                <w:color w:val="auto"/>
              </w:rPr>
            </w:pPr>
            <w:r>
              <w:rPr>
                <w:rFonts w:ascii="Arial" w:cs="Arial" w:eastAsia="Arial" w:hAnsi="Arial"/>
                <w:sz w:val="18"/>
                <w:szCs w:val="18"/>
                <w:color w:val="auto"/>
              </w:rPr>
              <w:t>N/A</w:t>
            </w:r>
          </w:p>
        </w:tc>
        <w:tc>
          <w:tcPr>
            <w:tcW w:w="4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3700" w:type="dxa"/>
            <w:vAlign w:val="bottom"/>
            <w:tcBorders>
              <w:left w:val="single" w:sz="8" w:color="auto"/>
              <w:right w:val="single" w:sz="8" w:color="auto"/>
            </w:tcBorders>
          </w:tcPr>
          <w:p>
            <w:pPr>
              <w:spacing w:after="0"/>
              <w:rPr>
                <w:sz w:val="9"/>
                <w:szCs w:val="9"/>
                <w:color w:val="auto"/>
              </w:rPr>
            </w:pPr>
          </w:p>
        </w:tc>
        <w:tc>
          <w:tcPr>
            <w:tcW w:w="1880" w:type="dxa"/>
            <w:vAlign w:val="bottom"/>
            <w:tcBorders>
              <w:right w:val="single" w:sz="8" w:color="auto"/>
            </w:tcBorders>
          </w:tcPr>
          <w:p>
            <w:pPr>
              <w:spacing w:after="0"/>
              <w:rPr>
                <w:sz w:val="9"/>
                <w:szCs w:val="9"/>
                <w:color w:val="auto"/>
              </w:rPr>
            </w:pPr>
          </w:p>
        </w:tc>
        <w:tc>
          <w:tcPr>
            <w:tcW w:w="1900" w:type="dxa"/>
            <w:vAlign w:val="bottom"/>
            <w:tcBorders>
              <w:right w:val="single" w:sz="8" w:color="auto"/>
            </w:tcBorders>
          </w:tcPr>
          <w:p>
            <w:pPr>
              <w:spacing w:after="0"/>
              <w:rPr>
                <w:sz w:val="9"/>
                <w:szCs w:val="9"/>
                <w:color w:val="auto"/>
              </w:rPr>
            </w:pPr>
          </w:p>
        </w:tc>
        <w:tc>
          <w:tcPr>
            <w:tcW w:w="1880" w:type="dxa"/>
            <w:vAlign w:val="bottom"/>
            <w:tcBorders>
              <w:right w:val="single" w:sz="8" w:color="auto"/>
            </w:tcBorders>
            <w:vMerge w:val="continue"/>
          </w:tcPr>
          <w:p>
            <w:pPr>
              <w:spacing w:after="0"/>
              <w:rPr>
                <w:sz w:val="9"/>
                <w:szCs w:val="9"/>
                <w:color w:val="auto"/>
              </w:rPr>
            </w:pPr>
          </w:p>
        </w:tc>
        <w:tc>
          <w:tcPr>
            <w:tcW w:w="1500" w:type="dxa"/>
            <w:vAlign w:val="bottom"/>
            <w:vMerge w:val="continue"/>
          </w:tcPr>
          <w:p>
            <w:pPr>
              <w:spacing w:after="0"/>
              <w:rPr>
                <w:sz w:val="9"/>
                <w:szCs w:val="9"/>
                <w:color w:val="auto"/>
              </w:rPr>
            </w:pPr>
          </w:p>
        </w:tc>
        <w:tc>
          <w:tcPr>
            <w:tcW w:w="4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68"/>
        </w:trPr>
        <w:tc>
          <w:tcPr>
            <w:tcW w:w="3700" w:type="dxa"/>
            <w:vAlign w:val="bottom"/>
            <w:tcBorders>
              <w:left w:val="single" w:sz="8" w:color="auto"/>
              <w:bottom w:val="single" w:sz="8" w:color="auto"/>
              <w:right w:val="single" w:sz="8" w:color="auto"/>
            </w:tcBorders>
          </w:tcPr>
          <w:p>
            <w:pPr>
              <w:spacing w:after="0"/>
              <w:rPr>
                <w:sz w:val="5"/>
                <w:szCs w:val="5"/>
                <w:color w:val="auto"/>
              </w:rPr>
            </w:pPr>
          </w:p>
        </w:tc>
        <w:tc>
          <w:tcPr>
            <w:tcW w:w="1880" w:type="dxa"/>
            <w:vAlign w:val="bottom"/>
            <w:tcBorders>
              <w:bottom w:val="single" w:sz="8" w:color="auto"/>
              <w:right w:val="single" w:sz="8" w:color="auto"/>
            </w:tcBorders>
          </w:tcPr>
          <w:p>
            <w:pPr>
              <w:spacing w:after="0"/>
              <w:rPr>
                <w:sz w:val="5"/>
                <w:szCs w:val="5"/>
                <w:color w:val="auto"/>
              </w:rPr>
            </w:pPr>
          </w:p>
        </w:tc>
        <w:tc>
          <w:tcPr>
            <w:tcW w:w="1900" w:type="dxa"/>
            <w:vAlign w:val="bottom"/>
            <w:tcBorders>
              <w:bottom w:val="single" w:sz="8" w:color="auto"/>
              <w:right w:val="single" w:sz="8" w:color="auto"/>
            </w:tcBorders>
          </w:tcPr>
          <w:p>
            <w:pPr>
              <w:spacing w:after="0"/>
              <w:rPr>
                <w:sz w:val="5"/>
                <w:szCs w:val="5"/>
                <w:color w:val="auto"/>
              </w:rPr>
            </w:pPr>
          </w:p>
        </w:tc>
        <w:tc>
          <w:tcPr>
            <w:tcW w:w="1880" w:type="dxa"/>
            <w:vAlign w:val="bottom"/>
            <w:tcBorders>
              <w:bottom w:val="single" w:sz="8" w:color="auto"/>
              <w:right w:val="single" w:sz="8" w:color="auto"/>
            </w:tcBorders>
          </w:tcPr>
          <w:p>
            <w:pPr>
              <w:spacing w:after="0"/>
              <w:rPr>
                <w:sz w:val="5"/>
                <w:szCs w:val="5"/>
                <w:color w:val="auto"/>
              </w:rPr>
            </w:pPr>
          </w:p>
        </w:tc>
        <w:tc>
          <w:tcPr>
            <w:tcW w:w="1900" w:type="dxa"/>
            <w:vAlign w:val="bottom"/>
            <w:tcBorders>
              <w:bottom w:val="single" w:sz="8" w:color="auto"/>
              <w:right w:val="single" w:sz="8" w:color="auto"/>
            </w:tcBorders>
            <w:gridSpan w:val="2"/>
          </w:tcPr>
          <w:p>
            <w:pPr>
              <w:spacing w:after="0"/>
              <w:rPr>
                <w:sz w:val="5"/>
                <w:szCs w:val="5"/>
                <w:color w:val="auto"/>
              </w:rPr>
            </w:pPr>
          </w:p>
        </w:tc>
        <w:tc>
          <w:tcPr>
            <w:tcW w:w="0" w:type="dxa"/>
            <w:vAlign w:val="bottom"/>
          </w:tcPr>
          <w:p>
            <w:pPr>
              <w:spacing w:after="0"/>
              <w:rPr>
                <w:sz w:val="1"/>
                <w:szCs w:val="1"/>
                <w:color w:val="auto"/>
              </w:rPr>
            </w:pPr>
          </w:p>
        </w:tc>
      </w:tr>
      <w:tr>
        <w:trPr>
          <w:trHeight w:val="304"/>
        </w:trPr>
        <w:tc>
          <w:tcPr>
            <w:tcW w:w="3700" w:type="dxa"/>
            <w:vAlign w:val="bottom"/>
            <w:tcBorders>
              <w:left w:val="single" w:sz="8" w:color="auto"/>
              <w:right w:val="single" w:sz="8" w:color="auto"/>
            </w:tcBorders>
          </w:tcPr>
          <w:p>
            <w:pPr>
              <w:spacing w:after="0"/>
              <w:rPr>
                <w:sz w:val="24"/>
                <w:szCs w:val="24"/>
                <w:color w:val="auto"/>
              </w:rPr>
            </w:pPr>
          </w:p>
        </w:tc>
        <w:tc>
          <w:tcPr>
            <w:tcW w:w="1880" w:type="dxa"/>
            <w:vAlign w:val="bottom"/>
            <w:tcBorders>
              <w:right w:val="single" w:sz="8" w:color="auto"/>
            </w:tcBorders>
          </w:tcPr>
          <w:p>
            <w:pPr>
              <w:spacing w:after="0"/>
              <w:rPr>
                <w:sz w:val="24"/>
                <w:szCs w:val="24"/>
                <w:color w:val="auto"/>
              </w:rPr>
            </w:pPr>
          </w:p>
        </w:tc>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Market approach</w:t>
            </w:r>
          </w:p>
        </w:tc>
        <w:tc>
          <w:tcPr>
            <w:tcW w:w="18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Revenue multiples</w:t>
            </w:r>
          </w:p>
        </w:tc>
        <w:tc>
          <w:tcPr>
            <w:tcW w:w="190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color w:val="auto"/>
                <w:w w:val="92"/>
              </w:rPr>
              <w:t>1.74x - 2.02x (1.88x)</w:t>
            </w:r>
          </w:p>
        </w:tc>
        <w:tc>
          <w:tcPr>
            <w:tcW w:w="0" w:type="dxa"/>
            <w:vAlign w:val="bottom"/>
          </w:tcPr>
          <w:p>
            <w:pPr>
              <w:spacing w:after="0"/>
              <w:rPr>
                <w:sz w:val="1"/>
                <w:szCs w:val="1"/>
                <w:color w:val="auto"/>
              </w:rPr>
            </w:pPr>
          </w:p>
        </w:tc>
      </w:tr>
      <w:tr>
        <w:trPr>
          <w:trHeight w:val="94"/>
        </w:trPr>
        <w:tc>
          <w:tcPr>
            <w:tcW w:w="37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Debt investments</w:t>
            </w:r>
          </w:p>
        </w:tc>
        <w:tc>
          <w:tcPr>
            <w:tcW w:w="18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$4,595,340</w:t>
            </w:r>
          </w:p>
        </w:tc>
        <w:tc>
          <w:tcPr>
            <w:tcW w:w="1900" w:type="dxa"/>
            <w:vAlign w:val="bottom"/>
            <w:tcBorders>
              <w:bottom w:val="single" w:sz="8" w:color="auto"/>
              <w:right w:val="single" w:sz="8" w:color="auto"/>
            </w:tcBorders>
          </w:tcPr>
          <w:p>
            <w:pPr>
              <w:spacing w:after="0"/>
              <w:rPr>
                <w:sz w:val="8"/>
                <w:szCs w:val="8"/>
                <w:color w:val="auto"/>
              </w:rPr>
            </w:pPr>
          </w:p>
        </w:tc>
        <w:tc>
          <w:tcPr>
            <w:tcW w:w="1880" w:type="dxa"/>
            <w:vAlign w:val="bottom"/>
            <w:tcBorders>
              <w:bottom w:val="single" w:sz="8" w:color="auto"/>
              <w:right w:val="single" w:sz="8" w:color="auto"/>
            </w:tcBorders>
          </w:tcPr>
          <w:p>
            <w:pPr>
              <w:spacing w:after="0"/>
              <w:rPr>
                <w:sz w:val="8"/>
                <w:szCs w:val="8"/>
                <w:color w:val="auto"/>
              </w:rPr>
            </w:pPr>
          </w:p>
        </w:tc>
        <w:tc>
          <w:tcPr>
            <w:tcW w:w="1500" w:type="dxa"/>
            <w:vAlign w:val="bottom"/>
            <w:tcBorders>
              <w:bottom w:val="single" w:sz="8" w:color="auto"/>
            </w:tcBorders>
          </w:tcPr>
          <w:p>
            <w:pPr>
              <w:spacing w:after="0"/>
              <w:rPr>
                <w:sz w:val="8"/>
                <w:szCs w:val="8"/>
                <w:color w:val="auto"/>
              </w:rPr>
            </w:pPr>
          </w:p>
        </w:tc>
        <w:tc>
          <w:tcPr>
            <w:tcW w:w="40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42"/>
        </w:trPr>
        <w:tc>
          <w:tcPr>
            <w:tcW w:w="3700" w:type="dxa"/>
            <w:vAlign w:val="bottom"/>
            <w:tcBorders>
              <w:left w:val="single" w:sz="8" w:color="auto"/>
              <w:right w:val="single" w:sz="8" w:color="auto"/>
            </w:tcBorders>
            <w:vMerge w:val="continue"/>
          </w:tcPr>
          <w:p>
            <w:pPr>
              <w:spacing w:after="0"/>
              <w:rPr>
                <w:sz w:val="12"/>
                <w:szCs w:val="12"/>
                <w:color w:val="auto"/>
              </w:rPr>
            </w:pPr>
          </w:p>
        </w:tc>
        <w:tc>
          <w:tcPr>
            <w:tcW w:w="1880" w:type="dxa"/>
            <w:vAlign w:val="bottom"/>
            <w:tcBorders>
              <w:right w:val="single" w:sz="8" w:color="auto"/>
            </w:tcBorders>
            <w:vMerge w:val="continue"/>
          </w:tcPr>
          <w:p>
            <w:pPr>
              <w:spacing w:after="0"/>
              <w:rPr>
                <w:sz w:val="12"/>
                <w:szCs w:val="12"/>
                <w:color w:val="auto"/>
              </w:rPr>
            </w:pPr>
          </w:p>
        </w:tc>
        <w:tc>
          <w:tcPr>
            <w:tcW w:w="19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PWERM</w:t>
            </w:r>
            <w:r>
              <w:rPr>
                <w:rFonts w:ascii="Arial" w:cs="Arial" w:eastAsia="Arial" w:hAnsi="Arial"/>
                <w:sz w:val="23"/>
                <w:szCs w:val="23"/>
                <w:color w:val="auto"/>
                <w:w w:val="91"/>
                <w:vertAlign w:val="superscript"/>
              </w:rPr>
              <w:t>(5)</w:t>
            </w:r>
          </w:p>
        </w:tc>
        <w:tc>
          <w:tcPr>
            <w:tcW w:w="18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Revenue multiples</w:t>
            </w:r>
          </w:p>
        </w:tc>
        <w:tc>
          <w:tcPr>
            <w:tcW w:w="1500" w:type="dxa"/>
            <w:vAlign w:val="bottom"/>
            <w:vMerge w:val="restart"/>
          </w:tcPr>
          <w:p>
            <w:pPr>
              <w:jc w:val="center"/>
              <w:ind w:left="292"/>
              <w:spacing w:after="0"/>
              <w:rPr>
                <w:sz w:val="20"/>
                <w:szCs w:val="20"/>
                <w:color w:val="auto"/>
              </w:rPr>
            </w:pPr>
            <w:r>
              <w:rPr>
                <w:rFonts w:ascii="Arial" w:cs="Arial" w:eastAsia="Arial" w:hAnsi="Arial"/>
                <w:sz w:val="18"/>
                <w:szCs w:val="18"/>
                <w:color w:val="auto"/>
              </w:rPr>
              <w:t>N/A</w:t>
            </w:r>
          </w:p>
        </w:tc>
        <w:tc>
          <w:tcPr>
            <w:tcW w:w="4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3700" w:type="dxa"/>
            <w:vAlign w:val="bottom"/>
            <w:tcBorders>
              <w:left w:val="single" w:sz="8" w:color="auto"/>
              <w:right w:val="single" w:sz="8" w:color="auto"/>
            </w:tcBorders>
          </w:tcPr>
          <w:p>
            <w:pPr>
              <w:spacing w:after="0"/>
              <w:rPr>
                <w:sz w:val="7"/>
                <w:szCs w:val="7"/>
                <w:color w:val="auto"/>
              </w:rPr>
            </w:pPr>
          </w:p>
        </w:tc>
        <w:tc>
          <w:tcPr>
            <w:tcW w:w="1880" w:type="dxa"/>
            <w:vAlign w:val="bottom"/>
            <w:tcBorders>
              <w:right w:val="single" w:sz="8" w:color="auto"/>
            </w:tcBorders>
          </w:tcPr>
          <w:p>
            <w:pPr>
              <w:spacing w:after="0"/>
              <w:rPr>
                <w:sz w:val="7"/>
                <w:szCs w:val="7"/>
                <w:color w:val="auto"/>
              </w:rPr>
            </w:pPr>
          </w:p>
        </w:tc>
        <w:tc>
          <w:tcPr>
            <w:tcW w:w="1900" w:type="dxa"/>
            <w:vAlign w:val="bottom"/>
            <w:tcBorders>
              <w:right w:val="single" w:sz="8" w:color="auto"/>
            </w:tcBorders>
            <w:vMerge w:val="continue"/>
          </w:tcPr>
          <w:p>
            <w:pPr>
              <w:spacing w:after="0"/>
              <w:rPr>
                <w:sz w:val="7"/>
                <w:szCs w:val="7"/>
                <w:color w:val="auto"/>
              </w:rPr>
            </w:pPr>
          </w:p>
        </w:tc>
        <w:tc>
          <w:tcPr>
            <w:tcW w:w="1880" w:type="dxa"/>
            <w:vAlign w:val="bottom"/>
            <w:tcBorders>
              <w:bottom w:val="single" w:sz="8" w:color="auto"/>
              <w:right w:val="single" w:sz="8" w:color="auto"/>
            </w:tcBorders>
            <w:vMerge w:val="continue"/>
          </w:tcPr>
          <w:p>
            <w:pPr>
              <w:spacing w:after="0"/>
              <w:rPr>
                <w:sz w:val="7"/>
                <w:szCs w:val="7"/>
                <w:color w:val="auto"/>
              </w:rPr>
            </w:pPr>
          </w:p>
        </w:tc>
        <w:tc>
          <w:tcPr>
            <w:tcW w:w="1500" w:type="dxa"/>
            <w:vAlign w:val="bottom"/>
            <w:tcBorders>
              <w:bottom w:val="single" w:sz="8" w:color="auto"/>
            </w:tcBorders>
            <w:vMerge w:val="continue"/>
          </w:tcPr>
          <w:p>
            <w:pPr>
              <w:spacing w:after="0"/>
              <w:rPr>
                <w:sz w:val="7"/>
                <w:szCs w:val="7"/>
                <w:color w:val="auto"/>
              </w:rPr>
            </w:pPr>
          </w:p>
        </w:tc>
        <w:tc>
          <w:tcPr>
            <w:tcW w:w="40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75"/>
        </w:trPr>
        <w:tc>
          <w:tcPr>
            <w:tcW w:w="3700" w:type="dxa"/>
            <w:vAlign w:val="bottom"/>
            <w:tcBorders>
              <w:left w:val="single" w:sz="8" w:color="auto"/>
              <w:right w:val="single" w:sz="8" w:color="auto"/>
            </w:tcBorders>
          </w:tcPr>
          <w:p>
            <w:pPr>
              <w:spacing w:after="0"/>
              <w:rPr>
                <w:sz w:val="15"/>
                <w:szCs w:val="15"/>
                <w:color w:val="auto"/>
              </w:rPr>
            </w:pPr>
          </w:p>
        </w:tc>
        <w:tc>
          <w:tcPr>
            <w:tcW w:w="1880" w:type="dxa"/>
            <w:vAlign w:val="bottom"/>
            <w:tcBorders>
              <w:right w:val="single" w:sz="8" w:color="auto"/>
            </w:tcBorders>
          </w:tcPr>
          <w:p>
            <w:pPr>
              <w:spacing w:after="0"/>
              <w:rPr>
                <w:sz w:val="15"/>
                <w:szCs w:val="15"/>
                <w:color w:val="auto"/>
              </w:rPr>
            </w:pPr>
          </w:p>
        </w:tc>
        <w:tc>
          <w:tcPr>
            <w:tcW w:w="1900" w:type="dxa"/>
            <w:vAlign w:val="bottom"/>
            <w:tcBorders>
              <w:right w:val="single" w:sz="8" w:color="auto"/>
            </w:tcBorders>
            <w:vMerge w:val="continue"/>
          </w:tcPr>
          <w:p>
            <w:pPr>
              <w:spacing w:after="0"/>
              <w:rPr>
                <w:sz w:val="15"/>
                <w:szCs w:val="15"/>
                <w:color w:val="auto"/>
              </w:rPr>
            </w:pPr>
          </w:p>
        </w:tc>
        <w:tc>
          <w:tcPr>
            <w:tcW w:w="18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3"/>
              </w:rPr>
              <w:t>Liquidation value</w:t>
            </w:r>
          </w:p>
        </w:tc>
        <w:tc>
          <w:tcPr>
            <w:tcW w:w="1500" w:type="dxa"/>
            <w:vAlign w:val="bottom"/>
            <w:vMerge w:val="restart"/>
          </w:tcPr>
          <w:p>
            <w:pPr>
              <w:jc w:val="center"/>
              <w:ind w:left="292"/>
              <w:spacing w:after="0"/>
              <w:rPr>
                <w:sz w:val="20"/>
                <w:szCs w:val="20"/>
                <w:color w:val="auto"/>
              </w:rPr>
            </w:pPr>
            <w:r>
              <w:rPr>
                <w:rFonts w:ascii="Arial" w:cs="Arial" w:eastAsia="Arial" w:hAnsi="Arial"/>
                <w:sz w:val="18"/>
                <w:szCs w:val="18"/>
                <w:color w:val="auto"/>
              </w:rPr>
              <w:t>N/A</w:t>
            </w:r>
          </w:p>
        </w:tc>
        <w:tc>
          <w:tcPr>
            <w:tcW w:w="4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61"/>
        </w:trPr>
        <w:tc>
          <w:tcPr>
            <w:tcW w:w="3700" w:type="dxa"/>
            <w:vAlign w:val="bottom"/>
            <w:tcBorders>
              <w:left w:val="single" w:sz="8" w:color="auto"/>
              <w:bottom w:val="single" w:sz="8" w:color="auto"/>
              <w:right w:val="single" w:sz="8" w:color="auto"/>
            </w:tcBorders>
          </w:tcPr>
          <w:p>
            <w:pPr>
              <w:spacing w:after="0"/>
              <w:rPr>
                <w:sz w:val="5"/>
                <w:szCs w:val="5"/>
                <w:color w:val="auto"/>
              </w:rPr>
            </w:pPr>
          </w:p>
        </w:tc>
        <w:tc>
          <w:tcPr>
            <w:tcW w:w="1880" w:type="dxa"/>
            <w:vAlign w:val="bottom"/>
            <w:tcBorders>
              <w:bottom w:val="single" w:sz="8" w:color="auto"/>
              <w:right w:val="single" w:sz="8" w:color="auto"/>
            </w:tcBorders>
          </w:tcPr>
          <w:p>
            <w:pPr>
              <w:spacing w:after="0"/>
              <w:rPr>
                <w:sz w:val="5"/>
                <w:szCs w:val="5"/>
                <w:color w:val="auto"/>
              </w:rPr>
            </w:pPr>
          </w:p>
        </w:tc>
        <w:tc>
          <w:tcPr>
            <w:tcW w:w="1900" w:type="dxa"/>
            <w:vAlign w:val="bottom"/>
            <w:tcBorders>
              <w:bottom w:val="single" w:sz="8" w:color="auto"/>
              <w:right w:val="single" w:sz="8" w:color="auto"/>
            </w:tcBorders>
          </w:tcPr>
          <w:p>
            <w:pPr>
              <w:spacing w:after="0"/>
              <w:rPr>
                <w:sz w:val="5"/>
                <w:szCs w:val="5"/>
                <w:color w:val="auto"/>
              </w:rPr>
            </w:pPr>
          </w:p>
        </w:tc>
        <w:tc>
          <w:tcPr>
            <w:tcW w:w="1880" w:type="dxa"/>
            <w:vAlign w:val="bottom"/>
            <w:tcBorders>
              <w:bottom w:val="single" w:sz="8" w:color="auto"/>
              <w:right w:val="single" w:sz="8" w:color="auto"/>
            </w:tcBorders>
            <w:vMerge w:val="continue"/>
          </w:tcPr>
          <w:p>
            <w:pPr>
              <w:spacing w:after="0"/>
              <w:rPr>
                <w:sz w:val="5"/>
                <w:szCs w:val="5"/>
                <w:color w:val="auto"/>
              </w:rPr>
            </w:pPr>
          </w:p>
        </w:tc>
        <w:tc>
          <w:tcPr>
            <w:tcW w:w="1500" w:type="dxa"/>
            <w:vAlign w:val="bottom"/>
            <w:tcBorders>
              <w:bottom w:val="single" w:sz="8" w:color="auto"/>
            </w:tcBorders>
            <w:vMerge w:val="continue"/>
          </w:tcPr>
          <w:p>
            <w:pPr>
              <w:spacing w:after="0"/>
              <w:rPr>
                <w:sz w:val="5"/>
                <w:szCs w:val="5"/>
                <w:color w:val="auto"/>
              </w:rPr>
            </w:pPr>
          </w:p>
        </w:tc>
        <w:tc>
          <w:tcPr>
            <w:tcW w:w="4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75"/>
        </w:trPr>
        <w:tc>
          <w:tcPr>
            <w:tcW w:w="3700" w:type="dxa"/>
            <w:vAlign w:val="bottom"/>
            <w:tcBorders>
              <w:left w:val="single" w:sz="8" w:color="auto"/>
              <w:right w:val="single" w:sz="8" w:color="auto"/>
            </w:tcBorders>
          </w:tcPr>
          <w:p>
            <w:pPr>
              <w:spacing w:after="0"/>
              <w:rPr>
                <w:sz w:val="15"/>
                <w:szCs w:val="15"/>
                <w:color w:val="auto"/>
              </w:rPr>
            </w:pPr>
          </w:p>
        </w:tc>
        <w:tc>
          <w:tcPr>
            <w:tcW w:w="1880" w:type="dxa"/>
            <w:vAlign w:val="bottom"/>
            <w:tcBorders>
              <w:right w:val="single" w:sz="8" w:color="auto"/>
            </w:tcBorders>
          </w:tcPr>
          <w:p>
            <w:pPr>
              <w:spacing w:after="0"/>
              <w:rPr>
                <w:sz w:val="15"/>
                <w:szCs w:val="15"/>
                <w:color w:val="auto"/>
              </w:rPr>
            </w:pPr>
          </w:p>
        </w:tc>
        <w:tc>
          <w:tcPr>
            <w:tcW w:w="1900" w:type="dxa"/>
            <w:vAlign w:val="bottom"/>
            <w:tcBorders>
              <w:right w:val="single" w:sz="8" w:color="auto"/>
            </w:tcBorders>
          </w:tcPr>
          <w:p>
            <w:pPr>
              <w:spacing w:after="0"/>
              <w:rPr>
                <w:sz w:val="15"/>
                <w:szCs w:val="15"/>
                <w:color w:val="auto"/>
              </w:rPr>
            </w:pPr>
          </w:p>
        </w:tc>
        <w:tc>
          <w:tcPr>
            <w:tcW w:w="1880" w:type="dxa"/>
            <w:vAlign w:val="bottom"/>
            <w:tcBorders>
              <w:right w:val="single" w:sz="8" w:color="auto"/>
            </w:tcBorders>
          </w:tcPr>
          <w:p>
            <w:pPr>
              <w:jc w:val="center"/>
              <w:spacing w:after="0" w:line="176" w:lineRule="exact"/>
              <w:rPr>
                <w:sz w:val="20"/>
                <w:szCs w:val="20"/>
                <w:color w:val="auto"/>
              </w:rPr>
            </w:pPr>
            <w:r>
              <w:rPr>
                <w:rFonts w:ascii="Arial" w:cs="Arial" w:eastAsia="Arial" w:hAnsi="Arial"/>
                <w:sz w:val="18"/>
                <w:szCs w:val="18"/>
                <w:color w:val="auto"/>
                <w:w w:val="92"/>
              </w:rPr>
              <w:t>Term to expiration</w:t>
            </w:r>
          </w:p>
        </w:tc>
        <w:tc>
          <w:tcPr>
            <w:tcW w:w="190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color w:val="auto"/>
                <w:w w:val="89"/>
              </w:rPr>
              <w:t>0.01 - 7.11 (4.50)</w:t>
            </w:r>
          </w:p>
        </w:tc>
        <w:tc>
          <w:tcPr>
            <w:tcW w:w="0" w:type="dxa"/>
            <w:vAlign w:val="bottom"/>
          </w:tcPr>
          <w:p>
            <w:pPr>
              <w:spacing w:after="0"/>
              <w:rPr>
                <w:sz w:val="1"/>
                <w:szCs w:val="1"/>
                <w:color w:val="auto"/>
              </w:rPr>
            </w:pPr>
          </w:p>
        </w:tc>
      </w:tr>
      <w:tr>
        <w:trPr>
          <w:trHeight w:val="135"/>
        </w:trPr>
        <w:tc>
          <w:tcPr>
            <w:tcW w:w="3700" w:type="dxa"/>
            <w:vAlign w:val="bottom"/>
            <w:tcBorders>
              <w:left w:val="single" w:sz="8" w:color="auto"/>
              <w:right w:val="single" w:sz="8" w:color="auto"/>
            </w:tcBorders>
          </w:tcPr>
          <w:p>
            <w:pPr>
              <w:spacing w:after="0"/>
              <w:rPr>
                <w:sz w:val="11"/>
                <w:szCs w:val="11"/>
                <w:color w:val="auto"/>
              </w:rPr>
            </w:pPr>
          </w:p>
        </w:tc>
        <w:tc>
          <w:tcPr>
            <w:tcW w:w="1880" w:type="dxa"/>
            <w:vAlign w:val="bottom"/>
            <w:tcBorders>
              <w:right w:val="single" w:sz="8" w:color="auto"/>
            </w:tcBorders>
          </w:tcPr>
          <w:p>
            <w:pPr>
              <w:spacing w:after="0"/>
              <w:rPr>
                <w:sz w:val="11"/>
                <w:szCs w:val="11"/>
                <w:color w:val="auto"/>
              </w:rPr>
            </w:pPr>
          </w:p>
        </w:tc>
        <w:tc>
          <w:tcPr>
            <w:tcW w:w="19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4"/>
              </w:rPr>
              <w:t>Option pricing model</w:t>
            </w:r>
          </w:p>
        </w:tc>
        <w:tc>
          <w:tcPr>
            <w:tcW w:w="18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8"/>
              </w:rPr>
              <w:t>(Years)</w:t>
            </w:r>
          </w:p>
        </w:tc>
        <w:tc>
          <w:tcPr>
            <w:tcW w:w="1900" w:type="dxa"/>
            <w:vAlign w:val="bottom"/>
            <w:tcBorders>
              <w:right w:val="single" w:sz="8" w:color="auto"/>
            </w:tcBorders>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3700" w:type="dxa"/>
            <w:vAlign w:val="bottom"/>
            <w:tcBorders>
              <w:left w:val="single" w:sz="8" w:color="auto"/>
              <w:right w:val="single" w:sz="8" w:color="auto"/>
            </w:tcBorders>
          </w:tcPr>
          <w:p>
            <w:pPr>
              <w:spacing w:after="0"/>
              <w:rPr>
                <w:sz w:val="8"/>
                <w:szCs w:val="8"/>
                <w:color w:val="auto"/>
              </w:rPr>
            </w:pPr>
          </w:p>
        </w:tc>
        <w:tc>
          <w:tcPr>
            <w:tcW w:w="1880" w:type="dxa"/>
            <w:vAlign w:val="bottom"/>
            <w:tcBorders>
              <w:right w:val="single" w:sz="8" w:color="auto"/>
            </w:tcBorders>
          </w:tcPr>
          <w:p>
            <w:pPr>
              <w:spacing w:after="0"/>
              <w:rPr>
                <w:sz w:val="8"/>
                <w:szCs w:val="8"/>
                <w:color w:val="auto"/>
              </w:rPr>
            </w:pPr>
          </w:p>
        </w:tc>
        <w:tc>
          <w:tcPr>
            <w:tcW w:w="1900" w:type="dxa"/>
            <w:vAlign w:val="bottom"/>
            <w:tcBorders>
              <w:right w:val="single" w:sz="8" w:color="auto"/>
            </w:tcBorders>
            <w:vMerge w:val="continue"/>
          </w:tcPr>
          <w:p>
            <w:pPr>
              <w:spacing w:after="0"/>
              <w:rPr>
                <w:sz w:val="8"/>
                <w:szCs w:val="8"/>
                <w:color w:val="auto"/>
              </w:rPr>
            </w:pPr>
          </w:p>
        </w:tc>
        <w:tc>
          <w:tcPr>
            <w:tcW w:w="1880" w:type="dxa"/>
            <w:vAlign w:val="bottom"/>
            <w:tcBorders>
              <w:bottom w:val="single" w:sz="8" w:color="auto"/>
              <w:right w:val="single" w:sz="8" w:color="auto"/>
            </w:tcBorders>
            <w:vMerge w:val="continue"/>
          </w:tcPr>
          <w:p>
            <w:pPr>
              <w:spacing w:after="0"/>
              <w:rPr>
                <w:sz w:val="8"/>
                <w:szCs w:val="8"/>
                <w:color w:val="auto"/>
              </w:rPr>
            </w:pPr>
          </w:p>
        </w:tc>
        <w:tc>
          <w:tcPr>
            <w:tcW w:w="1500" w:type="dxa"/>
            <w:vAlign w:val="bottom"/>
            <w:tcBorders>
              <w:bottom w:val="single" w:sz="8" w:color="auto"/>
            </w:tcBorders>
          </w:tcPr>
          <w:p>
            <w:pPr>
              <w:spacing w:after="0"/>
              <w:rPr>
                <w:sz w:val="8"/>
                <w:szCs w:val="8"/>
                <w:color w:val="auto"/>
              </w:rPr>
            </w:pPr>
          </w:p>
        </w:tc>
        <w:tc>
          <w:tcPr>
            <w:tcW w:w="40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37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3"/>
              </w:rPr>
              <w:t>Options</w:t>
            </w:r>
          </w:p>
        </w:tc>
        <w:tc>
          <w:tcPr>
            <w:tcW w:w="18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$4,776,378</w:t>
            </w:r>
          </w:p>
        </w:tc>
        <w:tc>
          <w:tcPr>
            <w:tcW w:w="1900" w:type="dxa"/>
            <w:vAlign w:val="bottom"/>
            <w:tcBorders>
              <w:right w:val="single" w:sz="8" w:color="auto"/>
            </w:tcBorders>
            <w:vMerge w:val="continue"/>
          </w:tcPr>
          <w:p>
            <w:pPr>
              <w:spacing w:after="0"/>
              <w:rPr>
                <w:sz w:val="8"/>
                <w:szCs w:val="8"/>
                <w:color w:val="auto"/>
              </w:rPr>
            </w:pPr>
          </w:p>
        </w:tc>
        <w:tc>
          <w:tcPr>
            <w:tcW w:w="18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8"/>
              </w:rPr>
              <w:t>Volatility</w:t>
            </w:r>
          </w:p>
        </w:tc>
        <w:tc>
          <w:tcPr>
            <w:tcW w:w="190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color w:val="auto"/>
                <w:w w:val="92"/>
              </w:rPr>
              <w:t>34.9% - 55.0% (37.1%)</w:t>
            </w:r>
          </w:p>
        </w:tc>
        <w:tc>
          <w:tcPr>
            <w:tcW w:w="0" w:type="dxa"/>
            <w:vAlign w:val="bottom"/>
          </w:tcPr>
          <w:p>
            <w:pPr>
              <w:spacing w:after="0"/>
              <w:rPr>
                <w:sz w:val="1"/>
                <w:szCs w:val="1"/>
                <w:color w:val="auto"/>
              </w:rPr>
            </w:pPr>
          </w:p>
        </w:tc>
      </w:tr>
      <w:tr>
        <w:trPr>
          <w:trHeight w:val="203"/>
        </w:trPr>
        <w:tc>
          <w:tcPr>
            <w:tcW w:w="3700" w:type="dxa"/>
            <w:vAlign w:val="bottom"/>
            <w:tcBorders>
              <w:left w:val="single" w:sz="8" w:color="auto"/>
              <w:right w:val="single" w:sz="8" w:color="auto"/>
            </w:tcBorders>
            <w:vMerge w:val="continue"/>
          </w:tcPr>
          <w:p>
            <w:pPr>
              <w:spacing w:after="0"/>
              <w:rPr>
                <w:sz w:val="17"/>
                <w:szCs w:val="17"/>
                <w:color w:val="auto"/>
              </w:rPr>
            </w:pPr>
          </w:p>
        </w:tc>
        <w:tc>
          <w:tcPr>
            <w:tcW w:w="1880" w:type="dxa"/>
            <w:vAlign w:val="bottom"/>
            <w:tcBorders>
              <w:right w:val="single" w:sz="8" w:color="auto"/>
            </w:tcBorders>
            <w:vMerge w:val="continue"/>
          </w:tcPr>
          <w:p>
            <w:pPr>
              <w:spacing w:after="0"/>
              <w:rPr>
                <w:sz w:val="17"/>
                <w:szCs w:val="17"/>
                <w:color w:val="auto"/>
              </w:rPr>
            </w:pPr>
          </w:p>
        </w:tc>
        <w:tc>
          <w:tcPr>
            <w:tcW w:w="1900" w:type="dxa"/>
            <w:vAlign w:val="bottom"/>
            <w:tcBorders>
              <w:right w:val="single" w:sz="8" w:color="auto"/>
            </w:tcBorders>
          </w:tcPr>
          <w:p>
            <w:pPr>
              <w:spacing w:after="0"/>
              <w:rPr>
                <w:sz w:val="17"/>
                <w:szCs w:val="17"/>
                <w:color w:val="auto"/>
              </w:rPr>
            </w:pPr>
          </w:p>
        </w:tc>
        <w:tc>
          <w:tcPr>
            <w:tcW w:w="1880" w:type="dxa"/>
            <w:vAlign w:val="bottom"/>
            <w:tcBorders>
              <w:right w:val="single" w:sz="8" w:color="auto"/>
            </w:tcBorders>
            <w:vMerge w:val="continue"/>
          </w:tcPr>
          <w:p>
            <w:pPr>
              <w:spacing w:after="0"/>
              <w:rPr>
                <w:sz w:val="17"/>
                <w:szCs w:val="17"/>
                <w:color w:val="auto"/>
              </w:rPr>
            </w:pPr>
          </w:p>
        </w:tc>
        <w:tc>
          <w:tcPr>
            <w:tcW w:w="1900" w:type="dxa"/>
            <w:vAlign w:val="bottom"/>
            <w:tcBorders>
              <w:right w:val="single" w:sz="8" w:color="auto"/>
            </w:tcBorders>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94"/>
        </w:trPr>
        <w:tc>
          <w:tcPr>
            <w:tcW w:w="3700" w:type="dxa"/>
            <w:vAlign w:val="bottom"/>
            <w:tcBorders>
              <w:left w:val="single" w:sz="8" w:color="auto"/>
              <w:right w:val="single" w:sz="8" w:color="auto"/>
            </w:tcBorders>
          </w:tcPr>
          <w:p>
            <w:pPr>
              <w:spacing w:after="0"/>
              <w:rPr>
                <w:sz w:val="8"/>
                <w:szCs w:val="8"/>
                <w:color w:val="auto"/>
              </w:rPr>
            </w:pPr>
          </w:p>
        </w:tc>
        <w:tc>
          <w:tcPr>
            <w:tcW w:w="1880" w:type="dxa"/>
            <w:vAlign w:val="bottom"/>
            <w:tcBorders>
              <w:right w:val="single" w:sz="8" w:color="auto"/>
            </w:tcBorders>
          </w:tcPr>
          <w:p>
            <w:pPr>
              <w:spacing w:after="0"/>
              <w:rPr>
                <w:sz w:val="8"/>
                <w:szCs w:val="8"/>
                <w:color w:val="auto"/>
              </w:rPr>
            </w:pPr>
          </w:p>
        </w:tc>
        <w:tc>
          <w:tcPr>
            <w:tcW w:w="1900" w:type="dxa"/>
            <w:vAlign w:val="bottom"/>
            <w:tcBorders>
              <w:bottom w:val="single" w:sz="8" w:color="auto"/>
              <w:right w:val="single" w:sz="8" w:color="auto"/>
            </w:tcBorders>
          </w:tcPr>
          <w:p>
            <w:pPr>
              <w:spacing w:after="0"/>
              <w:rPr>
                <w:sz w:val="8"/>
                <w:szCs w:val="8"/>
                <w:color w:val="auto"/>
              </w:rPr>
            </w:pPr>
          </w:p>
        </w:tc>
        <w:tc>
          <w:tcPr>
            <w:tcW w:w="1880" w:type="dxa"/>
            <w:vAlign w:val="bottom"/>
            <w:tcBorders>
              <w:bottom w:val="single" w:sz="8" w:color="auto"/>
              <w:right w:val="single" w:sz="8" w:color="auto"/>
            </w:tcBorders>
          </w:tcPr>
          <w:p>
            <w:pPr>
              <w:spacing w:after="0"/>
              <w:rPr>
                <w:sz w:val="8"/>
                <w:szCs w:val="8"/>
                <w:color w:val="auto"/>
              </w:rPr>
            </w:pPr>
          </w:p>
        </w:tc>
        <w:tc>
          <w:tcPr>
            <w:tcW w:w="1500" w:type="dxa"/>
            <w:vAlign w:val="bottom"/>
            <w:tcBorders>
              <w:bottom w:val="single" w:sz="8" w:color="auto"/>
            </w:tcBorders>
          </w:tcPr>
          <w:p>
            <w:pPr>
              <w:spacing w:after="0"/>
              <w:rPr>
                <w:sz w:val="8"/>
                <w:szCs w:val="8"/>
                <w:color w:val="auto"/>
              </w:rPr>
            </w:pPr>
          </w:p>
        </w:tc>
        <w:tc>
          <w:tcPr>
            <w:tcW w:w="40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04"/>
        </w:trPr>
        <w:tc>
          <w:tcPr>
            <w:tcW w:w="3700" w:type="dxa"/>
            <w:vAlign w:val="bottom"/>
            <w:tcBorders>
              <w:left w:val="single" w:sz="8" w:color="auto"/>
              <w:right w:val="single" w:sz="8" w:color="auto"/>
            </w:tcBorders>
          </w:tcPr>
          <w:p>
            <w:pPr>
              <w:spacing w:after="0"/>
              <w:rPr>
                <w:sz w:val="24"/>
                <w:szCs w:val="24"/>
                <w:color w:val="auto"/>
              </w:rPr>
            </w:pPr>
          </w:p>
        </w:tc>
        <w:tc>
          <w:tcPr>
            <w:tcW w:w="1880" w:type="dxa"/>
            <w:vAlign w:val="bottom"/>
            <w:tcBorders>
              <w:right w:val="single" w:sz="8" w:color="auto"/>
            </w:tcBorders>
          </w:tcPr>
          <w:p>
            <w:pPr>
              <w:spacing w:after="0"/>
              <w:rPr>
                <w:sz w:val="24"/>
                <w:szCs w:val="24"/>
                <w:color w:val="auto"/>
              </w:rPr>
            </w:pPr>
          </w:p>
        </w:tc>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Discounted cash flow</w:t>
            </w:r>
          </w:p>
        </w:tc>
        <w:tc>
          <w:tcPr>
            <w:tcW w:w="18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Discount Rate</w:t>
            </w:r>
          </w:p>
        </w:tc>
        <w:tc>
          <w:tcPr>
            <w:tcW w:w="1500" w:type="dxa"/>
            <w:vAlign w:val="bottom"/>
          </w:tcPr>
          <w:p>
            <w:pPr>
              <w:jc w:val="center"/>
              <w:ind w:left="292"/>
              <w:spacing w:after="0"/>
              <w:rPr>
                <w:sz w:val="20"/>
                <w:szCs w:val="20"/>
                <w:color w:val="auto"/>
              </w:rPr>
            </w:pPr>
            <w:r>
              <w:rPr>
                <w:rFonts w:ascii="Arial" w:cs="Arial" w:eastAsia="Arial" w:hAnsi="Arial"/>
                <w:sz w:val="18"/>
                <w:szCs w:val="18"/>
                <w:color w:val="auto"/>
                <w:w w:val="90"/>
              </w:rPr>
              <w:t>12.0% (12.0%)</w:t>
            </w:r>
          </w:p>
        </w:tc>
        <w:tc>
          <w:tcPr>
            <w:tcW w:w="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94"/>
        </w:trPr>
        <w:tc>
          <w:tcPr>
            <w:tcW w:w="3700" w:type="dxa"/>
            <w:vAlign w:val="bottom"/>
            <w:tcBorders>
              <w:left w:val="single" w:sz="8" w:color="auto"/>
              <w:bottom w:val="single" w:sz="8" w:color="auto"/>
              <w:right w:val="single" w:sz="8" w:color="auto"/>
            </w:tcBorders>
          </w:tcPr>
          <w:p>
            <w:pPr>
              <w:spacing w:after="0"/>
              <w:rPr>
                <w:sz w:val="8"/>
                <w:szCs w:val="8"/>
                <w:color w:val="auto"/>
              </w:rPr>
            </w:pPr>
          </w:p>
        </w:tc>
        <w:tc>
          <w:tcPr>
            <w:tcW w:w="1880" w:type="dxa"/>
            <w:vAlign w:val="bottom"/>
            <w:tcBorders>
              <w:bottom w:val="single" w:sz="8" w:color="auto"/>
              <w:right w:val="single" w:sz="8" w:color="auto"/>
            </w:tcBorders>
          </w:tcPr>
          <w:p>
            <w:pPr>
              <w:spacing w:after="0"/>
              <w:rPr>
                <w:sz w:val="8"/>
                <w:szCs w:val="8"/>
                <w:color w:val="auto"/>
              </w:rPr>
            </w:pPr>
          </w:p>
        </w:tc>
        <w:tc>
          <w:tcPr>
            <w:tcW w:w="1900" w:type="dxa"/>
            <w:vAlign w:val="bottom"/>
            <w:tcBorders>
              <w:bottom w:val="single" w:sz="8" w:color="auto"/>
              <w:right w:val="single" w:sz="8" w:color="auto"/>
            </w:tcBorders>
          </w:tcPr>
          <w:p>
            <w:pPr>
              <w:spacing w:after="0"/>
              <w:rPr>
                <w:sz w:val="8"/>
                <w:szCs w:val="8"/>
                <w:color w:val="auto"/>
              </w:rPr>
            </w:pPr>
          </w:p>
        </w:tc>
        <w:tc>
          <w:tcPr>
            <w:tcW w:w="1880" w:type="dxa"/>
            <w:vAlign w:val="bottom"/>
            <w:tcBorders>
              <w:bottom w:val="single" w:sz="8" w:color="auto"/>
              <w:right w:val="single" w:sz="8" w:color="auto"/>
            </w:tcBorders>
          </w:tcPr>
          <w:p>
            <w:pPr>
              <w:spacing w:after="0"/>
              <w:rPr>
                <w:sz w:val="8"/>
                <w:szCs w:val="8"/>
                <w:color w:val="auto"/>
              </w:rPr>
            </w:pPr>
          </w:p>
        </w:tc>
        <w:tc>
          <w:tcPr>
            <w:tcW w:w="1500" w:type="dxa"/>
            <w:vAlign w:val="bottom"/>
            <w:tcBorders>
              <w:bottom w:val="single" w:sz="8" w:color="auto"/>
            </w:tcBorders>
          </w:tcPr>
          <w:p>
            <w:pPr>
              <w:spacing w:after="0"/>
              <w:rPr>
                <w:sz w:val="8"/>
                <w:szCs w:val="8"/>
                <w:color w:val="auto"/>
              </w:rPr>
            </w:pPr>
          </w:p>
        </w:tc>
        <w:tc>
          <w:tcPr>
            <w:tcW w:w="40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w:t>
      </w:r>
    </w:p>
    <w:p>
      <w:pPr>
        <w:spacing w:after="0" w:line="122" w:lineRule="exact"/>
        <w:rPr>
          <w:sz w:val="20"/>
          <w:szCs w:val="20"/>
          <w:color w:val="auto"/>
        </w:rPr>
      </w:pPr>
    </w:p>
    <w:p>
      <w:pPr>
        <w:ind w:left="660" w:right="20" w:hanging="652"/>
        <w:spacing w:after="0" w:line="266" w:lineRule="auto"/>
        <w:tabs>
          <w:tab w:leader="none" w:pos="395" w:val="left"/>
        </w:tabs>
        <w:numPr>
          <w:ilvl w:val="0"/>
          <w:numId w:val="17"/>
        </w:numPr>
        <w:rPr>
          <w:rFonts w:ascii="Arial" w:cs="Arial" w:eastAsia="Arial" w:hAnsi="Arial"/>
          <w:sz w:val="15"/>
          <w:szCs w:val="15"/>
          <w:color w:val="auto"/>
        </w:rPr>
      </w:pPr>
      <w:r>
        <w:rPr>
          <w:rFonts w:ascii="Arial" w:cs="Arial" w:eastAsia="Arial" w:hAnsi="Arial"/>
          <w:sz w:val="15"/>
          <w:szCs w:val="15"/>
          <w:color w:val="auto"/>
        </w:rPr>
        <w:t>As of March 31, 2021, the Company used a hybrid market and income approach to value certain common and preferred stock investments as the Company felt this approach better reflected the fair value of these investments. By considering multiple valuation approaches (and consequently, multiple valuation techniques), the valuation approaches and techniques are not likely to change from one period of measurement to the next; however, the weighting of each in determining the final fair value of a Level 3 investment may change based on recent events or transactions. The hybrid approach may also consider certain risk weightings to account for the uncertainty of future events. Refer to “Note 2—Significant Accounting Policies—</w:t>
      </w:r>
      <w:r>
        <w:rPr>
          <w:rFonts w:ascii="Arial" w:cs="Arial" w:eastAsia="Arial" w:hAnsi="Arial"/>
          <w:sz w:val="15"/>
          <w:szCs w:val="15"/>
          <w:i w:val="1"/>
          <w:iCs w:val="1"/>
          <w:color w:val="auto"/>
        </w:rPr>
        <w:t>Investments at Fair Value</w:t>
      </w:r>
      <w:r>
        <w:rPr>
          <w:rFonts w:ascii="Arial" w:cs="Arial" w:eastAsia="Arial" w:hAnsi="Arial"/>
          <w:sz w:val="15"/>
          <w:szCs w:val="15"/>
          <w:color w:val="auto"/>
        </w:rPr>
        <w:t>” for more detail.</w:t>
      </w:r>
    </w:p>
    <w:p>
      <w:pPr>
        <w:spacing w:after="0" w:line="3" w:lineRule="exact"/>
        <w:rPr>
          <w:rFonts w:ascii="Arial" w:cs="Arial" w:eastAsia="Arial" w:hAnsi="Arial"/>
          <w:sz w:val="15"/>
          <w:szCs w:val="15"/>
          <w:color w:val="auto"/>
        </w:rPr>
      </w:pPr>
    </w:p>
    <w:p>
      <w:pPr>
        <w:ind w:left="660" w:right="20" w:hanging="652"/>
        <w:spacing w:after="0" w:line="250" w:lineRule="auto"/>
        <w:tabs>
          <w:tab w:leader="none" w:pos="391"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Company considers all relevant information that can reasonably be obtained when determining the fair value of Level 3 investments. Due to any given portfolio company’s information rights, changes in capital structure, recent events, transactions, or liquidity events, the type and availability of unobservable inputs may change. Increases/(decreases) in revenue multiples, earnings before interest and taxes (“EBIT”) multiples, time to expiration, and stock price/strike price would result in higher (lower) fair</w:t>
      </w:r>
    </w:p>
    <w:p>
      <w:pPr>
        <w:sectPr>
          <w:pgSz w:w="11900" w:h="16838" w:orient="portrait"/>
          <w:cols w:equalWidth="0" w:num="1">
            <w:col w:w="11260"/>
          </w:cols>
          <w:pgMar w:left="320" w:top="121" w:right="319" w:bottom="1440" w:gutter="0" w:footer="0" w:header="0"/>
        </w:sect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ectPr>
          <w:pgSz w:w="11900" w:h="16838" w:orient="portrait"/>
          <w:cols w:equalWidth="0" w:num="1">
            <w:col w:w="11260"/>
          </w:cols>
          <w:pgMar w:left="320" w:top="121" w:right="319" w:bottom="1440" w:gutter="0" w:footer="0" w:header="0"/>
          <w:type w:val="continuous"/>
        </w:sectPr>
      </w:pPr>
    </w:p>
    <w:bookmarkStart w:id="33" w:name="page34"/>
    <w:bookmarkEnd w:id="3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8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SURO CAPITAL CORP. AND SUBSIDIARIES</w:t>
      </w:r>
    </w:p>
    <w:p>
      <w:pPr>
        <w:spacing w:after="0" w:line="25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March 31, 2021</w:t>
      </w:r>
    </w:p>
    <w:p>
      <w:pPr>
        <w:spacing w:after="0" w:line="200" w:lineRule="exact"/>
        <w:rPr>
          <w:sz w:val="20"/>
          <w:szCs w:val="20"/>
          <w:color w:val="auto"/>
        </w:rPr>
      </w:pPr>
    </w:p>
    <w:p>
      <w:pPr>
        <w:spacing w:after="0" w:line="204" w:lineRule="exact"/>
        <w:rPr>
          <w:sz w:val="20"/>
          <w:szCs w:val="20"/>
          <w:color w:val="auto"/>
        </w:rPr>
      </w:pPr>
    </w:p>
    <w:p>
      <w:pPr>
        <w:jc w:val="both"/>
        <w:ind w:left="660" w:right="20"/>
        <w:spacing w:after="0" w:line="266" w:lineRule="auto"/>
        <w:rPr>
          <w:sz w:val="20"/>
          <w:szCs w:val="20"/>
          <w:color w:val="auto"/>
        </w:rPr>
      </w:pPr>
      <w:r>
        <w:rPr>
          <w:rFonts w:ascii="Arial" w:cs="Arial" w:eastAsia="Arial" w:hAnsi="Arial"/>
          <w:sz w:val="15"/>
          <w:szCs w:val="15"/>
          <w:color w:val="auto"/>
        </w:rPr>
        <w:t>values all else equal. Decreases (increases) in discount rates, volatility, and annual risk rates, would result in higher (lower) fair values all else equal. The market approach utilizes market value (revenue and EBIT) multiples of publicly traded comparable companies and available precedent sales transactions of comparable companies. The Company carefully considers numerous factors when selecting the appropriate companies whose multiples are used to value its portfolio companies. These factors include, but are not limited to, the type of organization, similarity to the business being valued, relevant risk factors, as well as size, profitability and growth expectations. In general, precedent transactions include recent rounds of financing, recent purchases made by the Company, and tender offers. Refer to “Note 2—Significant Accounting Policies—</w:t>
      </w:r>
      <w:r>
        <w:rPr>
          <w:rFonts w:ascii="Arial" w:cs="Arial" w:eastAsia="Arial" w:hAnsi="Arial"/>
          <w:sz w:val="15"/>
          <w:szCs w:val="15"/>
          <w:i w:val="1"/>
          <w:iCs w:val="1"/>
          <w:color w:val="auto"/>
        </w:rPr>
        <w:t>Investments at Fair Value</w:t>
      </w:r>
      <w:r>
        <w:rPr>
          <w:rFonts w:ascii="Arial" w:cs="Arial" w:eastAsia="Arial" w:hAnsi="Arial"/>
          <w:sz w:val="15"/>
          <w:szCs w:val="15"/>
          <w:color w:val="auto"/>
        </w:rPr>
        <w:t>” for more detail.</w:t>
      </w:r>
    </w:p>
    <w:p>
      <w:pPr>
        <w:spacing w:after="0" w:line="1" w:lineRule="exact"/>
        <w:rPr>
          <w:sz w:val="20"/>
          <w:szCs w:val="20"/>
          <w:color w:val="auto"/>
        </w:rPr>
      </w:pPr>
    </w:p>
    <w:p>
      <w:pPr>
        <w:ind w:left="360" w:hanging="352"/>
        <w:spacing w:after="0"/>
        <w:tabs>
          <w:tab w:leader="none" w:pos="3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weighted averages are calculated based on the fair market value of each investment.</w:t>
      </w:r>
    </w:p>
    <w:p>
      <w:pPr>
        <w:spacing w:after="0" w:line="5" w:lineRule="exact"/>
        <w:rPr>
          <w:rFonts w:ascii="Arial" w:cs="Arial" w:eastAsia="Arial" w:hAnsi="Arial"/>
          <w:sz w:val="16"/>
          <w:szCs w:val="16"/>
          <w:color w:val="auto"/>
        </w:rPr>
      </w:pPr>
    </w:p>
    <w:p>
      <w:pPr>
        <w:ind w:left="360" w:hanging="352"/>
        <w:spacing w:after="0"/>
        <w:tabs>
          <w:tab w:leader="none" w:pos="3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Adjusted Funds From Operations, or "AFFO"</w:t>
      </w:r>
    </w:p>
    <w:p>
      <w:pPr>
        <w:spacing w:after="0" w:line="5" w:lineRule="exact"/>
        <w:rPr>
          <w:rFonts w:ascii="Arial" w:cs="Arial" w:eastAsia="Arial" w:hAnsi="Arial"/>
          <w:sz w:val="16"/>
          <w:szCs w:val="16"/>
          <w:color w:val="auto"/>
        </w:rPr>
      </w:pPr>
    </w:p>
    <w:p>
      <w:pPr>
        <w:ind w:left="360" w:hanging="352"/>
        <w:spacing w:after="0"/>
        <w:tabs>
          <w:tab w:leader="none" w:pos="3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Probability-Weighted Expected Return Method, or "PWERM"</w:t>
      </w:r>
    </w:p>
    <w:p>
      <w:pPr>
        <w:spacing w:after="0" w:line="200" w:lineRule="exact"/>
        <w:rPr>
          <w:sz w:val="20"/>
          <w:szCs w:val="20"/>
          <w:color w:val="auto"/>
        </w:rPr>
      </w:pPr>
    </w:p>
    <w:p>
      <w:pPr>
        <w:spacing w:after="0" w:line="26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As of December 31, 2020</w:t>
      </w:r>
    </w:p>
    <w:p>
      <w:pPr>
        <w:spacing w:after="0" w:line="129" w:lineRule="exact"/>
        <w:rPr>
          <w:sz w:val="20"/>
          <w:szCs w:val="20"/>
          <w:color w:val="auto"/>
        </w:rPr>
      </w:pPr>
    </w:p>
    <w:tbl>
      <w:tblPr>
        <w:tblLayout w:type="fixed"/>
        <w:tblInd w:w="10" w:type="dxa"/>
        <w:tblCellMar>
          <w:top w:w="0" w:type="dxa"/>
          <w:left w:w="0" w:type="dxa"/>
          <w:bottom w:w="0" w:type="dxa"/>
          <w:right w:w="0" w:type="dxa"/>
        </w:tblCellMar>
      </w:tblPr>
      <w:tr>
        <w:trPr>
          <w:trHeight w:val="149"/>
        </w:trPr>
        <w:tc>
          <w:tcPr>
            <w:tcW w:w="3700" w:type="dxa"/>
            <w:vAlign w:val="bottom"/>
            <w:tcBorders>
              <w:top w:val="single" w:sz="8" w:color="auto"/>
              <w:left w:val="single" w:sz="8" w:color="auto"/>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89"/>
              </w:rPr>
              <w:t>Asset</w:t>
            </w:r>
          </w:p>
        </w:tc>
        <w:tc>
          <w:tcPr>
            <w:tcW w:w="1880" w:type="dxa"/>
            <w:vAlign w:val="bottom"/>
            <w:tcBorders>
              <w:top w:val="single" w:sz="8" w:color="auto"/>
              <w:right w:val="single" w:sz="8" w:color="auto"/>
            </w:tcBorders>
            <w:vMerge w:val="restart"/>
          </w:tcPr>
          <w:p>
            <w:pPr>
              <w:ind w:left="600"/>
              <w:spacing w:after="0"/>
              <w:rPr>
                <w:sz w:val="20"/>
                <w:szCs w:val="20"/>
                <w:color w:val="auto"/>
              </w:rPr>
            </w:pPr>
            <w:r>
              <w:rPr>
                <w:rFonts w:ascii="Arial" w:cs="Arial" w:eastAsia="Arial" w:hAnsi="Arial"/>
                <w:sz w:val="14"/>
                <w:szCs w:val="14"/>
                <w:b w:val="1"/>
                <w:bCs w:val="1"/>
                <w:color w:val="auto"/>
              </w:rPr>
              <w:t>Fair Value</w:t>
            </w:r>
          </w:p>
        </w:tc>
        <w:tc>
          <w:tcPr>
            <w:tcW w:w="1900" w:type="dxa"/>
            <w:vAlign w:val="bottom"/>
            <w:tcBorders>
              <w:top w:val="single" w:sz="8" w:color="auto"/>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5"/>
              </w:rPr>
              <w:t>Valuation</w:t>
            </w:r>
          </w:p>
        </w:tc>
        <w:tc>
          <w:tcPr>
            <w:tcW w:w="188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0"/>
              </w:rPr>
              <w:t>Unobservable Inputs</w:t>
            </w:r>
            <w:r>
              <w:rPr>
                <w:rFonts w:ascii="Arial" w:cs="Arial" w:eastAsia="Arial" w:hAnsi="Arial"/>
                <w:sz w:val="18"/>
                <w:szCs w:val="18"/>
                <w:b w:val="1"/>
                <w:bCs w:val="1"/>
                <w:color w:val="auto"/>
                <w:w w:val="90"/>
                <w:vertAlign w:val="superscript"/>
              </w:rPr>
              <w:t>(2)</w:t>
            </w:r>
          </w:p>
        </w:tc>
        <w:tc>
          <w:tcPr>
            <w:tcW w:w="1500" w:type="dxa"/>
            <w:vAlign w:val="bottom"/>
            <w:tcBorders>
              <w:top w:val="single" w:sz="8" w:color="auto"/>
            </w:tcBorders>
            <w:vMerge w:val="restart"/>
          </w:tcPr>
          <w:p>
            <w:pPr>
              <w:jc w:val="center"/>
              <w:ind w:left="292"/>
              <w:spacing w:after="0"/>
              <w:rPr>
                <w:sz w:val="20"/>
                <w:szCs w:val="20"/>
                <w:color w:val="auto"/>
              </w:rPr>
            </w:pPr>
            <w:r>
              <w:rPr>
                <w:rFonts w:ascii="Arial" w:cs="Arial" w:eastAsia="Arial" w:hAnsi="Arial"/>
                <w:sz w:val="14"/>
                <w:szCs w:val="14"/>
                <w:b w:val="1"/>
                <w:bCs w:val="1"/>
                <w:color w:val="auto"/>
                <w:w w:val="93"/>
              </w:rPr>
              <w:t>Range</w:t>
            </w:r>
          </w:p>
        </w:tc>
        <w:tc>
          <w:tcPr>
            <w:tcW w:w="400" w:type="dxa"/>
            <w:vAlign w:val="bottom"/>
            <w:tcBorders>
              <w:top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700" w:type="dxa"/>
            <w:vAlign w:val="bottom"/>
            <w:tcBorders>
              <w:left w:val="single" w:sz="8" w:color="auto"/>
              <w:right w:val="single" w:sz="8" w:color="auto"/>
            </w:tcBorders>
            <w:vMerge w:val="continue"/>
          </w:tcPr>
          <w:p>
            <w:pPr>
              <w:spacing w:after="0"/>
              <w:rPr>
                <w:sz w:val="11"/>
                <w:szCs w:val="11"/>
                <w:color w:val="auto"/>
              </w:rPr>
            </w:pPr>
          </w:p>
        </w:tc>
        <w:tc>
          <w:tcPr>
            <w:tcW w:w="1880" w:type="dxa"/>
            <w:vAlign w:val="bottom"/>
            <w:tcBorders>
              <w:right w:val="single" w:sz="8" w:color="auto"/>
            </w:tcBorders>
            <w:vMerge w:val="continue"/>
          </w:tcPr>
          <w:p>
            <w:pPr>
              <w:spacing w:after="0"/>
              <w:rPr>
                <w:sz w:val="11"/>
                <w:szCs w:val="11"/>
                <w:color w:val="auto"/>
              </w:rPr>
            </w:pPr>
          </w:p>
        </w:tc>
        <w:tc>
          <w:tcPr>
            <w:tcW w:w="190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4"/>
                <w:szCs w:val="14"/>
                <w:b w:val="1"/>
                <w:bCs w:val="1"/>
                <w:color w:val="auto"/>
                <w:w w:val="92"/>
              </w:rPr>
              <w:t>Approach/</w:t>
            </w:r>
          </w:p>
        </w:tc>
        <w:tc>
          <w:tcPr>
            <w:tcW w:w="1880" w:type="dxa"/>
            <w:vAlign w:val="bottom"/>
            <w:tcBorders>
              <w:right w:val="single" w:sz="8" w:color="auto"/>
            </w:tcBorders>
            <w:vMerge w:val="continue"/>
          </w:tcPr>
          <w:p>
            <w:pPr>
              <w:spacing w:after="0"/>
              <w:rPr>
                <w:sz w:val="11"/>
                <w:szCs w:val="11"/>
                <w:color w:val="auto"/>
              </w:rPr>
            </w:pPr>
          </w:p>
        </w:tc>
        <w:tc>
          <w:tcPr>
            <w:tcW w:w="1500" w:type="dxa"/>
            <w:vAlign w:val="bottom"/>
            <w:vMerge w:val="continue"/>
          </w:tcPr>
          <w:p>
            <w:pPr>
              <w:spacing w:after="0"/>
              <w:rPr>
                <w:sz w:val="11"/>
                <w:szCs w:val="11"/>
                <w:color w:val="auto"/>
              </w:rPr>
            </w:pPr>
          </w:p>
        </w:tc>
        <w:tc>
          <w:tcPr>
            <w:tcW w:w="400" w:type="dxa"/>
            <w:vAlign w:val="bottom"/>
            <w:tcBorders>
              <w:right w:val="single" w:sz="8" w:color="auto"/>
            </w:tcBorders>
          </w:tcPr>
          <w:p>
            <w:pPr>
              <w:jc w:val="right"/>
              <w:ind w:right="253"/>
              <w:spacing w:after="0"/>
              <w:rPr>
                <w:sz w:val="20"/>
                <w:szCs w:val="20"/>
                <w:color w:val="auto"/>
              </w:rPr>
            </w:pPr>
            <w:r>
              <w:rPr>
                <w:rFonts w:ascii="Arial" w:cs="Arial" w:eastAsia="Arial" w:hAnsi="Arial"/>
                <w:sz w:val="9"/>
                <w:szCs w:val="9"/>
                <w:b w:val="1"/>
                <w:bCs w:val="1"/>
                <w:color w:val="auto"/>
                <w:w w:val="72"/>
              </w:rPr>
              <w:t>(3)</w:t>
            </w:r>
          </w:p>
        </w:tc>
        <w:tc>
          <w:tcPr>
            <w:tcW w:w="0" w:type="dxa"/>
            <w:vAlign w:val="bottom"/>
          </w:tcPr>
          <w:p>
            <w:pPr>
              <w:spacing w:after="0"/>
              <w:rPr>
                <w:sz w:val="1"/>
                <w:szCs w:val="1"/>
                <w:color w:val="auto"/>
              </w:rPr>
            </w:pPr>
          </w:p>
        </w:tc>
      </w:tr>
      <w:tr>
        <w:trPr>
          <w:trHeight w:val="189"/>
        </w:trPr>
        <w:tc>
          <w:tcPr>
            <w:tcW w:w="3700" w:type="dxa"/>
            <w:vAlign w:val="bottom"/>
            <w:tcBorders>
              <w:left w:val="single" w:sz="8" w:color="auto"/>
              <w:bottom w:val="single" w:sz="8" w:color="auto"/>
              <w:right w:val="single" w:sz="8" w:color="auto"/>
            </w:tcBorders>
          </w:tcPr>
          <w:p>
            <w:pPr>
              <w:spacing w:after="0"/>
              <w:rPr>
                <w:sz w:val="16"/>
                <w:szCs w:val="16"/>
                <w:color w:val="auto"/>
              </w:rPr>
            </w:pPr>
          </w:p>
        </w:tc>
        <w:tc>
          <w:tcPr>
            <w:tcW w:w="1880" w:type="dxa"/>
            <w:vAlign w:val="bottom"/>
            <w:tcBorders>
              <w:bottom w:val="single" w:sz="8" w:color="auto"/>
              <w:right w:val="single" w:sz="8" w:color="auto"/>
            </w:tcBorders>
          </w:tcPr>
          <w:p>
            <w:pPr>
              <w:spacing w:after="0"/>
              <w:rPr>
                <w:sz w:val="16"/>
                <w:szCs w:val="16"/>
                <w:color w:val="auto"/>
              </w:rPr>
            </w:pPr>
          </w:p>
        </w:tc>
        <w:tc>
          <w:tcPr>
            <w:tcW w:w="1900" w:type="dxa"/>
            <w:vAlign w:val="bottom"/>
            <w:tcBorders>
              <w:bottom w:val="single" w:sz="8" w:color="auto"/>
              <w:right w:val="single" w:sz="8" w:color="auto"/>
            </w:tcBorders>
          </w:tcPr>
          <w:p>
            <w:pPr>
              <w:jc w:val="center"/>
              <w:spacing w:after="0" w:line="189" w:lineRule="exact"/>
              <w:rPr>
                <w:sz w:val="20"/>
                <w:szCs w:val="20"/>
                <w:color w:val="auto"/>
              </w:rPr>
            </w:pPr>
            <w:r>
              <w:rPr>
                <w:rFonts w:ascii="Arial" w:cs="Arial" w:eastAsia="Arial" w:hAnsi="Arial"/>
                <w:sz w:val="14"/>
                <w:szCs w:val="14"/>
                <w:b w:val="1"/>
                <w:bCs w:val="1"/>
                <w:color w:val="auto"/>
                <w:w w:val="87"/>
              </w:rPr>
              <w:t>Technique</w:t>
            </w:r>
            <w:r>
              <w:rPr>
                <w:rFonts w:ascii="Arial" w:cs="Arial" w:eastAsia="Arial" w:hAnsi="Arial"/>
                <w:sz w:val="18"/>
                <w:szCs w:val="18"/>
                <w:b w:val="1"/>
                <w:bCs w:val="1"/>
                <w:color w:val="auto"/>
                <w:w w:val="87"/>
                <w:vertAlign w:val="superscript"/>
              </w:rPr>
              <w:t>(1)</w:t>
            </w:r>
          </w:p>
        </w:tc>
        <w:tc>
          <w:tcPr>
            <w:tcW w:w="1880" w:type="dxa"/>
            <w:vAlign w:val="bottom"/>
            <w:tcBorders>
              <w:bottom w:val="single" w:sz="8" w:color="auto"/>
              <w:right w:val="single" w:sz="8" w:color="auto"/>
            </w:tcBorders>
          </w:tcPr>
          <w:p>
            <w:pPr>
              <w:spacing w:after="0"/>
              <w:rPr>
                <w:sz w:val="16"/>
                <w:szCs w:val="16"/>
                <w:color w:val="auto"/>
              </w:rPr>
            </w:pPr>
          </w:p>
        </w:tc>
        <w:tc>
          <w:tcPr>
            <w:tcW w:w="150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w w:val="91"/>
              </w:rPr>
              <w:t>(Weighted Average)</w:t>
            </w:r>
          </w:p>
        </w:tc>
        <w:tc>
          <w:tcPr>
            <w:tcW w:w="40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73"/>
        </w:trPr>
        <w:tc>
          <w:tcPr>
            <w:tcW w:w="3700" w:type="dxa"/>
            <w:vAlign w:val="bottom"/>
            <w:tcBorders>
              <w:left w:val="single" w:sz="8" w:color="auto"/>
              <w:right w:val="single" w:sz="8" w:color="auto"/>
            </w:tcBorders>
          </w:tcPr>
          <w:p>
            <w:pPr>
              <w:spacing w:after="0"/>
              <w:rPr>
                <w:sz w:val="24"/>
                <w:szCs w:val="24"/>
                <w:color w:val="auto"/>
              </w:rPr>
            </w:pPr>
          </w:p>
        </w:tc>
        <w:tc>
          <w:tcPr>
            <w:tcW w:w="1880" w:type="dxa"/>
            <w:vAlign w:val="bottom"/>
            <w:tcBorders>
              <w:right w:val="single" w:sz="8" w:color="auto"/>
            </w:tcBorders>
          </w:tcPr>
          <w:p>
            <w:pPr>
              <w:spacing w:after="0"/>
              <w:rPr>
                <w:sz w:val="24"/>
                <w:szCs w:val="24"/>
                <w:color w:val="auto"/>
              </w:rPr>
            </w:pPr>
          </w:p>
        </w:tc>
        <w:tc>
          <w:tcPr>
            <w:tcW w:w="1900" w:type="dxa"/>
            <w:vAlign w:val="bottom"/>
            <w:tcBorders>
              <w:right w:val="single" w:sz="8" w:color="auto"/>
            </w:tcBorders>
          </w:tcPr>
          <w:p>
            <w:pPr>
              <w:spacing w:after="0"/>
              <w:rPr>
                <w:sz w:val="24"/>
                <w:szCs w:val="24"/>
                <w:color w:val="auto"/>
              </w:rPr>
            </w:pPr>
          </w:p>
        </w:tc>
        <w:tc>
          <w:tcPr>
            <w:tcW w:w="18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AFFO</w:t>
            </w:r>
            <w:r>
              <w:rPr>
                <w:rFonts w:ascii="Arial" w:cs="Arial" w:eastAsia="Arial" w:hAnsi="Arial"/>
                <w:sz w:val="23"/>
                <w:szCs w:val="23"/>
                <w:color w:val="auto"/>
                <w:w w:val="92"/>
                <w:vertAlign w:val="superscript"/>
              </w:rPr>
              <w:t>(4)</w:t>
            </w:r>
            <w:r>
              <w:rPr>
                <w:rFonts w:ascii="Arial" w:cs="Arial" w:eastAsia="Arial" w:hAnsi="Arial"/>
                <w:sz w:val="18"/>
                <w:szCs w:val="18"/>
                <w:color w:val="auto"/>
                <w:w w:val="92"/>
              </w:rPr>
              <w:t xml:space="preserve"> multiple</w:t>
            </w:r>
          </w:p>
        </w:tc>
        <w:tc>
          <w:tcPr>
            <w:tcW w:w="190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color w:val="auto"/>
                <w:w w:val="92"/>
              </w:rPr>
              <w:t>27.53x (27.53x)</w:t>
            </w:r>
          </w:p>
        </w:tc>
        <w:tc>
          <w:tcPr>
            <w:tcW w:w="0" w:type="dxa"/>
            <w:vAlign w:val="bottom"/>
          </w:tcPr>
          <w:p>
            <w:pPr>
              <w:spacing w:after="0"/>
              <w:rPr>
                <w:sz w:val="1"/>
                <w:szCs w:val="1"/>
                <w:color w:val="auto"/>
              </w:rPr>
            </w:pPr>
          </w:p>
        </w:tc>
      </w:tr>
      <w:tr>
        <w:trPr>
          <w:trHeight w:val="26"/>
        </w:trPr>
        <w:tc>
          <w:tcPr>
            <w:tcW w:w="3700" w:type="dxa"/>
            <w:vAlign w:val="bottom"/>
            <w:tcBorders>
              <w:left w:val="single" w:sz="8" w:color="auto"/>
              <w:right w:val="single" w:sz="8" w:color="auto"/>
            </w:tcBorders>
          </w:tcPr>
          <w:p>
            <w:pPr>
              <w:spacing w:after="0"/>
              <w:rPr>
                <w:sz w:val="2"/>
                <w:szCs w:val="2"/>
                <w:color w:val="auto"/>
              </w:rPr>
            </w:pPr>
          </w:p>
        </w:tc>
        <w:tc>
          <w:tcPr>
            <w:tcW w:w="1880" w:type="dxa"/>
            <w:vAlign w:val="bottom"/>
            <w:tcBorders>
              <w:right w:val="single" w:sz="8" w:color="auto"/>
            </w:tcBorders>
          </w:tcPr>
          <w:p>
            <w:pPr>
              <w:spacing w:after="0"/>
              <w:rPr>
                <w:sz w:val="2"/>
                <w:szCs w:val="2"/>
                <w:color w:val="auto"/>
              </w:rPr>
            </w:pPr>
          </w:p>
        </w:tc>
        <w:tc>
          <w:tcPr>
            <w:tcW w:w="19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Market approach</w:t>
            </w:r>
          </w:p>
        </w:tc>
        <w:tc>
          <w:tcPr>
            <w:tcW w:w="1880" w:type="dxa"/>
            <w:vAlign w:val="bottom"/>
            <w:tcBorders>
              <w:bottom w:val="single" w:sz="8" w:color="auto"/>
              <w:right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4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37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Common stock in</w:t>
            </w:r>
          </w:p>
        </w:tc>
        <w:tc>
          <w:tcPr>
            <w:tcW w:w="18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$34,190,839</w:t>
            </w:r>
          </w:p>
        </w:tc>
        <w:tc>
          <w:tcPr>
            <w:tcW w:w="1900" w:type="dxa"/>
            <w:vAlign w:val="bottom"/>
            <w:tcBorders>
              <w:right w:val="single" w:sz="8" w:color="auto"/>
            </w:tcBorders>
            <w:vMerge w:val="continue"/>
          </w:tcPr>
          <w:p>
            <w:pPr>
              <w:spacing w:after="0"/>
              <w:rPr>
                <w:sz w:val="19"/>
                <w:szCs w:val="19"/>
                <w:color w:val="auto"/>
              </w:rPr>
            </w:pPr>
          </w:p>
        </w:tc>
        <w:tc>
          <w:tcPr>
            <w:tcW w:w="18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Revenue multiples</w:t>
            </w:r>
          </w:p>
        </w:tc>
        <w:tc>
          <w:tcPr>
            <w:tcW w:w="190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color w:val="auto"/>
                <w:w w:val="92"/>
              </w:rPr>
              <w:t>2.12x -6.95x (6.39x)</w:t>
            </w:r>
          </w:p>
        </w:tc>
        <w:tc>
          <w:tcPr>
            <w:tcW w:w="0" w:type="dxa"/>
            <w:vAlign w:val="bottom"/>
          </w:tcPr>
          <w:p>
            <w:pPr>
              <w:spacing w:after="0"/>
              <w:rPr>
                <w:sz w:val="1"/>
                <w:szCs w:val="1"/>
                <w:color w:val="auto"/>
              </w:rPr>
            </w:pPr>
          </w:p>
        </w:tc>
      </w:tr>
      <w:tr>
        <w:trPr>
          <w:trHeight w:val="40"/>
        </w:trPr>
        <w:tc>
          <w:tcPr>
            <w:tcW w:w="3700" w:type="dxa"/>
            <w:vAlign w:val="bottom"/>
            <w:tcBorders>
              <w:left w:val="single" w:sz="8" w:color="auto"/>
              <w:right w:val="single" w:sz="8" w:color="auto"/>
            </w:tcBorders>
            <w:vMerge w:val="continue"/>
          </w:tcPr>
          <w:p>
            <w:pPr>
              <w:spacing w:after="0"/>
              <w:rPr>
                <w:sz w:val="3"/>
                <w:szCs w:val="3"/>
                <w:color w:val="auto"/>
              </w:rPr>
            </w:pPr>
          </w:p>
        </w:tc>
        <w:tc>
          <w:tcPr>
            <w:tcW w:w="1880" w:type="dxa"/>
            <w:vAlign w:val="bottom"/>
            <w:tcBorders>
              <w:right w:val="single" w:sz="8" w:color="auto"/>
            </w:tcBorders>
            <w:vMerge w:val="continue"/>
          </w:tcPr>
          <w:p>
            <w:pPr>
              <w:spacing w:after="0"/>
              <w:rPr>
                <w:sz w:val="3"/>
                <w:szCs w:val="3"/>
                <w:color w:val="auto"/>
              </w:rPr>
            </w:pPr>
          </w:p>
        </w:tc>
        <w:tc>
          <w:tcPr>
            <w:tcW w:w="1900" w:type="dxa"/>
            <w:vAlign w:val="bottom"/>
            <w:tcBorders>
              <w:right w:val="single" w:sz="8" w:color="auto"/>
            </w:tcBorders>
          </w:tcPr>
          <w:p>
            <w:pPr>
              <w:spacing w:after="0"/>
              <w:rPr>
                <w:sz w:val="3"/>
                <w:szCs w:val="3"/>
                <w:color w:val="auto"/>
              </w:rPr>
            </w:pPr>
          </w:p>
        </w:tc>
        <w:tc>
          <w:tcPr>
            <w:tcW w:w="1880" w:type="dxa"/>
            <w:vAlign w:val="bottom"/>
            <w:tcBorders>
              <w:right w:val="single" w:sz="8" w:color="auto"/>
            </w:tcBorders>
            <w:vMerge w:val="continue"/>
          </w:tcPr>
          <w:p>
            <w:pPr>
              <w:spacing w:after="0"/>
              <w:rPr>
                <w:sz w:val="3"/>
                <w:szCs w:val="3"/>
                <w:color w:val="auto"/>
              </w:rPr>
            </w:pPr>
          </w:p>
        </w:tc>
        <w:tc>
          <w:tcPr>
            <w:tcW w:w="1900" w:type="dxa"/>
            <w:vAlign w:val="bottom"/>
            <w:tcBorders>
              <w:right w:val="single" w:sz="8" w:color="auto"/>
            </w:tcBorders>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35"/>
        </w:trPr>
        <w:tc>
          <w:tcPr>
            <w:tcW w:w="37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88"/>
              </w:rPr>
              <w:t>private companies</w:t>
            </w:r>
          </w:p>
        </w:tc>
        <w:tc>
          <w:tcPr>
            <w:tcW w:w="1880" w:type="dxa"/>
            <w:vAlign w:val="bottom"/>
            <w:tcBorders>
              <w:right w:val="single" w:sz="8" w:color="auto"/>
            </w:tcBorders>
            <w:vMerge w:val="continue"/>
          </w:tcPr>
          <w:p>
            <w:pPr>
              <w:spacing w:after="0"/>
              <w:rPr>
                <w:sz w:val="11"/>
                <w:szCs w:val="11"/>
                <w:color w:val="auto"/>
              </w:rPr>
            </w:pPr>
          </w:p>
        </w:tc>
        <w:tc>
          <w:tcPr>
            <w:tcW w:w="1900" w:type="dxa"/>
            <w:vAlign w:val="bottom"/>
            <w:tcBorders>
              <w:right w:val="single" w:sz="8" w:color="auto"/>
            </w:tcBorders>
          </w:tcPr>
          <w:p>
            <w:pPr>
              <w:spacing w:after="0"/>
              <w:rPr>
                <w:sz w:val="11"/>
                <w:szCs w:val="11"/>
                <w:color w:val="auto"/>
              </w:rPr>
            </w:pPr>
          </w:p>
        </w:tc>
        <w:tc>
          <w:tcPr>
            <w:tcW w:w="1880" w:type="dxa"/>
            <w:vAlign w:val="bottom"/>
            <w:tcBorders>
              <w:bottom w:val="single" w:sz="8" w:color="auto"/>
              <w:right w:val="single" w:sz="8" w:color="auto"/>
            </w:tcBorders>
          </w:tcPr>
          <w:p>
            <w:pPr>
              <w:spacing w:after="0"/>
              <w:rPr>
                <w:sz w:val="11"/>
                <w:szCs w:val="11"/>
                <w:color w:val="auto"/>
              </w:rPr>
            </w:pPr>
          </w:p>
        </w:tc>
        <w:tc>
          <w:tcPr>
            <w:tcW w:w="1500" w:type="dxa"/>
            <w:vAlign w:val="bottom"/>
            <w:tcBorders>
              <w:bottom w:val="single" w:sz="8" w:color="auto"/>
            </w:tcBorders>
          </w:tcPr>
          <w:p>
            <w:pPr>
              <w:spacing w:after="0"/>
              <w:rPr>
                <w:sz w:val="11"/>
                <w:szCs w:val="11"/>
                <w:color w:val="auto"/>
              </w:rPr>
            </w:pPr>
          </w:p>
        </w:tc>
        <w:tc>
          <w:tcPr>
            <w:tcW w:w="40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3700" w:type="dxa"/>
            <w:vAlign w:val="bottom"/>
            <w:tcBorders>
              <w:left w:val="single" w:sz="8" w:color="auto"/>
              <w:right w:val="single" w:sz="8" w:color="auto"/>
            </w:tcBorders>
            <w:vMerge w:val="continue"/>
          </w:tcPr>
          <w:p>
            <w:pPr>
              <w:spacing w:after="0"/>
              <w:rPr>
                <w:sz w:val="6"/>
                <w:szCs w:val="6"/>
                <w:color w:val="auto"/>
              </w:rPr>
            </w:pPr>
          </w:p>
        </w:tc>
        <w:tc>
          <w:tcPr>
            <w:tcW w:w="1880" w:type="dxa"/>
            <w:vAlign w:val="bottom"/>
            <w:tcBorders>
              <w:right w:val="single" w:sz="8" w:color="auto"/>
            </w:tcBorders>
          </w:tcPr>
          <w:p>
            <w:pPr>
              <w:spacing w:after="0"/>
              <w:rPr>
                <w:sz w:val="6"/>
                <w:szCs w:val="6"/>
                <w:color w:val="auto"/>
              </w:rPr>
            </w:pPr>
          </w:p>
        </w:tc>
        <w:tc>
          <w:tcPr>
            <w:tcW w:w="1900" w:type="dxa"/>
            <w:vAlign w:val="bottom"/>
            <w:tcBorders>
              <w:right w:val="single" w:sz="8" w:color="auto"/>
            </w:tcBorders>
          </w:tcPr>
          <w:p>
            <w:pPr>
              <w:spacing w:after="0"/>
              <w:rPr>
                <w:sz w:val="6"/>
                <w:szCs w:val="6"/>
                <w:color w:val="auto"/>
              </w:rPr>
            </w:pPr>
          </w:p>
        </w:tc>
        <w:tc>
          <w:tcPr>
            <w:tcW w:w="18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3"/>
              </w:rPr>
              <w:t>Liquidation value</w:t>
            </w:r>
          </w:p>
        </w:tc>
        <w:tc>
          <w:tcPr>
            <w:tcW w:w="1500" w:type="dxa"/>
            <w:vAlign w:val="bottom"/>
            <w:vMerge w:val="restart"/>
          </w:tcPr>
          <w:p>
            <w:pPr>
              <w:jc w:val="center"/>
              <w:ind w:left="292"/>
              <w:spacing w:after="0"/>
              <w:rPr>
                <w:sz w:val="20"/>
                <w:szCs w:val="20"/>
                <w:color w:val="auto"/>
              </w:rPr>
            </w:pPr>
            <w:r>
              <w:rPr>
                <w:rFonts w:ascii="Arial" w:cs="Arial" w:eastAsia="Arial" w:hAnsi="Arial"/>
                <w:sz w:val="18"/>
                <w:szCs w:val="18"/>
                <w:color w:val="auto"/>
              </w:rPr>
              <w:t>N/A</w:t>
            </w:r>
          </w:p>
        </w:tc>
        <w:tc>
          <w:tcPr>
            <w:tcW w:w="40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55"/>
        </w:trPr>
        <w:tc>
          <w:tcPr>
            <w:tcW w:w="3700" w:type="dxa"/>
            <w:vAlign w:val="bottom"/>
            <w:tcBorders>
              <w:left w:val="single" w:sz="8" w:color="auto"/>
              <w:right w:val="single" w:sz="8" w:color="auto"/>
            </w:tcBorders>
          </w:tcPr>
          <w:p>
            <w:pPr>
              <w:spacing w:after="0"/>
              <w:rPr>
                <w:sz w:val="13"/>
                <w:szCs w:val="13"/>
                <w:color w:val="auto"/>
              </w:rPr>
            </w:pPr>
          </w:p>
        </w:tc>
        <w:tc>
          <w:tcPr>
            <w:tcW w:w="1880" w:type="dxa"/>
            <w:vAlign w:val="bottom"/>
            <w:tcBorders>
              <w:right w:val="single" w:sz="8" w:color="auto"/>
            </w:tcBorders>
          </w:tcPr>
          <w:p>
            <w:pPr>
              <w:spacing w:after="0"/>
              <w:rPr>
                <w:sz w:val="13"/>
                <w:szCs w:val="13"/>
                <w:color w:val="auto"/>
              </w:rPr>
            </w:pPr>
          </w:p>
        </w:tc>
        <w:tc>
          <w:tcPr>
            <w:tcW w:w="1900" w:type="dxa"/>
            <w:vAlign w:val="bottom"/>
            <w:tcBorders>
              <w:bottom w:val="single" w:sz="8" w:color="auto"/>
              <w:right w:val="single" w:sz="8" w:color="auto"/>
            </w:tcBorders>
          </w:tcPr>
          <w:p>
            <w:pPr>
              <w:spacing w:after="0"/>
              <w:rPr>
                <w:sz w:val="13"/>
                <w:szCs w:val="13"/>
                <w:color w:val="auto"/>
              </w:rPr>
            </w:pPr>
          </w:p>
        </w:tc>
        <w:tc>
          <w:tcPr>
            <w:tcW w:w="1880" w:type="dxa"/>
            <w:vAlign w:val="bottom"/>
            <w:tcBorders>
              <w:bottom w:val="single" w:sz="8" w:color="auto"/>
              <w:right w:val="single" w:sz="8" w:color="auto"/>
            </w:tcBorders>
            <w:vMerge w:val="continue"/>
          </w:tcPr>
          <w:p>
            <w:pPr>
              <w:spacing w:after="0"/>
              <w:rPr>
                <w:sz w:val="13"/>
                <w:szCs w:val="13"/>
                <w:color w:val="auto"/>
              </w:rPr>
            </w:pPr>
          </w:p>
        </w:tc>
        <w:tc>
          <w:tcPr>
            <w:tcW w:w="1500" w:type="dxa"/>
            <w:vAlign w:val="bottom"/>
            <w:tcBorders>
              <w:bottom w:val="single" w:sz="8" w:color="auto"/>
            </w:tcBorders>
            <w:vMerge w:val="continue"/>
          </w:tcPr>
          <w:p>
            <w:pPr>
              <w:spacing w:after="0"/>
              <w:rPr>
                <w:sz w:val="13"/>
                <w:szCs w:val="13"/>
                <w:color w:val="auto"/>
              </w:rPr>
            </w:pPr>
          </w:p>
        </w:tc>
        <w:tc>
          <w:tcPr>
            <w:tcW w:w="40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83"/>
        </w:trPr>
        <w:tc>
          <w:tcPr>
            <w:tcW w:w="3700" w:type="dxa"/>
            <w:vAlign w:val="bottom"/>
            <w:tcBorders>
              <w:left w:val="single" w:sz="8" w:color="auto"/>
              <w:right w:val="single" w:sz="8" w:color="auto"/>
            </w:tcBorders>
          </w:tcPr>
          <w:p>
            <w:pPr>
              <w:spacing w:after="0"/>
              <w:rPr>
                <w:sz w:val="24"/>
                <w:szCs w:val="24"/>
                <w:color w:val="auto"/>
              </w:rPr>
            </w:pPr>
          </w:p>
        </w:tc>
        <w:tc>
          <w:tcPr>
            <w:tcW w:w="1880" w:type="dxa"/>
            <w:vAlign w:val="bottom"/>
            <w:tcBorders>
              <w:right w:val="single" w:sz="8" w:color="auto"/>
            </w:tcBorders>
          </w:tcPr>
          <w:p>
            <w:pPr>
              <w:spacing w:after="0"/>
              <w:rPr>
                <w:sz w:val="24"/>
                <w:szCs w:val="24"/>
                <w:color w:val="auto"/>
              </w:rPr>
            </w:pPr>
          </w:p>
        </w:tc>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Discounted cash flow</w:t>
            </w:r>
          </w:p>
        </w:tc>
        <w:tc>
          <w:tcPr>
            <w:tcW w:w="18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Discount rate</w:t>
            </w:r>
          </w:p>
        </w:tc>
        <w:tc>
          <w:tcPr>
            <w:tcW w:w="1500" w:type="dxa"/>
            <w:vAlign w:val="bottom"/>
          </w:tcPr>
          <w:p>
            <w:pPr>
              <w:jc w:val="center"/>
              <w:ind w:left="292"/>
              <w:spacing w:after="0"/>
              <w:rPr>
                <w:sz w:val="20"/>
                <w:szCs w:val="20"/>
                <w:color w:val="auto"/>
              </w:rPr>
            </w:pPr>
            <w:r>
              <w:rPr>
                <w:rFonts w:ascii="Arial" w:cs="Arial" w:eastAsia="Arial" w:hAnsi="Arial"/>
                <w:sz w:val="18"/>
                <w:szCs w:val="18"/>
                <w:color w:val="auto"/>
                <w:w w:val="90"/>
              </w:rPr>
              <w:t>12.0% (12.0%)</w:t>
            </w:r>
          </w:p>
        </w:tc>
        <w:tc>
          <w:tcPr>
            <w:tcW w:w="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67"/>
        </w:trPr>
        <w:tc>
          <w:tcPr>
            <w:tcW w:w="3700" w:type="dxa"/>
            <w:vAlign w:val="bottom"/>
            <w:tcBorders>
              <w:left w:val="single" w:sz="8" w:color="auto"/>
              <w:bottom w:val="single" w:sz="8" w:color="auto"/>
              <w:right w:val="single" w:sz="8" w:color="auto"/>
            </w:tcBorders>
          </w:tcPr>
          <w:p>
            <w:pPr>
              <w:spacing w:after="0"/>
              <w:rPr>
                <w:sz w:val="5"/>
                <w:szCs w:val="5"/>
                <w:color w:val="auto"/>
              </w:rPr>
            </w:pPr>
          </w:p>
        </w:tc>
        <w:tc>
          <w:tcPr>
            <w:tcW w:w="1880" w:type="dxa"/>
            <w:vAlign w:val="bottom"/>
            <w:tcBorders>
              <w:bottom w:val="single" w:sz="8" w:color="auto"/>
              <w:right w:val="single" w:sz="8" w:color="auto"/>
            </w:tcBorders>
          </w:tcPr>
          <w:p>
            <w:pPr>
              <w:spacing w:after="0"/>
              <w:rPr>
                <w:sz w:val="5"/>
                <w:szCs w:val="5"/>
                <w:color w:val="auto"/>
              </w:rPr>
            </w:pPr>
          </w:p>
        </w:tc>
        <w:tc>
          <w:tcPr>
            <w:tcW w:w="1900" w:type="dxa"/>
            <w:vAlign w:val="bottom"/>
            <w:tcBorders>
              <w:bottom w:val="single" w:sz="8" w:color="auto"/>
              <w:right w:val="single" w:sz="8" w:color="auto"/>
            </w:tcBorders>
          </w:tcPr>
          <w:p>
            <w:pPr>
              <w:spacing w:after="0"/>
              <w:rPr>
                <w:sz w:val="5"/>
                <w:szCs w:val="5"/>
                <w:color w:val="auto"/>
              </w:rPr>
            </w:pPr>
          </w:p>
        </w:tc>
        <w:tc>
          <w:tcPr>
            <w:tcW w:w="1880" w:type="dxa"/>
            <w:vAlign w:val="bottom"/>
            <w:tcBorders>
              <w:bottom w:val="single" w:sz="8" w:color="auto"/>
              <w:right w:val="single" w:sz="8" w:color="auto"/>
            </w:tcBorders>
          </w:tcPr>
          <w:p>
            <w:pPr>
              <w:spacing w:after="0"/>
              <w:rPr>
                <w:sz w:val="5"/>
                <w:szCs w:val="5"/>
                <w:color w:val="auto"/>
              </w:rPr>
            </w:pPr>
          </w:p>
        </w:tc>
        <w:tc>
          <w:tcPr>
            <w:tcW w:w="1900" w:type="dxa"/>
            <w:vAlign w:val="bottom"/>
            <w:tcBorders>
              <w:bottom w:val="single" w:sz="8" w:color="auto"/>
              <w:right w:val="single" w:sz="8" w:color="auto"/>
            </w:tcBorders>
            <w:gridSpan w:val="2"/>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3700" w:type="dxa"/>
            <w:vAlign w:val="bottom"/>
            <w:tcBorders>
              <w:left w:val="single" w:sz="8" w:color="auto"/>
              <w:right w:val="single" w:sz="8" w:color="auto"/>
            </w:tcBorders>
          </w:tcPr>
          <w:p>
            <w:pPr>
              <w:spacing w:after="0"/>
              <w:rPr>
                <w:sz w:val="24"/>
                <w:szCs w:val="24"/>
                <w:color w:val="auto"/>
              </w:rPr>
            </w:pPr>
          </w:p>
        </w:tc>
        <w:tc>
          <w:tcPr>
            <w:tcW w:w="1880" w:type="dxa"/>
            <w:vAlign w:val="bottom"/>
            <w:tcBorders>
              <w:right w:val="single" w:sz="8" w:color="auto"/>
            </w:tcBorders>
          </w:tcPr>
          <w:p>
            <w:pPr>
              <w:spacing w:after="0"/>
              <w:rPr>
                <w:sz w:val="24"/>
                <w:szCs w:val="24"/>
                <w:color w:val="auto"/>
              </w:rPr>
            </w:pPr>
          </w:p>
        </w:tc>
        <w:tc>
          <w:tcPr>
            <w:tcW w:w="19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Market approach</w:t>
            </w:r>
          </w:p>
        </w:tc>
        <w:tc>
          <w:tcPr>
            <w:tcW w:w="18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Revenue multiples</w:t>
            </w:r>
          </w:p>
        </w:tc>
        <w:tc>
          <w:tcPr>
            <w:tcW w:w="190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color w:val="auto"/>
                <w:w w:val="92"/>
              </w:rPr>
              <w:t>1.03x - 4.35x (2.66x)</w:t>
            </w:r>
          </w:p>
        </w:tc>
        <w:tc>
          <w:tcPr>
            <w:tcW w:w="0" w:type="dxa"/>
            <w:vAlign w:val="bottom"/>
          </w:tcPr>
          <w:p>
            <w:pPr>
              <w:spacing w:after="0"/>
              <w:rPr>
                <w:sz w:val="1"/>
                <w:szCs w:val="1"/>
                <w:color w:val="auto"/>
              </w:rPr>
            </w:pPr>
          </w:p>
        </w:tc>
      </w:tr>
      <w:tr>
        <w:trPr>
          <w:trHeight w:val="67"/>
        </w:trPr>
        <w:tc>
          <w:tcPr>
            <w:tcW w:w="3700" w:type="dxa"/>
            <w:vAlign w:val="bottom"/>
            <w:tcBorders>
              <w:left w:val="single" w:sz="8" w:color="auto"/>
              <w:right w:val="single" w:sz="8" w:color="auto"/>
            </w:tcBorders>
          </w:tcPr>
          <w:p>
            <w:pPr>
              <w:spacing w:after="0"/>
              <w:rPr>
                <w:sz w:val="5"/>
                <w:szCs w:val="5"/>
                <w:color w:val="auto"/>
              </w:rPr>
            </w:pPr>
          </w:p>
        </w:tc>
        <w:tc>
          <w:tcPr>
            <w:tcW w:w="1880" w:type="dxa"/>
            <w:vAlign w:val="bottom"/>
            <w:tcBorders>
              <w:right w:val="single" w:sz="8" w:color="auto"/>
            </w:tcBorders>
          </w:tcPr>
          <w:p>
            <w:pPr>
              <w:spacing w:after="0"/>
              <w:rPr>
                <w:sz w:val="5"/>
                <w:szCs w:val="5"/>
                <w:color w:val="auto"/>
              </w:rPr>
            </w:pPr>
          </w:p>
        </w:tc>
        <w:tc>
          <w:tcPr>
            <w:tcW w:w="1900" w:type="dxa"/>
            <w:vAlign w:val="bottom"/>
            <w:tcBorders>
              <w:right w:val="single" w:sz="8" w:color="auto"/>
            </w:tcBorders>
            <w:vMerge w:val="continue"/>
          </w:tcPr>
          <w:p>
            <w:pPr>
              <w:spacing w:after="0"/>
              <w:rPr>
                <w:sz w:val="5"/>
                <w:szCs w:val="5"/>
                <w:color w:val="auto"/>
              </w:rPr>
            </w:pPr>
          </w:p>
        </w:tc>
        <w:tc>
          <w:tcPr>
            <w:tcW w:w="1880" w:type="dxa"/>
            <w:vAlign w:val="bottom"/>
            <w:tcBorders>
              <w:bottom w:val="single" w:sz="8" w:color="auto"/>
              <w:right w:val="single" w:sz="8" w:color="auto"/>
            </w:tcBorders>
          </w:tcPr>
          <w:p>
            <w:pPr>
              <w:spacing w:after="0"/>
              <w:rPr>
                <w:sz w:val="5"/>
                <w:szCs w:val="5"/>
                <w:color w:val="auto"/>
              </w:rPr>
            </w:pPr>
          </w:p>
        </w:tc>
        <w:tc>
          <w:tcPr>
            <w:tcW w:w="1500" w:type="dxa"/>
            <w:vAlign w:val="bottom"/>
            <w:tcBorders>
              <w:bottom w:val="single" w:sz="8" w:color="auto"/>
            </w:tcBorders>
          </w:tcPr>
          <w:p>
            <w:pPr>
              <w:spacing w:after="0"/>
              <w:rPr>
                <w:sz w:val="5"/>
                <w:szCs w:val="5"/>
                <w:color w:val="auto"/>
              </w:rPr>
            </w:pPr>
          </w:p>
        </w:tc>
        <w:tc>
          <w:tcPr>
            <w:tcW w:w="4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9"/>
        </w:trPr>
        <w:tc>
          <w:tcPr>
            <w:tcW w:w="3700" w:type="dxa"/>
            <w:vAlign w:val="bottom"/>
            <w:tcBorders>
              <w:left w:val="single" w:sz="8" w:color="auto"/>
              <w:right w:val="single" w:sz="8" w:color="auto"/>
            </w:tcBorders>
          </w:tcPr>
          <w:p>
            <w:pPr>
              <w:spacing w:after="0"/>
              <w:rPr>
                <w:sz w:val="11"/>
                <w:szCs w:val="11"/>
                <w:color w:val="auto"/>
              </w:rPr>
            </w:pPr>
          </w:p>
        </w:tc>
        <w:tc>
          <w:tcPr>
            <w:tcW w:w="1880" w:type="dxa"/>
            <w:vAlign w:val="bottom"/>
            <w:tcBorders>
              <w:right w:val="single" w:sz="8" w:color="auto"/>
            </w:tcBorders>
          </w:tcPr>
          <w:p>
            <w:pPr>
              <w:spacing w:after="0"/>
              <w:rPr>
                <w:sz w:val="11"/>
                <w:szCs w:val="11"/>
                <w:color w:val="auto"/>
              </w:rPr>
            </w:pPr>
          </w:p>
        </w:tc>
        <w:tc>
          <w:tcPr>
            <w:tcW w:w="1900" w:type="dxa"/>
            <w:vAlign w:val="bottom"/>
            <w:tcBorders>
              <w:right w:val="single" w:sz="8" w:color="auto"/>
            </w:tcBorders>
            <w:vMerge w:val="continue"/>
          </w:tcPr>
          <w:p>
            <w:pPr>
              <w:spacing w:after="0"/>
              <w:rPr>
                <w:sz w:val="11"/>
                <w:szCs w:val="11"/>
                <w:color w:val="auto"/>
              </w:rPr>
            </w:pPr>
          </w:p>
        </w:tc>
        <w:tc>
          <w:tcPr>
            <w:tcW w:w="1880" w:type="dxa"/>
            <w:vAlign w:val="bottom"/>
            <w:tcBorders>
              <w:right w:val="single" w:sz="8" w:color="auto"/>
            </w:tcBorders>
            <w:vMerge w:val="restart"/>
          </w:tcPr>
          <w:p>
            <w:pPr>
              <w:jc w:val="center"/>
              <w:spacing w:after="0" w:line="169" w:lineRule="exact"/>
              <w:rPr>
                <w:sz w:val="20"/>
                <w:szCs w:val="20"/>
                <w:color w:val="auto"/>
              </w:rPr>
            </w:pPr>
            <w:r>
              <w:rPr>
                <w:rFonts w:ascii="Arial" w:cs="Arial" w:eastAsia="Arial" w:hAnsi="Arial"/>
                <w:sz w:val="18"/>
                <w:szCs w:val="18"/>
                <w:color w:val="auto"/>
                <w:w w:val="85"/>
              </w:rPr>
              <w:t>Precedent</w:t>
            </w:r>
          </w:p>
        </w:tc>
        <w:tc>
          <w:tcPr>
            <w:tcW w:w="1500" w:type="dxa"/>
            <w:vAlign w:val="bottom"/>
            <w:vMerge w:val="restart"/>
          </w:tcPr>
          <w:p>
            <w:pPr>
              <w:jc w:val="center"/>
              <w:ind w:left="292"/>
              <w:spacing w:after="0"/>
              <w:rPr>
                <w:sz w:val="20"/>
                <w:szCs w:val="20"/>
                <w:color w:val="auto"/>
              </w:rPr>
            </w:pPr>
            <w:r>
              <w:rPr>
                <w:rFonts w:ascii="Arial" w:cs="Arial" w:eastAsia="Arial" w:hAnsi="Arial"/>
                <w:sz w:val="18"/>
                <w:szCs w:val="18"/>
                <w:color w:val="auto"/>
              </w:rPr>
              <w:t>N/A</w:t>
            </w:r>
          </w:p>
        </w:tc>
        <w:tc>
          <w:tcPr>
            <w:tcW w:w="4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40"/>
        </w:trPr>
        <w:tc>
          <w:tcPr>
            <w:tcW w:w="3700" w:type="dxa"/>
            <w:vAlign w:val="bottom"/>
            <w:tcBorders>
              <w:left w:val="single" w:sz="8" w:color="auto"/>
              <w:right w:val="single" w:sz="8" w:color="auto"/>
            </w:tcBorders>
          </w:tcPr>
          <w:p>
            <w:pPr>
              <w:spacing w:after="0"/>
              <w:rPr>
                <w:sz w:val="3"/>
                <w:szCs w:val="3"/>
                <w:color w:val="auto"/>
              </w:rPr>
            </w:pPr>
          </w:p>
        </w:tc>
        <w:tc>
          <w:tcPr>
            <w:tcW w:w="1880" w:type="dxa"/>
            <w:vAlign w:val="bottom"/>
            <w:tcBorders>
              <w:right w:val="single" w:sz="8" w:color="auto"/>
            </w:tcBorders>
          </w:tcPr>
          <w:p>
            <w:pPr>
              <w:spacing w:after="0"/>
              <w:rPr>
                <w:sz w:val="3"/>
                <w:szCs w:val="3"/>
                <w:color w:val="auto"/>
              </w:rPr>
            </w:pPr>
          </w:p>
        </w:tc>
        <w:tc>
          <w:tcPr>
            <w:tcW w:w="1900" w:type="dxa"/>
            <w:vAlign w:val="bottom"/>
            <w:tcBorders>
              <w:right w:val="single" w:sz="8" w:color="auto"/>
            </w:tcBorders>
          </w:tcPr>
          <w:p>
            <w:pPr>
              <w:spacing w:after="0"/>
              <w:rPr>
                <w:sz w:val="3"/>
                <w:szCs w:val="3"/>
                <w:color w:val="auto"/>
              </w:rPr>
            </w:pPr>
          </w:p>
        </w:tc>
        <w:tc>
          <w:tcPr>
            <w:tcW w:w="1880" w:type="dxa"/>
            <w:vAlign w:val="bottom"/>
            <w:tcBorders>
              <w:right w:val="single" w:sz="8" w:color="auto"/>
            </w:tcBorders>
            <w:vMerge w:val="continue"/>
          </w:tcPr>
          <w:p>
            <w:pPr>
              <w:spacing w:after="0"/>
              <w:rPr>
                <w:sz w:val="3"/>
                <w:szCs w:val="3"/>
                <w:color w:val="auto"/>
              </w:rPr>
            </w:pPr>
          </w:p>
        </w:tc>
        <w:tc>
          <w:tcPr>
            <w:tcW w:w="1500" w:type="dxa"/>
            <w:vAlign w:val="bottom"/>
            <w:vMerge w:val="continue"/>
          </w:tcPr>
          <w:p>
            <w:pPr>
              <w:spacing w:after="0"/>
              <w:rPr>
                <w:sz w:val="3"/>
                <w:szCs w:val="3"/>
                <w:color w:val="auto"/>
              </w:rPr>
            </w:pPr>
          </w:p>
        </w:tc>
        <w:tc>
          <w:tcPr>
            <w:tcW w:w="400" w:type="dxa"/>
            <w:vAlign w:val="bottom"/>
            <w:tcBorders>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35"/>
        </w:trPr>
        <w:tc>
          <w:tcPr>
            <w:tcW w:w="3700" w:type="dxa"/>
            <w:vAlign w:val="bottom"/>
            <w:tcBorders>
              <w:left w:val="single" w:sz="8" w:color="auto"/>
              <w:right w:val="single" w:sz="8" w:color="auto"/>
            </w:tcBorders>
          </w:tcPr>
          <w:p>
            <w:pPr>
              <w:spacing w:after="0"/>
              <w:rPr>
                <w:sz w:val="11"/>
                <w:szCs w:val="11"/>
                <w:color w:val="auto"/>
              </w:rPr>
            </w:pPr>
          </w:p>
        </w:tc>
        <w:tc>
          <w:tcPr>
            <w:tcW w:w="1880" w:type="dxa"/>
            <w:vAlign w:val="bottom"/>
            <w:tcBorders>
              <w:right w:val="single" w:sz="8" w:color="auto"/>
            </w:tcBorders>
          </w:tcPr>
          <w:p>
            <w:pPr>
              <w:spacing w:after="0"/>
              <w:rPr>
                <w:sz w:val="11"/>
                <w:szCs w:val="11"/>
                <w:color w:val="auto"/>
              </w:rPr>
            </w:pPr>
          </w:p>
        </w:tc>
        <w:tc>
          <w:tcPr>
            <w:tcW w:w="1900" w:type="dxa"/>
            <w:vAlign w:val="bottom"/>
            <w:tcBorders>
              <w:right w:val="single" w:sz="8" w:color="auto"/>
            </w:tcBorders>
          </w:tcPr>
          <w:p>
            <w:pPr>
              <w:spacing w:after="0"/>
              <w:rPr>
                <w:sz w:val="11"/>
                <w:szCs w:val="11"/>
                <w:color w:val="auto"/>
              </w:rPr>
            </w:pPr>
          </w:p>
        </w:tc>
        <w:tc>
          <w:tcPr>
            <w:tcW w:w="18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8"/>
              </w:rPr>
              <w:t>transactions</w:t>
            </w:r>
          </w:p>
        </w:tc>
        <w:tc>
          <w:tcPr>
            <w:tcW w:w="1500" w:type="dxa"/>
            <w:vAlign w:val="bottom"/>
            <w:vMerge w:val="continue"/>
          </w:tcPr>
          <w:p>
            <w:pPr>
              <w:spacing w:after="0"/>
              <w:rPr>
                <w:sz w:val="11"/>
                <w:szCs w:val="11"/>
                <w:color w:val="auto"/>
              </w:rPr>
            </w:pPr>
          </w:p>
        </w:tc>
        <w:tc>
          <w:tcPr>
            <w:tcW w:w="4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37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Preferred stock in</w:t>
            </w:r>
          </w:p>
        </w:tc>
        <w:tc>
          <w:tcPr>
            <w:tcW w:w="1880" w:type="dxa"/>
            <w:vAlign w:val="bottom"/>
            <w:tcBorders>
              <w:right w:val="single" w:sz="8" w:color="auto"/>
            </w:tcBorders>
          </w:tcPr>
          <w:p>
            <w:pPr>
              <w:spacing w:after="0"/>
              <w:rPr>
                <w:sz w:val="8"/>
                <w:szCs w:val="8"/>
                <w:color w:val="auto"/>
              </w:rPr>
            </w:pPr>
          </w:p>
        </w:tc>
        <w:tc>
          <w:tcPr>
            <w:tcW w:w="1900" w:type="dxa"/>
            <w:vAlign w:val="bottom"/>
            <w:tcBorders>
              <w:bottom w:val="single" w:sz="8" w:color="auto"/>
              <w:right w:val="single" w:sz="8" w:color="auto"/>
            </w:tcBorders>
          </w:tcPr>
          <w:p>
            <w:pPr>
              <w:spacing w:after="0"/>
              <w:rPr>
                <w:sz w:val="8"/>
                <w:szCs w:val="8"/>
                <w:color w:val="auto"/>
              </w:rPr>
            </w:pPr>
          </w:p>
        </w:tc>
        <w:tc>
          <w:tcPr>
            <w:tcW w:w="1880" w:type="dxa"/>
            <w:vAlign w:val="bottom"/>
            <w:tcBorders>
              <w:bottom w:val="single" w:sz="8" w:color="auto"/>
              <w:right w:val="single" w:sz="8" w:color="auto"/>
            </w:tcBorders>
            <w:vMerge w:val="continue"/>
          </w:tcPr>
          <w:p>
            <w:pPr>
              <w:spacing w:after="0"/>
              <w:rPr>
                <w:sz w:val="8"/>
                <w:szCs w:val="8"/>
                <w:color w:val="auto"/>
              </w:rPr>
            </w:pPr>
          </w:p>
        </w:tc>
        <w:tc>
          <w:tcPr>
            <w:tcW w:w="1500" w:type="dxa"/>
            <w:vAlign w:val="bottom"/>
            <w:tcBorders>
              <w:bottom w:val="single" w:sz="8" w:color="auto"/>
            </w:tcBorders>
          </w:tcPr>
          <w:p>
            <w:pPr>
              <w:spacing w:after="0"/>
              <w:rPr>
                <w:sz w:val="8"/>
                <w:szCs w:val="8"/>
                <w:color w:val="auto"/>
              </w:rPr>
            </w:pPr>
          </w:p>
        </w:tc>
        <w:tc>
          <w:tcPr>
            <w:tcW w:w="40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3700" w:type="dxa"/>
            <w:vAlign w:val="bottom"/>
            <w:tcBorders>
              <w:left w:val="single" w:sz="8" w:color="auto"/>
              <w:right w:val="single" w:sz="8" w:color="auto"/>
            </w:tcBorders>
            <w:vMerge w:val="continue"/>
          </w:tcPr>
          <w:p>
            <w:pPr>
              <w:spacing w:after="0"/>
              <w:rPr>
                <w:sz w:val="10"/>
                <w:szCs w:val="10"/>
                <w:color w:val="auto"/>
              </w:rPr>
            </w:pPr>
          </w:p>
        </w:tc>
        <w:tc>
          <w:tcPr>
            <w:tcW w:w="18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8"/>
              </w:rPr>
              <w:t>$141,235,987</w:t>
            </w:r>
          </w:p>
        </w:tc>
        <w:tc>
          <w:tcPr>
            <w:tcW w:w="19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Discounted cash flow</w:t>
            </w:r>
          </w:p>
        </w:tc>
        <w:tc>
          <w:tcPr>
            <w:tcW w:w="18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Discount rate</w:t>
            </w:r>
          </w:p>
        </w:tc>
        <w:tc>
          <w:tcPr>
            <w:tcW w:w="1500" w:type="dxa"/>
            <w:vAlign w:val="bottom"/>
            <w:vMerge w:val="restart"/>
          </w:tcPr>
          <w:p>
            <w:pPr>
              <w:jc w:val="center"/>
              <w:ind w:left="292"/>
              <w:spacing w:after="0"/>
              <w:rPr>
                <w:sz w:val="20"/>
                <w:szCs w:val="20"/>
                <w:color w:val="auto"/>
              </w:rPr>
            </w:pPr>
            <w:r>
              <w:rPr>
                <w:rFonts w:ascii="Arial" w:cs="Arial" w:eastAsia="Arial" w:hAnsi="Arial"/>
                <w:sz w:val="18"/>
                <w:szCs w:val="18"/>
                <w:color w:val="auto"/>
                <w:w w:val="90"/>
              </w:rPr>
              <w:t>12.0% (12.0%)</w:t>
            </w:r>
          </w:p>
        </w:tc>
        <w:tc>
          <w:tcPr>
            <w:tcW w:w="4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37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88"/>
              </w:rPr>
              <w:t>private companies</w:t>
            </w:r>
          </w:p>
        </w:tc>
        <w:tc>
          <w:tcPr>
            <w:tcW w:w="1880" w:type="dxa"/>
            <w:vAlign w:val="bottom"/>
            <w:tcBorders>
              <w:right w:val="single" w:sz="8" w:color="auto"/>
            </w:tcBorders>
            <w:vMerge w:val="continue"/>
          </w:tcPr>
          <w:p>
            <w:pPr>
              <w:spacing w:after="0"/>
              <w:rPr>
                <w:sz w:val="14"/>
                <w:szCs w:val="14"/>
                <w:color w:val="auto"/>
              </w:rPr>
            </w:pPr>
          </w:p>
        </w:tc>
        <w:tc>
          <w:tcPr>
            <w:tcW w:w="1900" w:type="dxa"/>
            <w:vAlign w:val="bottom"/>
            <w:tcBorders>
              <w:right w:val="single" w:sz="8" w:color="auto"/>
            </w:tcBorders>
            <w:vMerge w:val="continue"/>
          </w:tcPr>
          <w:p>
            <w:pPr>
              <w:spacing w:after="0"/>
              <w:rPr>
                <w:sz w:val="14"/>
                <w:szCs w:val="14"/>
                <w:color w:val="auto"/>
              </w:rPr>
            </w:pPr>
          </w:p>
        </w:tc>
        <w:tc>
          <w:tcPr>
            <w:tcW w:w="1880" w:type="dxa"/>
            <w:vAlign w:val="bottom"/>
            <w:tcBorders>
              <w:right w:val="single" w:sz="8" w:color="auto"/>
            </w:tcBorders>
            <w:vMerge w:val="continue"/>
          </w:tcPr>
          <w:p>
            <w:pPr>
              <w:spacing w:after="0"/>
              <w:rPr>
                <w:sz w:val="14"/>
                <w:szCs w:val="14"/>
                <w:color w:val="auto"/>
              </w:rPr>
            </w:pPr>
          </w:p>
        </w:tc>
        <w:tc>
          <w:tcPr>
            <w:tcW w:w="1500" w:type="dxa"/>
            <w:vAlign w:val="bottom"/>
            <w:vMerge w:val="continue"/>
          </w:tcPr>
          <w:p>
            <w:pPr>
              <w:spacing w:after="0"/>
              <w:rPr>
                <w:sz w:val="14"/>
                <w:szCs w:val="14"/>
                <w:color w:val="auto"/>
              </w:rPr>
            </w:pPr>
          </w:p>
        </w:tc>
        <w:tc>
          <w:tcPr>
            <w:tcW w:w="4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67"/>
        </w:trPr>
        <w:tc>
          <w:tcPr>
            <w:tcW w:w="3700" w:type="dxa"/>
            <w:vAlign w:val="bottom"/>
            <w:tcBorders>
              <w:left w:val="single" w:sz="8" w:color="auto"/>
              <w:right w:val="single" w:sz="8" w:color="auto"/>
            </w:tcBorders>
            <w:vMerge w:val="continue"/>
          </w:tcPr>
          <w:p>
            <w:pPr>
              <w:spacing w:after="0"/>
              <w:rPr>
                <w:sz w:val="5"/>
                <w:szCs w:val="5"/>
                <w:color w:val="auto"/>
              </w:rPr>
            </w:pPr>
          </w:p>
        </w:tc>
        <w:tc>
          <w:tcPr>
            <w:tcW w:w="1880" w:type="dxa"/>
            <w:vAlign w:val="bottom"/>
            <w:tcBorders>
              <w:right w:val="single" w:sz="8" w:color="auto"/>
            </w:tcBorders>
          </w:tcPr>
          <w:p>
            <w:pPr>
              <w:spacing w:after="0"/>
              <w:rPr>
                <w:sz w:val="5"/>
                <w:szCs w:val="5"/>
                <w:color w:val="auto"/>
              </w:rPr>
            </w:pPr>
          </w:p>
        </w:tc>
        <w:tc>
          <w:tcPr>
            <w:tcW w:w="1900" w:type="dxa"/>
            <w:vAlign w:val="bottom"/>
            <w:tcBorders>
              <w:bottom w:val="single" w:sz="8" w:color="auto"/>
              <w:right w:val="single" w:sz="8" w:color="auto"/>
            </w:tcBorders>
          </w:tcPr>
          <w:p>
            <w:pPr>
              <w:spacing w:after="0"/>
              <w:rPr>
                <w:sz w:val="5"/>
                <w:szCs w:val="5"/>
                <w:color w:val="auto"/>
              </w:rPr>
            </w:pPr>
          </w:p>
        </w:tc>
        <w:tc>
          <w:tcPr>
            <w:tcW w:w="1880" w:type="dxa"/>
            <w:vAlign w:val="bottom"/>
            <w:tcBorders>
              <w:bottom w:val="single" w:sz="8" w:color="auto"/>
              <w:right w:val="single" w:sz="8" w:color="auto"/>
            </w:tcBorders>
          </w:tcPr>
          <w:p>
            <w:pPr>
              <w:spacing w:after="0"/>
              <w:rPr>
                <w:sz w:val="5"/>
                <w:szCs w:val="5"/>
                <w:color w:val="auto"/>
              </w:rPr>
            </w:pPr>
          </w:p>
        </w:tc>
        <w:tc>
          <w:tcPr>
            <w:tcW w:w="1500" w:type="dxa"/>
            <w:vAlign w:val="bottom"/>
            <w:tcBorders>
              <w:bottom w:val="single" w:sz="8" w:color="auto"/>
            </w:tcBorders>
          </w:tcPr>
          <w:p>
            <w:pPr>
              <w:spacing w:after="0"/>
              <w:rPr>
                <w:sz w:val="5"/>
                <w:szCs w:val="5"/>
                <w:color w:val="auto"/>
              </w:rPr>
            </w:pPr>
          </w:p>
        </w:tc>
        <w:tc>
          <w:tcPr>
            <w:tcW w:w="4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3700" w:type="dxa"/>
            <w:vAlign w:val="bottom"/>
            <w:tcBorders>
              <w:left w:val="single" w:sz="8" w:color="auto"/>
              <w:right w:val="single" w:sz="8" w:color="auto"/>
            </w:tcBorders>
          </w:tcPr>
          <w:p>
            <w:pPr>
              <w:spacing w:after="0"/>
              <w:rPr>
                <w:sz w:val="24"/>
                <w:szCs w:val="24"/>
                <w:color w:val="auto"/>
              </w:rPr>
            </w:pPr>
          </w:p>
        </w:tc>
        <w:tc>
          <w:tcPr>
            <w:tcW w:w="1880" w:type="dxa"/>
            <w:vAlign w:val="bottom"/>
            <w:tcBorders>
              <w:right w:val="single" w:sz="8" w:color="auto"/>
            </w:tcBorders>
          </w:tcPr>
          <w:p>
            <w:pPr>
              <w:spacing w:after="0"/>
              <w:rPr>
                <w:sz w:val="24"/>
                <w:szCs w:val="24"/>
                <w:color w:val="auto"/>
              </w:rPr>
            </w:pPr>
          </w:p>
        </w:tc>
        <w:tc>
          <w:tcPr>
            <w:tcW w:w="19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PWERM</w:t>
            </w:r>
            <w:r>
              <w:rPr>
                <w:rFonts w:ascii="Arial" w:cs="Arial" w:eastAsia="Arial" w:hAnsi="Arial"/>
                <w:sz w:val="23"/>
                <w:szCs w:val="23"/>
                <w:color w:val="auto"/>
                <w:w w:val="91"/>
                <w:vertAlign w:val="superscript"/>
              </w:rPr>
              <w:t>(5)</w:t>
            </w:r>
          </w:p>
        </w:tc>
        <w:tc>
          <w:tcPr>
            <w:tcW w:w="18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Revenue multiples</w:t>
            </w:r>
          </w:p>
        </w:tc>
        <w:tc>
          <w:tcPr>
            <w:tcW w:w="190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color w:val="auto"/>
                <w:w w:val="92"/>
              </w:rPr>
              <w:t>1.28x - 2.27x (2.06x)</w:t>
            </w:r>
          </w:p>
        </w:tc>
        <w:tc>
          <w:tcPr>
            <w:tcW w:w="0" w:type="dxa"/>
            <w:vAlign w:val="bottom"/>
          </w:tcPr>
          <w:p>
            <w:pPr>
              <w:spacing w:after="0"/>
              <w:rPr>
                <w:sz w:val="1"/>
                <w:szCs w:val="1"/>
                <w:color w:val="auto"/>
              </w:rPr>
            </w:pPr>
          </w:p>
        </w:tc>
      </w:tr>
      <w:tr>
        <w:trPr>
          <w:trHeight w:val="67"/>
        </w:trPr>
        <w:tc>
          <w:tcPr>
            <w:tcW w:w="3700" w:type="dxa"/>
            <w:vAlign w:val="bottom"/>
            <w:tcBorders>
              <w:left w:val="single" w:sz="8" w:color="auto"/>
              <w:right w:val="single" w:sz="8" w:color="auto"/>
            </w:tcBorders>
          </w:tcPr>
          <w:p>
            <w:pPr>
              <w:spacing w:after="0"/>
              <w:rPr>
                <w:sz w:val="5"/>
                <w:szCs w:val="5"/>
                <w:color w:val="auto"/>
              </w:rPr>
            </w:pPr>
          </w:p>
        </w:tc>
        <w:tc>
          <w:tcPr>
            <w:tcW w:w="1880" w:type="dxa"/>
            <w:vAlign w:val="bottom"/>
            <w:tcBorders>
              <w:right w:val="single" w:sz="8" w:color="auto"/>
            </w:tcBorders>
          </w:tcPr>
          <w:p>
            <w:pPr>
              <w:spacing w:after="0"/>
              <w:rPr>
                <w:sz w:val="5"/>
                <w:szCs w:val="5"/>
                <w:color w:val="auto"/>
              </w:rPr>
            </w:pPr>
          </w:p>
        </w:tc>
        <w:tc>
          <w:tcPr>
            <w:tcW w:w="1900" w:type="dxa"/>
            <w:vAlign w:val="bottom"/>
            <w:tcBorders>
              <w:right w:val="single" w:sz="8" w:color="auto"/>
            </w:tcBorders>
            <w:vMerge w:val="continue"/>
          </w:tcPr>
          <w:p>
            <w:pPr>
              <w:spacing w:after="0"/>
              <w:rPr>
                <w:sz w:val="5"/>
                <w:szCs w:val="5"/>
                <w:color w:val="auto"/>
              </w:rPr>
            </w:pPr>
          </w:p>
        </w:tc>
        <w:tc>
          <w:tcPr>
            <w:tcW w:w="1880" w:type="dxa"/>
            <w:vAlign w:val="bottom"/>
            <w:tcBorders>
              <w:bottom w:val="single" w:sz="8" w:color="auto"/>
              <w:right w:val="single" w:sz="8" w:color="auto"/>
            </w:tcBorders>
          </w:tcPr>
          <w:p>
            <w:pPr>
              <w:spacing w:after="0"/>
              <w:rPr>
                <w:sz w:val="5"/>
                <w:szCs w:val="5"/>
                <w:color w:val="auto"/>
              </w:rPr>
            </w:pPr>
          </w:p>
        </w:tc>
        <w:tc>
          <w:tcPr>
            <w:tcW w:w="1500" w:type="dxa"/>
            <w:vAlign w:val="bottom"/>
            <w:tcBorders>
              <w:bottom w:val="single" w:sz="8" w:color="auto"/>
            </w:tcBorders>
          </w:tcPr>
          <w:p>
            <w:pPr>
              <w:spacing w:after="0"/>
              <w:rPr>
                <w:sz w:val="5"/>
                <w:szCs w:val="5"/>
                <w:color w:val="auto"/>
              </w:rPr>
            </w:pPr>
          </w:p>
        </w:tc>
        <w:tc>
          <w:tcPr>
            <w:tcW w:w="4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70"/>
        </w:trPr>
        <w:tc>
          <w:tcPr>
            <w:tcW w:w="3700" w:type="dxa"/>
            <w:vAlign w:val="bottom"/>
            <w:tcBorders>
              <w:left w:val="single" w:sz="8" w:color="auto"/>
              <w:right w:val="single" w:sz="8" w:color="auto"/>
            </w:tcBorders>
          </w:tcPr>
          <w:p>
            <w:pPr>
              <w:spacing w:after="0"/>
              <w:rPr>
                <w:sz w:val="14"/>
                <w:szCs w:val="14"/>
                <w:color w:val="auto"/>
              </w:rPr>
            </w:pPr>
          </w:p>
        </w:tc>
        <w:tc>
          <w:tcPr>
            <w:tcW w:w="1880" w:type="dxa"/>
            <w:vAlign w:val="bottom"/>
            <w:tcBorders>
              <w:right w:val="single" w:sz="8" w:color="auto"/>
            </w:tcBorders>
          </w:tcPr>
          <w:p>
            <w:pPr>
              <w:spacing w:after="0"/>
              <w:rPr>
                <w:sz w:val="14"/>
                <w:szCs w:val="14"/>
                <w:color w:val="auto"/>
              </w:rPr>
            </w:pPr>
          </w:p>
        </w:tc>
        <w:tc>
          <w:tcPr>
            <w:tcW w:w="1900" w:type="dxa"/>
            <w:vAlign w:val="bottom"/>
            <w:tcBorders>
              <w:right w:val="single" w:sz="8" w:color="auto"/>
            </w:tcBorders>
            <w:vMerge w:val="continue"/>
          </w:tcPr>
          <w:p>
            <w:pPr>
              <w:spacing w:after="0"/>
              <w:rPr>
                <w:sz w:val="14"/>
                <w:szCs w:val="14"/>
                <w:color w:val="auto"/>
              </w:rPr>
            </w:pPr>
          </w:p>
        </w:tc>
        <w:tc>
          <w:tcPr>
            <w:tcW w:w="18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7"/>
              </w:rPr>
              <w:t>Precedent transactions</w:t>
            </w:r>
          </w:p>
        </w:tc>
        <w:tc>
          <w:tcPr>
            <w:tcW w:w="1500" w:type="dxa"/>
            <w:vAlign w:val="bottom"/>
            <w:vMerge w:val="restart"/>
          </w:tcPr>
          <w:p>
            <w:pPr>
              <w:jc w:val="center"/>
              <w:ind w:left="292"/>
              <w:spacing w:after="0"/>
              <w:rPr>
                <w:sz w:val="20"/>
                <w:szCs w:val="20"/>
                <w:color w:val="auto"/>
              </w:rPr>
            </w:pPr>
            <w:r>
              <w:rPr>
                <w:rFonts w:ascii="Arial" w:cs="Arial" w:eastAsia="Arial" w:hAnsi="Arial"/>
                <w:sz w:val="18"/>
                <w:szCs w:val="18"/>
                <w:color w:val="auto"/>
              </w:rPr>
              <w:t>N/A</w:t>
            </w:r>
          </w:p>
        </w:tc>
        <w:tc>
          <w:tcPr>
            <w:tcW w:w="4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3700" w:type="dxa"/>
            <w:vAlign w:val="bottom"/>
            <w:tcBorders>
              <w:left w:val="single" w:sz="8" w:color="auto"/>
              <w:right w:val="single" w:sz="8" w:color="auto"/>
            </w:tcBorders>
          </w:tcPr>
          <w:p>
            <w:pPr>
              <w:spacing w:after="0"/>
              <w:rPr>
                <w:sz w:val="9"/>
                <w:szCs w:val="9"/>
                <w:color w:val="auto"/>
              </w:rPr>
            </w:pPr>
          </w:p>
        </w:tc>
        <w:tc>
          <w:tcPr>
            <w:tcW w:w="1880" w:type="dxa"/>
            <w:vAlign w:val="bottom"/>
            <w:tcBorders>
              <w:right w:val="single" w:sz="8" w:color="auto"/>
            </w:tcBorders>
          </w:tcPr>
          <w:p>
            <w:pPr>
              <w:spacing w:after="0"/>
              <w:rPr>
                <w:sz w:val="9"/>
                <w:szCs w:val="9"/>
                <w:color w:val="auto"/>
              </w:rPr>
            </w:pPr>
          </w:p>
        </w:tc>
        <w:tc>
          <w:tcPr>
            <w:tcW w:w="1900" w:type="dxa"/>
            <w:vAlign w:val="bottom"/>
            <w:tcBorders>
              <w:right w:val="single" w:sz="8" w:color="auto"/>
            </w:tcBorders>
          </w:tcPr>
          <w:p>
            <w:pPr>
              <w:spacing w:after="0"/>
              <w:rPr>
                <w:sz w:val="9"/>
                <w:szCs w:val="9"/>
                <w:color w:val="auto"/>
              </w:rPr>
            </w:pPr>
          </w:p>
        </w:tc>
        <w:tc>
          <w:tcPr>
            <w:tcW w:w="1880" w:type="dxa"/>
            <w:vAlign w:val="bottom"/>
            <w:tcBorders>
              <w:right w:val="single" w:sz="8" w:color="auto"/>
            </w:tcBorders>
            <w:vMerge w:val="continue"/>
          </w:tcPr>
          <w:p>
            <w:pPr>
              <w:spacing w:after="0"/>
              <w:rPr>
                <w:sz w:val="9"/>
                <w:szCs w:val="9"/>
                <w:color w:val="auto"/>
              </w:rPr>
            </w:pPr>
          </w:p>
        </w:tc>
        <w:tc>
          <w:tcPr>
            <w:tcW w:w="1500" w:type="dxa"/>
            <w:vAlign w:val="bottom"/>
            <w:vMerge w:val="continue"/>
          </w:tcPr>
          <w:p>
            <w:pPr>
              <w:spacing w:after="0"/>
              <w:rPr>
                <w:sz w:val="9"/>
                <w:szCs w:val="9"/>
                <w:color w:val="auto"/>
              </w:rPr>
            </w:pPr>
          </w:p>
        </w:tc>
        <w:tc>
          <w:tcPr>
            <w:tcW w:w="4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68"/>
        </w:trPr>
        <w:tc>
          <w:tcPr>
            <w:tcW w:w="3700" w:type="dxa"/>
            <w:vAlign w:val="bottom"/>
            <w:tcBorders>
              <w:left w:val="single" w:sz="8" w:color="auto"/>
              <w:bottom w:val="single" w:sz="8" w:color="auto"/>
              <w:right w:val="single" w:sz="8" w:color="auto"/>
            </w:tcBorders>
          </w:tcPr>
          <w:p>
            <w:pPr>
              <w:spacing w:after="0"/>
              <w:rPr>
                <w:sz w:val="5"/>
                <w:szCs w:val="5"/>
                <w:color w:val="auto"/>
              </w:rPr>
            </w:pPr>
          </w:p>
        </w:tc>
        <w:tc>
          <w:tcPr>
            <w:tcW w:w="1880" w:type="dxa"/>
            <w:vAlign w:val="bottom"/>
            <w:tcBorders>
              <w:bottom w:val="single" w:sz="8" w:color="auto"/>
              <w:right w:val="single" w:sz="8" w:color="auto"/>
            </w:tcBorders>
          </w:tcPr>
          <w:p>
            <w:pPr>
              <w:spacing w:after="0"/>
              <w:rPr>
                <w:sz w:val="5"/>
                <w:szCs w:val="5"/>
                <w:color w:val="auto"/>
              </w:rPr>
            </w:pPr>
          </w:p>
        </w:tc>
        <w:tc>
          <w:tcPr>
            <w:tcW w:w="1900" w:type="dxa"/>
            <w:vAlign w:val="bottom"/>
            <w:tcBorders>
              <w:bottom w:val="single" w:sz="8" w:color="auto"/>
              <w:right w:val="single" w:sz="8" w:color="auto"/>
            </w:tcBorders>
          </w:tcPr>
          <w:p>
            <w:pPr>
              <w:spacing w:after="0"/>
              <w:rPr>
                <w:sz w:val="5"/>
                <w:szCs w:val="5"/>
                <w:color w:val="auto"/>
              </w:rPr>
            </w:pPr>
          </w:p>
        </w:tc>
        <w:tc>
          <w:tcPr>
            <w:tcW w:w="1880" w:type="dxa"/>
            <w:vAlign w:val="bottom"/>
            <w:tcBorders>
              <w:bottom w:val="single" w:sz="8" w:color="auto"/>
              <w:right w:val="single" w:sz="8" w:color="auto"/>
            </w:tcBorders>
          </w:tcPr>
          <w:p>
            <w:pPr>
              <w:spacing w:after="0"/>
              <w:rPr>
                <w:sz w:val="5"/>
                <w:szCs w:val="5"/>
                <w:color w:val="auto"/>
              </w:rPr>
            </w:pPr>
          </w:p>
        </w:tc>
        <w:tc>
          <w:tcPr>
            <w:tcW w:w="1900" w:type="dxa"/>
            <w:vAlign w:val="bottom"/>
            <w:tcBorders>
              <w:bottom w:val="single" w:sz="8" w:color="auto"/>
              <w:right w:val="single" w:sz="8" w:color="auto"/>
            </w:tcBorders>
            <w:gridSpan w:val="2"/>
          </w:tcPr>
          <w:p>
            <w:pPr>
              <w:spacing w:after="0"/>
              <w:rPr>
                <w:sz w:val="5"/>
                <w:szCs w:val="5"/>
                <w:color w:val="auto"/>
              </w:rPr>
            </w:pPr>
          </w:p>
        </w:tc>
        <w:tc>
          <w:tcPr>
            <w:tcW w:w="0" w:type="dxa"/>
            <w:vAlign w:val="bottom"/>
          </w:tcPr>
          <w:p>
            <w:pPr>
              <w:spacing w:after="0"/>
              <w:rPr>
                <w:sz w:val="1"/>
                <w:szCs w:val="1"/>
                <w:color w:val="auto"/>
              </w:rPr>
            </w:pPr>
          </w:p>
        </w:tc>
      </w:tr>
      <w:tr>
        <w:trPr>
          <w:trHeight w:val="304"/>
        </w:trPr>
        <w:tc>
          <w:tcPr>
            <w:tcW w:w="3700" w:type="dxa"/>
            <w:vAlign w:val="bottom"/>
            <w:tcBorders>
              <w:left w:val="single" w:sz="8" w:color="auto"/>
              <w:right w:val="single" w:sz="8" w:color="auto"/>
            </w:tcBorders>
          </w:tcPr>
          <w:p>
            <w:pPr>
              <w:spacing w:after="0"/>
              <w:rPr>
                <w:sz w:val="24"/>
                <w:szCs w:val="24"/>
                <w:color w:val="auto"/>
              </w:rPr>
            </w:pPr>
          </w:p>
        </w:tc>
        <w:tc>
          <w:tcPr>
            <w:tcW w:w="1880" w:type="dxa"/>
            <w:vAlign w:val="bottom"/>
            <w:tcBorders>
              <w:right w:val="single" w:sz="8" w:color="auto"/>
            </w:tcBorders>
          </w:tcPr>
          <w:p>
            <w:pPr>
              <w:spacing w:after="0"/>
              <w:rPr>
                <w:sz w:val="24"/>
                <w:szCs w:val="24"/>
                <w:color w:val="auto"/>
              </w:rPr>
            </w:pPr>
          </w:p>
        </w:tc>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Market approach</w:t>
            </w:r>
          </w:p>
        </w:tc>
        <w:tc>
          <w:tcPr>
            <w:tcW w:w="18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Revenue multiples</w:t>
            </w:r>
          </w:p>
        </w:tc>
        <w:tc>
          <w:tcPr>
            <w:tcW w:w="190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color w:val="auto"/>
                <w:w w:val="92"/>
              </w:rPr>
              <w:t>2.12x - 4.35x (2.32x)</w:t>
            </w:r>
          </w:p>
        </w:tc>
        <w:tc>
          <w:tcPr>
            <w:tcW w:w="0" w:type="dxa"/>
            <w:vAlign w:val="bottom"/>
          </w:tcPr>
          <w:p>
            <w:pPr>
              <w:spacing w:after="0"/>
              <w:rPr>
                <w:sz w:val="1"/>
                <w:szCs w:val="1"/>
                <w:color w:val="auto"/>
              </w:rPr>
            </w:pPr>
          </w:p>
        </w:tc>
      </w:tr>
      <w:tr>
        <w:trPr>
          <w:trHeight w:val="94"/>
        </w:trPr>
        <w:tc>
          <w:tcPr>
            <w:tcW w:w="37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Debt investments</w:t>
            </w:r>
          </w:p>
        </w:tc>
        <w:tc>
          <w:tcPr>
            <w:tcW w:w="18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$4,845,340</w:t>
            </w:r>
          </w:p>
        </w:tc>
        <w:tc>
          <w:tcPr>
            <w:tcW w:w="1900" w:type="dxa"/>
            <w:vAlign w:val="bottom"/>
            <w:tcBorders>
              <w:bottom w:val="single" w:sz="8" w:color="auto"/>
              <w:right w:val="single" w:sz="8" w:color="auto"/>
            </w:tcBorders>
          </w:tcPr>
          <w:p>
            <w:pPr>
              <w:spacing w:after="0"/>
              <w:rPr>
                <w:sz w:val="8"/>
                <w:szCs w:val="8"/>
                <w:color w:val="auto"/>
              </w:rPr>
            </w:pPr>
          </w:p>
        </w:tc>
        <w:tc>
          <w:tcPr>
            <w:tcW w:w="1880" w:type="dxa"/>
            <w:vAlign w:val="bottom"/>
            <w:tcBorders>
              <w:bottom w:val="single" w:sz="8" w:color="auto"/>
              <w:right w:val="single" w:sz="8" w:color="auto"/>
            </w:tcBorders>
          </w:tcPr>
          <w:p>
            <w:pPr>
              <w:spacing w:after="0"/>
              <w:rPr>
                <w:sz w:val="8"/>
                <w:szCs w:val="8"/>
                <w:color w:val="auto"/>
              </w:rPr>
            </w:pPr>
          </w:p>
        </w:tc>
        <w:tc>
          <w:tcPr>
            <w:tcW w:w="1500" w:type="dxa"/>
            <w:vAlign w:val="bottom"/>
            <w:tcBorders>
              <w:bottom w:val="single" w:sz="8" w:color="auto"/>
            </w:tcBorders>
          </w:tcPr>
          <w:p>
            <w:pPr>
              <w:spacing w:after="0"/>
              <w:rPr>
                <w:sz w:val="8"/>
                <w:szCs w:val="8"/>
                <w:color w:val="auto"/>
              </w:rPr>
            </w:pPr>
          </w:p>
        </w:tc>
        <w:tc>
          <w:tcPr>
            <w:tcW w:w="40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42"/>
        </w:trPr>
        <w:tc>
          <w:tcPr>
            <w:tcW w:w="3700" w:type="dxa"/>
            <w:vAlign w:val="bottom"/>
            <w:tcBorders>
              <w:left w:val="single" w:sz="8" w:color="auto"/>
              <w:right w:val="single" w:sz="8" w:color="auto"/>
            </w:tcBorders>
            <w:vMerge w:val="continue"/>
          </w:tcPr>
          <w:p>
            <w:pPr>
              <w:spacing w:after="0"/>
              <w:rPr>
                <w:sz w:val="12"/>
                <w:szCs w:val="12"/>
                <w:color w:val="auto"/>
              </w:rPr>
            </w:pPr>
          </w:p>
        </w:tc>
        <w:tc>
          <w:tcPr>
            <w:tcW w:w="1880" w:type="dxa"/>
            <w:vAlign w:val="bottom"/>
            <w:tcBorders>
              <w:right w:val="single" w:sz="8" w:color="auto"/>
            </w:tcBorders>
            <w:vMerge w:val="continue"/>
          </w:tcPr>
          <w:p>
            <w:pPr>
              <w:spacing w:after="0"/>
              <w:rPr>
                <w:sz w:val="12"/>
                <w:szCs w:val="12"/>
                <w:color w:val="auto"/>
              </w:rPr>
            </w:pPr>
          </w:p>
        </w:tc>
        <w:tc>
          <w:tcPr>
            <w:tcW w:w="19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PWERM</w:t>
            </w:r>
            <w:r>
              <w:rPr>
                <w:rFonts w:ascii="Arial" w:cs="Arial" w:eastAsia="Arial" w:hAnsi="Arial"/>
                <w:sz w:val="23"/>
                <w:szCs w:val="23"/>
                <w:color w:val="auto"/>
                <w:w w:val="91"/>
                <w:vertAlign w:val="superscript"/>
              </w:rPr>
              <w:t>(5)</w:t>
            </w:r>
          </w:p>
        </w:tc>
        <w:tc>
          <w:tcPr>
            <w:tcW w:w="18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Revenue multiples</w:t>
            </w:r>
          </w:p>
        </w:tc>
        <w:tc>
          <w:tcPr>
            <w:tcW w:w="1500" w:type="dxa"/>
            <w:vAlign w:val="bottom"/>
            <w:vMerge w:val="restart"/>
          </w:tcPr>
          <w:p>
            <w:pPr>
              <w:jc w:val="center"/>
              <w:ind w:left="292"/>
              <w:spacing w:after="0"/>
              <w:rPr>
                <w:sz w:val="20"/>
                <w:szCs w:val="20"/>
                <w:color w:val="auto"/>
              </w:rPr>
            </w:pPr>
            <w:r>
              <w:rPr>
                <w:rFonts w:ascii="Arial" w:cs="Arial" w:eastAsia="Arial" w:hAnsi="Arial"/>
                <w:sz w:val="18"/>
                <w:szCs w:val="18"/>
                <w:color w:val="auto"/>
              </w:rPr>
              <w:t>N/A</w:t>
            </w:r>
          </w:p>
        </w:tc>
        <w:tc>
          <w:tcPr>
            <w:tcW w:w="4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3700" w:type="dxa"/>
            <w:vAlign w:val="bottom"/>
            <w:tcBorders>
              <w:left w:val="single" w:sz="8" w:color="auto"/>
              <w:right w:val="single" w:sz="8" w:color="auto"/>
            </w:tcBorders>
          </w:tcPr>
          <w:p>
            <w:pPr>
              <w:spacing w:after="0"/>
              <w:rPr>
                <w:sz w:val="7"/>
                <w:szCs w:val="7"/>
                <w:color w:val="auto"/>
              </w:rPr>
            </w:pPr>
          </w:p>
        </w:tc>
        <w:tc>
          <w:tcPr>
            <w:tcW w:w="1880" w:type="dxa"/>
            <w:vAlign w:val="bottom"/>
            <w:tcBorders>
              <w:right w:val="single" w:sz="8" w:color="auto"/>
            </w:tcBorders>
          </w:tcPr>
          <w:p>
            <w:pPr>
              <w:spacing w:after="0"/>
              <w:rPr>
                <w:sz w:val="7"/>
                <w:szCs w:val="7"/>
                <w:color w:val="auto"/>
              </w:rPr>
            </w:pPr>
          </w:p>
        </w:tc>
        <w:tc>
          <w:tcPr>
            <w:tcW w:w="1900" w:type="dxa"/>
            <w:vAlign w:val="bottom"/>
            <w:tcBorders>
              <w:right w:val="single" w:sz="8" w:color="auto"/>
            </w:tcBorders>
            <w:vMerge w:val="continue"/>
          </w:tcPr>
          <w:p>
            <w:pPr>
              <w:spacing w:after="0"/>
              <w:rPr>
                <w:sz w:val="7"/>
                <w:szCs w:val="7"/>
                <w:color w:val="auto"/>
              </w:rPr>
            </w:pPr>
          </w:p>
        </w:tc>
        <w:tc>
          <w:tcPr>
            <w:tcW w:w="1880" w:type="dxa"/>
            <w:vAlign w:val="bottom"/>
            <w:tcBorders>
              <w:bottom w:val="single" w:sz="8" w:color="auto"/>
              <w:right w:val="single" w:sz="8" w:color="auto"/>
            </w:tcBorders>
            <w:vMerge w:val="continue"/>
          </w:tcPr>
          <w:p>
            <w:pPr>
              <w:spacing w:after="0"/>
              <w:rPr>
                <w:sz w:val="7"/>
                <w:szCs w:val="7"/>
                <w:color w:val="auto"/>
              </w:rPr>
            </w:pPr>
          </w:p>
        </w:tc>
        <w:tc>
          <w:tcPr>
            <w:tcW w:w="1500" w:type="dxa"/>
            <w:vAlign w:val="bottom"/>
            <w:tcBorders>
              <w:bottom w:val="single" w:sz="8" w:color="auto"/>
            </w:tcBorders>
            <w:vMerge w:val="continue"/>
          </w:tcPr>
          <w:p>
            <w:pPr>
              <w:spacing w:after="0"/>
              <w:rPr>
                <w:sz w:val="7"/>
                <w:szCs w:val="7"/>
                <w:color w:val="auto"/>
              </w:rPr>
            </w:pPr>
          </w:p>
        </w:tc>
        <w:tc>
          <w:tcPr>
            <w:tcW w:w="40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75"/>
        </w:trPr>
        <w:tc>
          <w:tcPr>
            <w:tcW w:w="3700" w:type="dxa"/>
            <w:vAlign w:val="bottom"/>
            <w:tcBorders>
              <w:left w:val="single" w:sz="8" w:color="auto"/>
              <w:right w:val="single" w:sz="8" w:color="auto"/>
            </w:tcBorders>
          </w:tcPr>
          <w:p>
            <w:pPr>
              <w:spacing w:after="0"/>
              <w:rPr>
                <w:sz w:val="15"/>
                <w:szCs w:val="15"/>
                <w:color w:val="auto"/>
              </w:rPr>
            </w:pPr>
          </w:p>
        </w:tc>
        <w:tc>
          <w:tcPr>
            <w:tcW w:w="1880" w:type="dxa"/>
            <w:vAlign w:val="bottom"/>
            <w:tcBorders>
              <w:right w:val="single" w:sz="8" w:color="auto"/>
            </w:tcBorders>
          </w:tcPr>
          <w:p>
            <w:pPr>
              <w:spacing w:after="0"/>
              <w:rPr>
                <w:sz w:val="15"/>
                <w:szCs w:val="15"/>
                <w:color w:val="auto"/>
              </w:rPr>
            </w:pPr>
          </w:p>
        </w:tc>
        <w:tc>
          <w:tcPr>
            <w:tcW w:w="1900" w:type="dxa"/>
            <w:vAlign w:val="bottom"/>
            <w:tcBorders>
              <w:right w:val="single" w:sz="8" w:color="auto"/>
            </w:tcBorders>
            <w:vMerge w:val="continue"/>
          </w:tcPr>
          <w:p>
            <w:pPr>
              <w:spacing w:after="0"/>
              <w:rPr>
                <w:sz w:val="15"/>
                <w:szCs w:val="15"/>
                <w:color w:val="auto"/>
              </w:rPr>
            </w:pPr>
          </w:p>
        </w:tc>
        <w:tc>
          <w:tcPr>
            <w:tcW w:w="18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3"/>
              </w:rPr>
              <w:t>Liquidation value</w:t>
            </w:r>
          </w:p>
        </w:tc>
        <w:tc>
          <w:tcPr>
            <w:tcW w:w="1500" w:type="dxa"/>
            <w:vAlign w:val="bottom"/>
            <w:vMerge w:val="restart"/>
          </w:tcPr>
          <w:p>
            <w:pPr>
              <w:jc w:val="center"/>
              <w:ind w:left="292"/>
              <w:spacing w:after="0"/>
              <w:rPr>
                <w:sz w:val="20"/>
                <w:szCs w:val="20"/>
                <w:color w:val="auto"/>
              </w:rPr>
            </w:pPr>
            <w:r>
              <w:rPr>
                <w:rFonts w:ascii="Arial" w:cs="Arial" w:eastAsia="Arial" w:hAnsi="Arial"/>
                <w:sz w:val="18"/>
                <w:szCs w:val="18"/>
                <w:color w:val="auto"/>
              </w:rPr>
              <w:t>N/A</w:t>
            </w:r>
          </w:p>
        </w:tc>
        <w:tc>
          <w:tcPr>
            <w:tcW w:w="4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61"/>
        </w:trPr>
        <w:tc>
          <w:tcPr>
            <w:tcW w:w="3700" w:type="dxa"/>
            <w:vAlign w:val="bottom"/>
            <w:tcBorders>
              <w:left w:val="single" w:sz="8" w:color="auto"/>
              <w:bottom w:val="single" w:sz="8" w:color="auto"/>
              <w:right w:val="single" w:sz="8" w:color="auto"/>
            </w:tcBorders>
          </w:tcPr>
          <w:p>
            <w:pPr>
              <w:spacing w:after="0"/>
              <w:rPr>
                <w:sz w:val="5"/>
                <w:szCs w:val="5"/>
                <w:color w:val="auto"/>
              </w:rPr>
            </w:pPr>
          </w:p>
        </w:tc>
        <w:tc>
          <w:tcPr>
            <w:tcW w:w="1880" w:type="dxa"/>
            <w:vAlign w:val="bottom"/>
            <w:tcBorders>
              <w:bottom w:val="single" w:sz="8" w:color="auto"/>
              <w:right w:val="single" w:sz="8" w:color="auto"/>
            </w:tcBorders>
          </w:tcPr>
          <w:p>
            <w:pPr>
              <w:spacing w:after="0"/>
              <w:rPr>
                <w:sz w:val="5"/>
                <w:szCs w:val="5"/>
                <w:color w:val="auto"/>
              </w:rPr>
            </w:pPr>
          </w:p>
        </w:tc>
        <w:tc>
          <w:tcPr>
            <w:tcW w:w="1900" w:type="dxa"/>
            <w:vAlign w:val="bottom"/>
            <w:tcBorders>
              <w:bottom w:val="single" w:sz="8" w:color="auto"/>
              <w:right w:val="single" w:sz="8" w:color="auto"/>
            </w:tcBorders>
          </w:tcPr>
          <w:p>
            <w:pPr>
              <w:spacing w:after="0"/>
              <w:rPr>
                <w:sz w:val="5"/>
                <w:szCs w:val="5"/>
                <w:color w:val="auto"/>
              </w:rPr>
            </w:pPr>
          </w:p>
        </w:tc>
        <w:tc>
          <w:tcPr>
            <w:tcW w:w="1880" w:type="dxa"/>
            <w:vAlign w:val="bottom"/>
            <w:tcBorders>
              <w:bottom w:val="single" w:sz="8" w:color="auto"/>
              <w:right w:val="single" w:sz="8" w:color="auto"/>
            </w:tcBorders>
            <w:vMerge w:val="continue"/>
          </w:tcPr>
          <w:p>
            <w:pPr>
              <w:spacing w:after="0"/>
              <w:rPr>
                <w:sz w:val="5"/>
                <w:szCs w:val="5"/>
                <w:color w:val="auto"/>
              </w:rPr>
            </w:pPr>
          </w:p>
        </w:tc>
        <w:tc>
          <w:tcPr>
            <w:tcW w:w="1500" w:type="dxa"/>
            <w:vAlign w:val="bottom"/>
            <w:tcBorders>
              <w:bottom w:val="single" w:sz="8" w:color="auto"/>
            </w:tcBorders>
            <w:vMerge w:val="continue"/>
          </w:tcPr>
          <w:p>
            <w:pPr>
              <w:spacing w:after="0"/>
              <w:rPr>
                <w:sz w:val="5"/>
                <w:szCs w:val="5"/>
                <w:color w:val="auto"/>
              </w:rPr>
            </w:pPr>
          </w:p>
        </w:tc>
        <w:tc>
          <w:tcPr>
            <w:tcW w:w="4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75"/>
        </w:trPr>
        <w:tc>
          <w:tcPr>
            <w:tcW w:w="3700" w:type="dxa"/>
            <w:vAlign w:val="bottom"/>
            <w:tcBorders>
              <w:left w:val="single" w:sz="8" w:color="auto"/>
              <w:right w:val="single" w:sz="8" w:color="auto"/>
            </w:tcBorders>
          </w:tcPr>
          <w:p>
            <w:pPr>
              <w:spacing w:after="0"/>
              <w:rPr>
                <w:sz w:val="15"/>
                <w:szCs w:val="15"/>
                <w:color w:val="auto"/>
              </w:rPr>
            </w:pPr>
          </w:p>
        </w:tc>
        <w:tc>
          <w:tcPr>
            <w:tcW w:w="1880" w:type="dxa"/>
            <w:vAlign w:val="bottom"/>
            <w:tcBorders>
              <w:right w:val="single" w:sz="8" w:color="auto"/>
            </w:tcBorders>
          </w:tcPr>
          <w:p>
            <w:pPr>
              <w:spacing w:after="0"/>
              <w:rPr>
                <w:sz w:val="15"/>
                <w:szCs w:val="15"/>
                <w:color w:val="auto"/>
              </w:rPr>
            </w:pPr>
          </w:p>
        </w:tc>
        <w:tc>
          <w:tcPr>
            <w:tcW w:w="1900" w:type="dxa"/>
            <w:vAlign w:val="bottom"/>
            <w:tcBorders>
              <w:right w:val="single" w:sz="8" w:color="auto"/>
            </w:tcBorders>
          </w:tcPr>
          <w:p>
            <w:pPr>
              <w:spacing w:after="0"/>
              <w:rPr>
                <w:sz w:val="15"/>
                <w:szCs w:val="15"/>
                <w:color w:val="auto"/>
              </w:rPr>
            </w:pPr>
          </w:p>
        </w:tc>
        <w:tc>
          <w:tcPr>
            <w:tcW w:w="1880" w:type="dxa"/>
            <w:vAlign w:val="bottom"/>
            <w:tcBorders>
              <w:right w:val="single" w:sz="8" w:color="auto"/>
            </w:tcBorders>
          </w:tcPr>
          <w:p>
            <w:pPr>
              <w:jc w:val="center"/>
              <w:spacing w:after="0" w:line="176" w:lineRule="exact"/>
              <w:rPr>
                <w:sz w:val="20"/>
                <w:szCs w:val="20"/>
                <w:color w:val="auto"/>
              </w:rPr>
            </w:pPr>
            <w:r>
              <w:rPr>
                <w:rFonts w:ascii="Arial" w:cs="Arial" w:eastAsia="Arial" w:hAnsi="Arial"/>
                <w:sz w:val="18"/>
                <w:szCs w:val="18"/>
                <w:color w:val="auto"/>
                <w:w w:val="92"/>
              </w:rPr>
              <w:t>Term to expiration</w:t>
            </w:r>
          </w:p>
        </w:tc>
        <w:tc>
          <w:tcPr>
            <w:tcW w:w="190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color w:val="auto"/>
                <w:w w:val="91"/>
              </w:rPr>
              <w:t>0.26 - 7.36 (4.51)</w:t>
            </w:r>
          </w:p>
        </w:tc>
        <w:tc>
          <w:tcPr>
            <w:tcW w:w="0" w:type="dxa"/>
            <w:vAlign w:val="bottom"/>
          </w:tcPr>
          <w:p>
            <w:pPr>
              <w:spacing w:after="0"/>
              <w:rPr>
                <w:sz w:val="1"/>
                <w:szCs w:val="1"/>
                <w:color w:val="auto"/>
              </w:rPr>
            </w:pPr>
          </w:p>
        </w:tc>
      </w:tr>
      <w:tr>
        <w:trPr>
          <w:trHeight w:val="135"/>
        </w:trPr>
        <w:tc>
          <w:tcPr>
            <w:tcW w:w="3700" w:type="dxa"/>
            <w:vAlign w:val="bottom"/>
            <w:tcBorders>
              <w:left w:val="single" w:sz="8" w:color="auto"/>
              <w:right w:val="single" w:sz="8" w:color="auto"/>
            </w:tcBorders>
          </w:tcPr>
          <w:p>
            <w:pPr>
              <w:spacing w:after="0"/>
              <w:rPr>
                <w:sz w:val="11"/>
                <w:szCs w:val="11"/>
                <w:color w:val="auto"/>
              </w:rPr>
            </w:pPr>
          </w:p>
        </w:tc>
        <w:tc>
          <w:tcPr>
            <w:tcW w:w="1880" w:type="dxa"/>
            <w:vAlign w:val="bottom"/>
            <w:tcBorders>
              <w:right w:val="single" w:sz="8" w:color="auto"/>
            </w:tcBorders>
          </w:tcPr>
          <w:p>
            <w:pPr>
              <w:spacing w:after="0"/>
              <w:rPr>
                <w:sz w:val="11"/>
                <w:szCs w:val="11"/>
                <w:color w:val="auto"/>
              </w:rPr>
            </w:pPr>
          </w:p>
        </w:tc>
        <w:tc>
          <w:tcPr>
            <w:tcW w:w="19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4"/>
              </w:rPr>
              <w:t>Option pricing model</w:t>
            </w:r>
          </w:p>
        </w:tc>
        <w:tc>
          <w:tcPr>
            <w:tcW w:w="18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8"/>
              </w:rPr>
              <w:t>(Years)</w:t>
            </w:r>
          </w:p>
        </w:tc>
        <w:tc>
          <w:tcPr>
            <w:tcW w:w="1900" w:type="dxa"/>
            <w:vAlign w:val="bottom"/>
            <w:tcBorders>
              <w:right w:val="single" w:sz="8" w:color="auto"/>
            </w:tcBorders>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3700" w:type="dxa"/>
            <w:vAlign w:val="bottom"/>
            <w:tcBorders>
              <w:left w:val="single" w:sz="8" w:color="auto"/>
              <w:right w:val="single" w:sz="8" w:color="auto"/>
            </w:tcBorders>
          </w:tcPr>
          <w:p>
            <w:pPr>
              <w:spacing w:after="0"/>
              <w:rPr>
                <w:sz w:val="8"/>
                <w:szCs w:val="8"/>
                <w:color w:val="auto"/>
              </w:rPr>
            </w:pPr>
          </w:p>
        </w:tc>
        <w:tc>
          <w:tcPr>
            <w:tcW w:w="1880" w:type="dxa"/>
            <w:vAlign w:val="bottom"/>
            <w:tcBorders>
              <w:right w:val="single" w:sz="8" w:color="auto"/>
            </w:tcBorders>
          </w:tcPr>
          <w:p>
            <w:pPr>
              <w:spacing w:after="0"/>
              <w:rPr>
                <w:sz w:val="8"/>
                <w:szCs w:val="8"/>
                <w:color w:val="auto"/>
              </w:rPr>
            </w:pPr>
          </w:p>
        </w:tc>
        <w:tc>
          <w:tcPr>
            <w:tcW w:w="1900" w:type="dxa"/>
            <w:vAlign w:val="bottom"/>
            <w:tcBorders>
              <w:right w:val="single" w:sz="8" w:color="auto"/>
            </w:tcBorders>
            <w:vMerge w:val="continue"/>
          </w:tcPr>
          <w:p>
            <w:pPr>
              <w:spacing w:after="0"/>
              <w:rPr>
                <w:sz w:val="8"/>
                <w:szCs w:val="8"/>
                <w:color w:val="auto"/>
              </w:rPr>
            </w:pPr>
          </w:p>
        </w:tc>
        <w:tc>
          <w:tcPr>
            <w:tcW w:w="1880" w:type="dxa"/>
            <w:vAlign w:val="bottom"/>
            <w:tcBorders>
              <w:bottom w:val="single" w:sz="8" w:color="auto"/>
              <w:right w:val="single" w:sz="8" w:color="auto"/>
            </w:tcBorders>
            <w:vMerge w:val="continue"/>
          </w:tcPr>
          <w:p>
            <w:pPr>
              <w:spacing w:after="0"/>
              <w:rPr>
                <w:sz w:val="8"/>
                <w:szCs w:val="8"/>
                <w:color w:val="auto"/>
              </w:rPr>
            </w:pPr>
          </w:p>
        </w:tc>
        <w:tc>
          <w:tcPr>
            <w:tcW w:w="1500" w:type="dxa"/>
            <w:vAlign w:val="bottom"/>
            <w:tcBorders>
              <w:bottom w:val="single" w:sz="8" w:color="auto"/>
            </w:tcBorders>
          </w:tcPr>
          <w:p>
            <w:pPr>
              <w:spacing w:after="0"/>
              <w:rPr>
                <w:sz w:val="8"/>
                <w:szCs w:val="8"/>
                <w:color w:val="auto"/>
              </w:rPr>
            </w:pPr>
          </w:p>
        </w:tc>
        <w:tc>
          <w:tcPr>
            <w:tcW w:w="40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37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3"/>
              </w:rPr>
              <w:t>Options</w:t>
            </w:r>
          </w:p>
        </w:tc>
        <w:tc>
          <w:tcPr>
            <w:tcW w:w="18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$5,872,210</w:t>
            </w:r>
          </w:p>
        </w:tc>
        <w:tc>
          <w:tcPr>
            <w:tcW w:w="1900" w:type="dxa"/>
            <w:vAlign w:val="bottom"/>
            <w:tcBorders>
              <w:right w:val="single" w:sz="8" w:color="auto"/>
            </w:tcBorders>
            <w:vMerge w:val="continue"/>
          </w:tcPr>
          <w:p>
            <w:pPr>
              <w:spacing w:after="0"/>
              <w:rPr>
                <w:sz w:val="8"/>
                <w:szCs w:val="8"/>
                <w:color w:val="auto"/>
              </w:rPr>
            </w:pPr>
          </w:p>
        </w:tc>
        <w:tc>
          <w:tcPr>
            <w:tcW w:w="18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8"/>
              </w:rPr>
              <w:t>Volatility</w:t>
            </w:r>
          </w:p>
        </w:tc>
        <w:tc>
          <w:tcPr>
            <w:tcW w:w="190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color w:val="auto"/>
                <w:w w:val="92"/>
              </w:rPr>
              <w:t>34.9% - 56.3% (36.8%)</w:t>
            </w:r>
          </w:p>
        </w:tc>
        <w:tc>
          <w:tcPr>
            <w:tcW w:w="0" w:type="dxa"/>
            <w:vAlign w:val="bottom"/>
          </w:tcPr>
          <w:p>
            <w:pPr>
              <w:spacing w:after="0"/>
              <w:rPr>
                <w:sz w:val="1"/>
                <w:szCs w:val="1"/>
                <w:color w:val="auto"/>
              </w:rPr>
            </w:pPr>
          </w:p>
        </w:tc>
      </w:tr>
      <w:tr>
        <w:trPr>
          <w:trHeight w:val="203"/>
        </w:trPr>
        <w:tc>
          <w:tcPr>
            <w:tcW w:w="3700" w:type="dxa"/>
            <w:vAlign w:val="bottom"/>
            <w:tcBorders>
              <w:left w:val="single" w:sz="8" w:color="auto"/>
              <w:right w:val="single" w:sz="8" w:color="auto"/>
            </w:tcBorders>
            <w:vMerge w:val="continue"/>
          </w:tcPr>
          <w:p>
            <w:pPr>
              <w:spacing w:after="0"/>
              <w:rPr>
                <w:sz w:val="17"/>
                <w:szCs w:val="17"/>
                <w:color w:val="auto"/>
              </w:rPr>
            </w:pPr>
          </w:p>
        </w:tc>
        <w:tc>
          <w:tcPr>
            <w:tcW w:w="1880" w:type="dxa"/>
            <w:vAlign w:val="bottom"/>
            <w:tcBorders>
              <w:right w:val="single" w:sz="8" w:color="auto"/>
            </w:tcBorders>
            <w:vMerge w:val="continue"/>
          </w:tcPr>
          <w:p>
            <w:pPr>
              <w:spacing w:after="0"/>
              <w:rPr>
                <w:sz w:val="17"/>
                <w:szCs w:val="17"/>
                <w:color w:val="auto"/>
              </w:rPr>
            </w:pPr>
          </w:p>
        </w:tc>
        <w:tc>
          <w:tcPr>
            <w:tcW w:w="1900" w:type="dxa"/>
            <w:vAlign w:val="bottom"/>
            <w:tcBorders>
              <w:right w:val="single" w:sz="8" w:color="auto"/>
            </w:tcBorders>
          </w:tcPr>
          <w:p>
            <w:pPr>
              <w:spacing w:after="0"/>
              <w:rPr>
                <w:sz w:val="17"/>
                <w:szCs w:val="17"/>
                <w:color w:val="auto"/>
              </w:rPr>
            </w:pPr>
          </w:p>
        </w:tc>
        <w:tc>
          <w:tcPr>
            <w:tcW w:w="1880" w:type="dxa"/>
            <w:vAlign w:val="bottom"/>
            <w:tcBorders>
              <w:right w:val="single" w:sz="8" w:color="auto"/>
            </w:tcBorders>
            <w:vMerge w:val="continue"/>
          </w:tcPr>
          <w:p>
            <w:pPr>
              <w:spacing w:after="0"/>
              <w:rPr>
                <w:sz w:val="17"/>
                <w:szCs w:val="17"/>
                <w:color w:val="auto"/>
              </w:rPr>
            </w:pPr>
          </w:p>
        </w:tc>
        <w:tc>
          <w:tcPr>
            <w:tcW w:w="1900" w:type="dxa"/>
            <w:vAlign w:val="bottom"/>
            <w:tcBorders>
              <w:right w:val="single" w:sz="8" w:color="auto"/>
            </w:tcBorders>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94"/>
        </w:trPr>
        <w:tc>
          <w:tcPr>
            <w:tcW w:w="3700" w:type="dxa"/>
            <w:vAlign w:val="bottom"/>
            <w:tcBorders>
              <w:left w:val="single" w:sz="8" w:color="auto"/>
              <w:right w:val="single" w:sz="8" w:color="auto"/>
            </w:tcBorders>
          </w:tcPr>
          <w:p>
            <w:pPr>
              <w:spacing w:after="0"/>
              <w:rPr>
                <w:sz w:val="8"/>
                <w:szCs w:val="8"/>
                <w:color w:val="auto"/>
              </w:rPr>
            </w:pPr>
          </w:p>
        </w:tc>
        <w:tc>
          <w:tcPr>
            <w:tcW w:w="1880" w:type="dxa"/>
            <w:vAlign w:val="bottom"/>
            <w:tcBorders>
              <w:right w:val="single" w:sz="8" w:color="auto"/>
            </w:tcBorders>
          </w:tcPr>
          <w:p>
            <w:pPr>
              <w:spacing w:after="0"/>
              <w:rPr>
                <w:sz w:val="8"/>
                <w:szCs w:val="8"/>
                <w:color w:val="auto"/>
              </w:rPr>
            </w:pPr>
          </w:p>
        </w:tc>
        <w:tc>
          <w:tcPr>
            <w:tcW w:w="1900" w:type="dxa"/>
            <w:vAlign w:val="bottom"/>
            <w:tcBorders>
              <w:bottom w:val="single" w:sz="8" w:color="auto"/>
              <w:right w:val="single" w:sz="8" w:color="auto"/>
            </w:tcBorders>
          </w:tcPr>
          <w:p>
            <w:pPr>
              <w:spacing w:after="0"/>
              <w:rPr>
                <w:sz w:val="8"/>
                <w:szCs w:val="8"/>
                <w:color w:val="auto"/>
              </w:rPr>
            </w:pPr>
          </w:p>
        </w:tc>
        <w:tc>
          <w:tcPr>
            <w:tcW w:w="1880" w:type="dxa"/>
            <w:vAlign w:val="bottom"/>
            <w:tcBorders>
              <w:bottom w:val="single" w:sz="8" w:color="auto"/>
              <w:right w:val="single" w:sz="8" w:color="auto"/>
            </w:tcBorders>
          </w:tcPr>
          <w:p>
            <w:pPr>
              <w:spacing w:after="0"/>
              <w:rPr>
                <w:sz w:val="8"/>
                <w:szCs w:val="8"/>
                <w:color w:val="auto"/>
              </w:rPr>
            </w:pPr>
          </w:p>
        </w:tc>
        <w:tc>
          <w:tcPr>
            <w:tcW w:w="1500" w:type="dxa"/>
            <w:vAlign w:val="bottom"/>
            <w:tcBorders>
              <w:bottom w:val="single" w:sz="8" w:color="auto"/>
            </w:tcBorders>
          </w:tcPr>
          <w:p>
            <w:pPr>
              <w:spacing w:after="0"/>
              <w:rPr>
                <w:sz w:val="8"/>
                <w:szCs w:val="8"/>
                <w:color w:val="auto"/>
              </w:rPr>
            </w:pPr>
          </w:p>
        </w:tc>
        <w:tc>
          <w:tcPr>
            <w:tcW w:w="40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04"/>
        </w:trPr>
        <w:tc>
          <w:tcPr>
            <w:tcW w:w="3700" w:type="dxa"/>
            <w:vAlign w:val="bottom"/>
            <w:tcBorders>
              <w:left w:val="single" w:sz="8" w:color="auto"/>
              <w:right w:val="single" w:sz="8" w:color="auto"/>
            </w:tcBorders>
          </w:tcPr>
          <w:p>
            <w:pPr>
              <w:spacing w:after="0"/>
              <w:rPr>
                <w:sz w:val="24"/>
                <w:szCs w:val="24"/>
                <w:color w:val="auto"/>
              </w:rPr>
            </w:pPr>
          </w:p>
        </w:tc>
        <w:tc>
          <w:tcPr>
            <w:tcW w:w="1880" w:type="dxa"/>
            <w:vAlign w:val="bottom"/>
            <w:tcBorders>
              <w:right w:val="single" w:sz="8" w:color="auto"/>
            </w:tcBorders>
          </w:tcPr>
          <w:p>
            <w:pPr>
              <w:spacing w:after="0"/>
              <w:rPr>
                <w:sz w:val="24"/>
                <w:szCs w:val="24"/>
                <w:color w:val="auto"/>
              </w:rPr>
            </w:pPr>
          </w:p>
        </w:tc>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Discounted cash flow</w:t>
            </w:r>
          </w:p>
        </w:tc>
        <w:tc>
          <w:tcPr>
            <w:tcW w:w="18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Discount Rate</w:t>
            </w:r>
          </w:p>
        </w:tc>
        <w:tc>
          <w:tcPr>
            <w:tcW w:w="1500" w:type="dxa"/>
            <w:vAlign w:val="bottom"/>
          </w:tcPr>
          <w:p>
            <w:pPr>
              <w:jc w:val="center"/>
              <w:ind w:left="292"/>
              <w:spacing w:after="0"/>
              <w:rPr>
                <w:sz w:val="20"/>
                <w:szCs w:val="20"/>
                <w:color w:val="auto"/>
              </w:rPr>
            </w:pPr>
            <w:r>
              <w:rPr>
                <w:rFonts w:ascii="Arial" w:cs="Arial" w:eastAsia="Arial" w:hAnsi="Arial"/>
                <w:sz w:val="18"/>
                <w:szCs w:val="18"/>
                <w:color w:val="auto"/>
                <w:w w:val="90"/>
              </w:rPr>
              <w:t>12.0% (12.0%)</w:t>
            </w:r>
          </w:p>
        </w:tc>
        <w:tc>
          <w:tcPr>
            <w:tcW w:w="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94"/>
        </w:trPr>
        <w:tc>
          <w:tcPr>
            <w:tcW w:w="3700" w:type="dxa"/>
            <w:vAlign w:val="bottom"/>
            <w:tcBorders>
              <w:left w:val="single" w:sz="8" w:color="auto"/>
              <w:bottom w:val="single" w:sz="8" w:color="auto"/>
              <w:right w:val="single" w:sz="8" w:color="auto"/>
            </w:tcBorders>
          </w:tcPr>
          <w:p>
            <w:pPr>
              <w:spacing w:after="0"/>
              <w:rPr>
                <w:sz w:val="8"/>
                <w:szCs w:val="8"/>
                <w:color w:val="auto"/>
              </w:rPr>
            </w:pPr>
          </w:p>
        </w:tc>
        <w:tc>
          <w:tcPr>
            <w:tcW w:w="1880" w:type="dxa"/>
            <w:vAlign w:val="bottom"/>
            <w:tcBorders>
              <w:bottom w:val="single" w:sz="8" w:color="auto"/>
              <w:right w:val="single" w:sz="8" w:color="auto"/>
            </w:tcBorders>
          </w:tcPr>
          <w:p>
            <w:pPr>
              <w:spacing w:after="0"/>
              <w:rPr>
                <w:sz w:val="8"/>
                <w:szCs w:val="8"/>
                <w:color w:val="auto"/>
              </w:rPr>
            </w:pPr>
          </w:p>
        </w:tc>
        <w:tc>
          <w:tcPr>
            <w:tcW w:w="1900" w:type="dxa"/>
            <w:vAlign w:val="bottom"/>
            <w:tcBorders>
              <w:bottom w:val="single" w:sz="8" w:color="auto"/>
              <w:right w:val="single" w:sz="8" w:color="auto"/>
            </w:tcBorders>
          </w:tcPr>
          <w:p>
            <w:pPr>
              <w:spacing w:after="0"/>
              <w:rPr>
                <w:sz w:val="8"/>
                <w:szCs w:val="8"/>
                <w:color w:val="auto"/>
              </w:rPr>
            </w:pPr>
          </w:p>
        </w:tc>
        <w:tc>
          <w:tcPr>
            <w:tcW w:w="1880" w:type="dxa"/>
            <w:vAlign w:val="bottom"/>
            <w:tcBorders>
              <w:bottom w:val="single" w:sz="8" w:color="auto"/>
              <w:right w:val="single" w:sz="8" w:color="auto"/>
            </w:tcBorders>
          </w:tcPr>
          <w:p>
            <w:pPr>
              <w:spacing w:after="0"/>
              <w:rPr>
                <w:sz w:val="8"/>
                <w:szCs w:val="8"/>
                <w:color w:val="auto"/>
              </w:rPr>
            </w:pPr>
          </w:p>
        </w:tc>
        <w:tc>
          <w:tcPr>
            <w:tcW w:w="1500" w:type="dxa"/>
            <w:vAlign w:val="bottom"/>
            <w:tcBorders>
              <w:bottom w:val="single" w:sz="8" w:color="auto"/>
            </w:tcBorders>
          </w:tcPr>
          <w:p>
            <w:pPr>
              <w:spacing w:after="0"/>
              <w:rPr>
                <w:sz w:val="8"/>
                <w:szCs w:val="8"/>
                <w:color w:val="auto"/>
              </w:rPr>
            </w:pPr>
          </w:p>
        </w:tc>
        <w:tc>
          <w:tcPr>
            <w:tcW w:w="40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w:t>
      </w:r>
    </w:p>
    <w:p>
      <w:pPr>
        <w:spacing w:after="0" w:line="23" w:lineRule="exact"/>
        <w:rPr>
          <w:sz w:val="20"/>
          <w:szCs w:val="20"/>
          <w:color w:val="auto"/>
        </w:rPr>
      </w:pPr>
    </w:p>
    <w:p>
      <w:pPr>
        <w:ind w:left="660" w:right="20" w:hanging="652"/>
        <w:spacing w:after="0" w:line="264" w:lineRule="auto"/>
        <w:tabs>
          <w:tab w:leader="none" w:pos="363" w:val="left"/>
        </w:tabs>
        <w:numPr>
          <w:ilvl w:val="0"/>
          <w:numId w:val="19"/>
        </w:numPr>
        <w:rPr>
          <w:rFonts w:ascii="Arial" w:cs="Arial" w:eastAsia="Arial" w:hAnsi="Arial"/>
          <w:sz w:val="15"/>
          <w:szCs w:val="15"/>
          <w:color w:val="auto"/>
        </w:rPr>
      </w:pPr>
      <w:r>
        <w:rPr>
          <w:rFonts w:ascii="Arial" w:cs="Arial" w:eastAsia="Arial" w:hAnsi="Arial"/>
          <w:sz w:val="15"/>
          <w:szCs w:val="15"/>
          <w:color w:val="auto"/>
        </w:rPr>
        <w:t>As of December 31, 2020, the Company used a hybrid market and income approach to value certain common and preferred stock investments as the Company felt this approach better reflected the fair value of these investments. By considering multiple valuation approaches (and consequently, multiple valuation techniques), the valuation approaches and techniques are not likely to change from one period of measurement to the next; however, the weighting of each in determining the final fair value of a Level 3 investment may change based on recent events or transactions. The hybrid approach may also consider certain risk weightings to account for the uncertainty of future events. Refer to “Note 2—Significant Accounting Policies—</w:t>
      </w:r>
      <w:r>
        <w:rPr>
          <w:rFonts w:ascii="Arial" w:cs="Arial" w:eastAsia="Arial" w:hAnsi="Arial"/>
          <w:sz w:val="15"/>
          <w:szCs w:val="15"/>
          <w:i w:val="1"/>
          <w:iCs w:val="1"/>
          <w:color w:val="auto"/>
        </w:rPr>
        <w:t>Investments at Fair Value</w:t>
      </w:r>
      <w:r>
        <w:rPr>
          <w:rFonts w:ascii="Arial" w:cs="Arial" w:eastAsia="Arial" w:hAnsi="Arial"/>
          <w:sz w:val="15"/>
          <w:szCs w:val="15"/>
          <w:color w:val="auto"/>
        </w:rPr>
        <w:t>” for more detail.</w:t>
      </w:r>
    </w:p>
    <w:p>
      <w:pPr>
        <w:ind w:left="660" w:right="20" w:hanging="652"/>
        <w:spacing w:after="0" w:line="268" w:lineRule="auto"/>
        <w:tabs>
          <w:tab w:leader="none" w:pos="391" w:val="left"/>
        </w:tabs>
        <w:numPr>
          <w:ilvl w:val="0"/>
          <w:numId w:val="19"/>
        </w:numPr>
        <w:rPr>
          <w:rFonts w:ascii="Arial" w:cs="Arial" w:eastAsia="Arial" w:hAnsi="Arial"/>
          <w:sz w:val="15"/>
          <w:szCs w:val="15"/>
          <w:color w:val="auto"/>
        </w:rPr>
      </w:pPr>
      <w:r>
        <w:rPr>
          <w:rFonts w:ascii="Arial" w:cs="Arial" w:eastAsia="Arial" w:hAnsi="Arial"/>
          <w:sz w:val="15"/>
          <w:szCs w:val="15"/>
          <w:color w:val="auto"/>
        </w:rPr>
        <w:t>The Company considers all relevant information that can reasonably be obtained when determining the fair value of Level 3 investments. Due to any given portfolio company’s information rights, changes in capital structure, recent events, transactions, or liquidity events, the type and availability of unobservable inputs may change. Increases/(decreases) in revenue multiples, earnings before interest and taxes (“EBIT”) multiples, time to expiration, and stock price/strike price would result in higher (lower) fair values all else equal. Decreases (increases) in discount rates, volatility, and annual risk rates, would result in higher (lower) fair values all else equal. The market approach utilizes market value (revenue and EBIT) multiples of publicly traded comparable companies and available precedent sales transactions of comparable companies. The Company carefully considers numerous factors</w:t>
      </w:r>
    </w:p>
    <w:p>
      <w:pPr>
        <w:sectPr>
          <w:pgSz w:w="11900" w:h="16838" w:orient="portrait"/>
          <w:cols w:equalWidth="0" w:num="1">
            <w:col w:w="11260"/>
          </w:cols>
          <w:pgMar w:left="320" w:top="121" w:right="31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ectPr>
          <w:pgSz w:w="11900" w:h="16838" w:orient="portrait"/>
          <w:cols w:equalWidth="0" w:num="1">
            <w:col w:w="11260"/>
          </w:cols>
          <w:pgMar w:left="320" w:top="121" w:right="319" w:bottom="1440" w:gutter="0" w:footer="0" w:header="0"/>
          <w:type w:val="continuous"/>
        </w:sectPr>
      </w:pPr>
    </w:p>
    <w:bookmarkStart w:id="34" w:name="page35"/>
    <w:bookmarkEnd w:id="3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SURO CAPITAL CORP. AND SUBSIDIARIES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2021</w:t>
      </w:r>
    </w:p>
    <w:p>
      <w:pPr>
        <w:spacing w:after="0" w:line="200" w:lineRule="exact"/>
        <w:rPr>
          <w:sz w:val="20"/>
          <w:szCs w:val="20"/>
          <w:color w:val="auto"/>
        </w:rPr>
      </w:pPr>
    </w:p>
    <w:p>
      <w:pPr>
        <w:spacing w:after="0" w:line="204" w:lineRule="exact"/>
        <w:rPr>
          <w:sz w:val="20"/>
          <w:szCs w:val="20"/>
          <w:color w:val="auto"/>
        </w:rPr>
      </w:pPr>
    </w:p>
    <w:p>
      <w:pPr>
        <w:jc w:val="both"/>
        <w:ind w:left="660"/>
        <w:spacing w:after="0" w:line="251" w:lineRule="auto"/>
        <w:rPr>
          <w:sz w:val="20"/>
          <w:szCs w:val="20"/>
          <w:color w:val="auto"/>
        </w:rPr>
      </w:pPr>
      <w:r>
        <w:rPr>
          <w:rFonts w:ascii="Arial" w:cs="Arial" w:eastAsia="Arial" w:hAnsi="Arial"/>
          <w:sz w:val="16"/>
          <w:szCs w:val="16"/>
          <w:color w:val="auto"/>
        </w:rPr>
        <w:t>when selecting the appropriate companies whose multiples are used to value its portfolio companies. These factors include, but are not limited to, the type of organization, similarity to the business being valued, relevant risk factors, as well as size, profitability and growth expectations. In general, precedent transactions include recent rounds of financing, recent purchases made by the Company, and tender offers. Refer to “Note 2—Significant Accounting Policies—</w:t>
      </w:r>
      <w:r>
        <w:rPr>
          <w:rFonts w:ascii="Arial" w:cs="Arial" w:eastAsia="Arial" w:hAnsi="Arial"/>
          <w:sz w:val="16"/>
          <w:szCs w:val="16"/>
          <w:i w:val="1"/>
          <w:iCs w:val="1"/>
          <w:color w:val="auto"/>
        </w:rPr>
        <w:t>Investments at</w:t>
      </w:r>
      <w:r>
        <w:rPr>
          <w:rFonts w:ascii="Arial" w:cs="Arial" w:eastAsia="Arial" w:hAnsi="Arial"/>
          <w:sz w:val="16"/>
          <w:szCs w:val="16"/>
          <w:color w:val="auto"/>
        </w:rPr>
        <w:t xml:space="preserve"> </w:t>
      </w:r>
      <w:r>
        <w:rPr>
          <w:rFonts w:ascii="Arial" w:cs="Arial" w:eastAsia="Arial" w:hAnsi="Arial"/>
          <w:sz w:val="16"/>
          <w:szCs w:val="16"/>
          <w:i w:val="1"/>
          <w:iCs w:val="1"/>
          <w:color w:val="auto"/>
        </w:rPr>
        <w:t>Fair Value</w:t>
      </w:r>
      <w:r>
        <w:rPr>
          <w:rFonts w:ascii="Arial" w:cs="Arial" w:eastAsia="Arial" w:hAnsi="Arial"/>
          <w:sz w:val="16"/>
          <w:szCs w:val="16"/>
          <w:color w:val="auto"/>
        </w:rPr>
        <w:t>” for more detail.</w:t>
      </w:r>
    </w:p>
    <w:p>
      <w:pPr>
        <w:ind w:left="360" w:hanging="352"/>
        <w:spacing w:after="0"/>
        <w:tabs>
          <w:tab w:leader="none" w:pos="3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weighted averages are calculated based on the fair market value of each investment.</w:t>
      </w:r>
    </w:p>
    <w:p>
      <w:pPr>
        <w:spacing w:after="0" w:line="5" w:lineRule="exact"/>
        <w:rPr>
          <w:rFonts w:ascii="Arial" w:cs="Arial" w:eastAsia="Arial" w:hAnsi="Arial"/>
          <w:sz w:val="16"/>
          <w:szCs w:val="16"/>
          <w:color w:val="auto"/>
        </w:rPr>
      </w:pPr>
    </w:p>
    <w:p>
      <w:pPr>
        <w:ind w:left="360" w:hanging="352"/>
        <w:spacing w:after="0"/>
        <w:tabs>
          <w:tab w:leader="none" w:pos="3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Adjusted Funds From Operations, or "AFFO"</w:t>
      </w:r>
    </w:p>
    <w:p>
      <w:pPr>
        <w:spacing w:after="0" w:line="5" w:lineRule="exact"/>
        <w:rPr>
          <w:rFonts w:ascii="Arial" w:cs="Arial" w:eastAsia="Arial" w:hAnsi="Arial"/>
          <w:sz w:val="16"/>
          <w:szCs w:val="16"/>
          <w:color w:val="auto"/>
        </w:rPr>
      </w:pPr>
    </w:p>
    <w:p>
      <w:pPr>
        <w:ind w:left="360" w:hanging="352"/>
        <w:spacing w:after="0"/>
        <w:tabs>
          <w:tab w:leader="none" w:pos="3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Probability-Weighted Expected Return Method, or "PWERM"</w:t>
      </w:r>
    </w:p>
    <w:p>
      <w:pPr>
        <w:spacing w:after="0" w:line="94" w:lineRule="exact"/>
        <w:rPr>
          <w:rFonts w:ascii="Arial" w:cs="Arial" w:eastAsia="Arial" w:hAnsi="Arial"/>
          <w:sz w:val="16"/>
          <w:szCs w:val="16"/>
          <w:color w:val="auto"/>
        </w:rPr>
      </w:pPr>
    </w:p>
    <w:p>
      <w:pPr>
        <w:ind w:left="380"/>
        <w:spacing w:after="0"/>
        <w:rPr>
          <w:rFonts w:ascii="Arial" w:cs="Arial" w:eastAsia="Arial" w:hAnsi="Arial"/>
          <w:sz w:val="16"/>
          <w:szCs w:val="16"/>
          <w:color w:val="auto"/>
        </w:rPr>
      </w:pPr>
      <w:r>
        <w:rPr>
          <w:rFonts w:ascii="Arial" w:cs="Arial" w:eastAsia="Arial" w:hAnsi="Arial"/>
          <w:sz w:val="18"/>
          <w:szCs w:val="18"/>
          <w:color w:val="auto"/>
        </w:rPr>
        <w:t>The aggregate values of Level 3 assets and liabilities changed during the three months ended March 31, 2021 as follows: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7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200" w:type="dxa"/>
            <w:vAlign w:val="bottom"/>
            <w:tcBorders>
              <w:bottom w:val="single" w:sz="8" w:color="auto"/>
            </w:tcBorders>
            <w:gridSpan w:val="6"/>
          </w:tcPr>
          <w:p>
            <w:pPr>
              <w:jc w:val="center"/>
              <w:ind w:left="701"/>
              <w:spacing w:after="0"/>
              <w:rPr>
                <w:sz w:val="20"/>
                <w:szCs w:val="20"/>
                <w:color w:val="auto"/>
              </w:rPr>
            </w:pPr>
            <w:r>
              <w:rPr>
                <w:rFonts w:ascii="Arial" w:cs="Arial" w:eastAsia="Arial" w:hAnsi="Arial"/>
                <w:sz w:val="14"/>
                <w:szCs w:val="14"/>
                <w:b w:val="1"/>
                <w:bCs w:val="1"/>
                <w:color w:val="auto"/>
                <w:w w:val="95"/>
              </w:rPr>
              <w:t>Three Months Ended March 31, 2021</w:t>
            </w: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3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80" w:type="dxa"/>
            <w:vAlign w:val="bottom"/>
            <w:gridSpan w:val="2"/>
          </w:tcPr>
          <w:p>
            <w:pPr>
              <w:jc w:val="center"/>
              <w:ind w:right="360"/>
              <w:spacing w:after="0" w:line="135" w:lineRule="exact"/>
              <w:rPr>
                <w:sz w:val="20"/>
                <w:szCs w:val="20"/>
                <w:color w:val="auto"/>
              </w:rPr>
            </w:pPr>
            <w:r>
              <w:rPr>
                <w:rFonts w:ascii="Arial" w:cs="Arial" w:eastAsia="Arial" w:hAnsi="Arial"/>
                <w:sz w:val="14"/>
                <w:szCs w:val="14"/>
                <w:b w:val="1"/>
                <w:bCs w:val="1"/>
                <w:color w:val="auto"/>
                <w:w w:val="92"/>
              </w:rPr>
              <w:t>Common</w:t>
            </w:r>
          </w:p>
        </w:tc>
        <w:tc>
          <w:tcPr>
            <w:tcW w:w="240" w:type="dxa"/>
            <w:vAlign w:val="bottom"/>
          </w:tcPr>
          <w:p>
            <w:pPr>
              <w:spacing w:after="0"/>
              <w:rPr>
                <w:sz w:val="11"/>
                <w:szCs w:val="11"/>
                <w:color w:val="auto"/>
              </w:rPr>
            </w:pPr>
          </w:p>
        </w:tc>
        <w:tc>
          <w:tcPr>
            <w:tcW w:w="1280" w:type="dxa"/>
            <w:vAlign w:val="bottom"/>
            <w:gridSpan w:val="2"/>
          </w:tcPr>
          <w:p>
            <w:pPr>
              <w:jc w:val="center"/>
              <w:ind w:right="360"/>
              <w:spacing w:after="0" w:line="135" w:lineRule="exact"/>
              <w:rPr>
                <w:sz w:val="20"/>
                <w:szCs w:val="20"/>
                <w:color w:val="auto"/>
              </w:rPr>
            </w:pPr>
            <w:r>
              <w:rPr>
                <w:rFonts w:ascii="Arial" w:cs="Arial" w:eastAsia="Arial" w:hAnsi="Arial"/>
                <w:sz w:val="14"/>
                <w:szCs w:val="14"/>
                <w:b w:val="1"/>
                <w:bCs w:val="1"/>
                <w:color w:val="auto"/>
                <w:w w:val="96"/>
              </w:rPr>
              <w:t>Preferred</w:t>
            </w:r>
          </w:p>
        </w:tc>
        <w:tc>
          <w:tcPr>
            <w:tcW w:w="220" w:type="dxa"/>
            <w:vAlign w:val="bottom"/>
          </w:tcPr>
          <w:p>
            <w:pPr>
              <w:spacing w:after="0"/>
              <w:rPr>
                <w:sz w:val="11"/>
                <w:szCs w:val="11"/>
                <w:color w:val="auto"/>
              </w:rPr>
            </w:pPr>
          </w:p>
        </w:tc>
        <w:tc>
          <w:tcPr>
            <w:tcW w:w="1300" w:type="dxa"/>
            <w:vAlign w:val="bottom"/>
            <w:gridSpan w:val="2"/>
          </w:tcPr>
          <w:p>
            <w:pPr>
              <w:jc w:val="center"/>
              <w:ind w:right="320"/>
              <w:spacing w:after="0" w:line="135" w:lineRule="exact"/>
              <w:rPr>
                <w:sz w:val="20"/>
                <w:szCs w:val="20"/>
                <w:color w:val="auto"/>
              </w:rPr>
            </w:pPr>
            <w:r>
              <w:rPr>
                <w:rFonts w:ascii="Arial" w:cs="Arial" w:eastAsia="Arial" w:hAnsi="Arial"/>
                <w:sz w:val="14"/>
                <w:szCs w:val="14"/>
                <w:b w:val="1"/>
                <w:bCs w:val="1"/>
                <w:color w:val="auto"/>
                <w:w w:val="96"/>
              </w:rPr>
              <w:t>Debt</w:t>
            </w:r>
          </w:p>
        </w:tc>
        <w:tc>
          <w:tcPr>
            <w:tcW w:w="400" w:type="dxa"/>
            <w:vAlign w:val="bottom"/>
          </w:tcPr>
          <w:p>
            <w:pPr>
              <w:spacing w:after="0"/>
              <w:rPr>
                <w:sz w:val="11"/>
                <w:szCs w:val="11"/>
                <w:color w:val="auto"/>
              </w:rPr>
            </w:pPr>
          </w:p>
        </w:tc>
        <w:tc>
          <w:tcPr>
            <w:tcW w:w="11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Options</w:t>
            </w:r>
          </w:p>
        </w:tc>
        <w:tc>
          <w:tcPr>
            <w:tcW w:w="300" w:type="dxa"/>
            <w:vAlign w:val="bottom"/>
          </w:tcPr>
          <w:p>
            <w:pPr>
              <w:spacing w:after="0"/>
              <w:rPr>
                <w:sz w:val="11"/>
                <w:szCs w:val="11"/>
                <w:color w:val="auto"/>
              </w:rPr>
            </w:pPr>
          </w:p>
        </w:tc>
        <w:tc>
          <w:tcPr>
            <w:tcW w:w="1140" w:type="dxa"/>
            <w:vAlign w:val="bottom"/>
            <w:vMerge w:val="restart"/>
          </w:tcPr>
          <w:p>
            <w:pPr>
              <w:jc w:val="right"/>
              <w:ind w:right="4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3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9"/>
              </w:rPr>
              <w:t>Stock</w:t>
            </w:r>
          </w:p>
        </w:tc>
        <w:tc>
          <w:tcPr>
            <w:tcW w:w="240" w:type="dxa"/>
            <w:vAlign w:val="bottom"/>
          </w:tcPr>
          <w:p>
            <w:pPr>
              <w:spacing w:after="0"/>
              <w:rPr>
                <w:sz w:val="16"/>
                <w:szCs w:val="16"/>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4"/>
              </w:rPr>
              <w:t>Stock</w:t>
            </w:r>
          </w:p>
        </w:tc>
        <w:tc>
          <w:tcPr>
            <w:tcW w:w="220" w:type="dxa"/>
            <w:vAlign w:val="bottom"/>
          </w:tcPr>
          <w:p>
            <w:pPr>
              <w:spacing w:after="0"/>
              <w:rPr>
                <w:sz w:val="16"/>
                <w:szCs w:val="16"/>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Investments</w:t>
            </w:r>
          </w:p>
        </w:tc>
        <w:tc>
          <w:tcPr>
            <w:tcW w:w="40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3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6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700" w:type="dxa"/>
            <w:vAlign w:val="bottom"/>
          </w:tcPr>
          <w:p>
            <w:pPr>
              <w:ind w:left="20"/>
              <w:spacing w:after="0"/>
              <w:rPr>
                <w:sz w:val="20"/>
                <w:szCs w:val="20"/>
                <w:color w:val="auto"/>
              </w:rPr>
            </w:pPr>
            <w:r>
              <w:rPr>
                <w:rFonts w:ascii="Arial" w:cs="Arial" w:eastAsia="Arial" w:hAnsi="Arial"/>
                <w:sz w:val="16"/>
                <w:szCs w:val="16"/>
                <w:color w:val="auto"/>
              </w:rPr>
              <w:t>Fair Value as of December 31, 2020</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34,190,839</w:t>
            </w:r>
          </w:p>
        </w:tc>
        <w:tc>
          <w:tcPr>
            <w:tcW w:w="12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141,235,987</w:t>
            </w:r>
          </w:p>
        </w:tc>
        <w:tc>
          <w:tcPr>
            <w:tcW w:w="12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1"/>
              <w:spacing w:after="0"/>
              <w:rPr>
                <w:sz w:val="20"/>
                <w:szCs w:val="20"/>
                <w:color w:val="auto"/>
              </w:rPr>
            </w:pPr>
            <w:r>
              <w:rPr>
                <w:rFonts w:ascii="Arial" w:cs="Arial" w:eastAsia="Arial" w:hAnsi="Arial"/>
                <w:sz w:val="16"/>
                <w:szCs w:val="16"/>
                <w:color w:val="auto"/>
              </w:rPr>
              <w:t>4,845,340</w:t>
            </w:r>
          </w:p>
        </w:tc>
        <w:tc>
          <w:tcPr>
            <w:tcW w:w="100" w:type="dxa"/>
            <w:vAlign w:val="bottom"/>
          </w:tcPr>
          <w:p>
            <w:pPr>
              <w:spacing w:after="0"/>
              <w:rPr>
                <w:sz w:val="18"/>
                <w:szCs w:val="18"/>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5,872,210</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186,144,376</w:t>
            </w:r>
          </w:p>
        </w:tc>
        <w:tc>
          <w:tcPr>
            <w:tcW w:w="0" w:type="dxa"/>
            <w:vAlign w:val="bottom"/>
          </w:tcPr>
          <w:p>
            <w:pPr>
              <w:spacing w:after="0"/>
              <w:rPr>
                <w:sz w:val="1"/>
                <w:szCs w:val="1"/>
                <w:color w:val="auto"/>
              </w:rPr>
            </w:pPr>
          </w:p>
        </w:tc>
      </w:tr>
      <w:tr>
        <w:trPr>
          <w:trHeight w:val="219"/>
        </w:trPr>
        <w:tc>
          <w:tcPr>
            <w:tcW w:w="3700" w:type="dxa"/>
            <w:vAlign w:val="bottom"/>
            <w:shd w:val="clear" w:color="auto" w:fill="CCEEFF"/>
          </w:tcPr>
          <w:p>
            <w:pPr>
              <w:ind w:left="20"/>
              <w:spacing w:after="0" w:line="219" w:lineRule="exact"/>
              <w:rPr>
                <w:sz w:val="20"/>
                <w:szCs w:val="20"/>
                <w:color w:val="auto"/>
              </w:rPr>
            </w:pPr>
            <w:r>
              <w:rPr>
                <w:rFonts w:ascii="Arial" w:cs="Arial" w:eastAsia="Arial" w:hAnsi="Arial"/>
                <w:sz w:val="16"/>
                <w:szCs w:val="16"/>
                <w:color w:val="auto"/>
              </w:rPr>
              <w:t>Transfers out of Level 3</w:t>
            </w:r>
            <w:r>
              <w:rPr>
                <w:rFonts w:ascii="Arial" w:cs="Arial" w:eastAsia="Arial" w:hAnsi="Arial"/>
                <w:sz w:val="21"/>
                <w:szCs w:val="21"/>
                <w:color w:val="auto"/>
                <w:vertAlign w:val="superscript"/>
              </w:rPr>
              <w:t>(1)</w:t>
            </w:r>
          </w:p>
        </w:tc>
        <w:tc>
          <w:tcPr>
            <w:tcW w:w="2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(122,006,079)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(1,619,463)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(123,625,542)</w:t>
            </w:r>
          </w:p>
        </w:tc>
        <w:tc>
          <w:tcPr>
            <w:tcW w:w="0" w:type="dxa"/>
            <w:vAlign w:val="bottom"/>
          </w:tcPr>
          <w:p>
            <w:pPr>
              <w:spacing w:after="0"/>
              <w:rPr>
                <w:sz w:val="1"/>
                <w:szCs w:val="1"/>
                <w:color w:val="auto"/>
              </w:rPr>
            </w:pPr>
          </w:p>
        </w:tc>
      </w:tr>
      <w:tr>
        <w:trPr>
          <w:trHeight w:val="213"/>
        </w:trPr>
        <w:tc>
          <w:tcPr>
            <w:tcW w:w="3700" w:type="dxa"/>
            <w:vAlign w:val="bottom"/>
          </w:tcPr>
          <w:p>
            <w:pPr>
              <w:ind w:left="20"/>
              <w:spacing w:after="0"/>
              <w:rPr>
                <w:sz w:val="20"/>
                <w:szCs w:val="20"/>
                <w:color w:val="auto"/>
              </w:rPr>
            </w:pPr>
            <w:r>
              <w:rPr>
                <w:rFonts w:ascii="Arial" w:cs="Arial" w:eastAsia="Arial" w:hAnsi="Arial"/>
                <w:sz w:val="16"/>
                <w:szCs w:val="16"/>
                <w:color w:val="auto"/>
              </w:rPr>
              <w:t>Purchases, capitalized fees, and interest</w:t>
            </w: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1,340,435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7,003,318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1,159,883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9,503,636</w:t>
            </w:r>
          </w:p>
        </w:tc>
        <w:tc>
          <w:tcPr>
            <w:tcW w:w="0" w:type="dxa"/>
            <w:vAlign w:val="bottom"/>
          </w:tcPr>
          <w:p>
            <w:pPr>
              <w:spacing w:after="0"/>
              <w:rPr>
                <w:sz w:val="1"/>
                <w:szCs w:val="1"/>
                <w:color w:val="auto"/>
              </w:rPr>
            </w:pPr>
          </w:p>
        </w:tc>
      </w:tr>
      <w:tr>
        <w:trPr>
          <w:trHeight w:val="219"/>
        </w:trPr>
        <w:tc>
          <w:tcPr>
            <w:tcW w:w="3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Sales/Maturity of investments</w:t>
            </w:r>
          </w:p>
        </w:tc>
        <w:tc>
          <w:tcPr>
            <w:tcW w:w="2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(250,000)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(250,000)</w:t>
            </w:r>
          </w:p>
        </w:tc>
        <w:tc>
          <w:tcPr>
            <w:tcW w:w="0" w:type="dxa"/>
            <w:vAlign w:val="bottom"/>
          </w:tcPr>
          <w:p>
            <w:pPr>
              <w:spacing w:after="0"/>
              <w:rPr>
                <w:sz w:val="1"/>
                <w:szCs w:val="1"/>
                <w:color w:val="auto"/>
              </w:rPr>
            </w:pPr>
          </w:p>
        </w:tc>
      </w:tr>
      <w:tr>
        <w:trPr>
          <w:trHeight w:val="213"/>
        </w:trPr>
        <w:tc>
          <w:tcPr>
            <w:tcW w:w="3700" w:type="dxa"/>
            <w:vAlign w:val="bottom"/>
          </w:tcPr>
          <w:p>
            <w:pPr>
              <w:ind w:left="20"/>
              <w:spacing w:after="0"/>
              <w:rPr>
                <w:sz w:val="20"/>
                <w:szCs w:val="20"/>
                <w:color w:val="auto"/>
              </w:rPr>
            </w:pPr>
            <w:r>
              <w:rPr>
                <w:rFonts w:ascii="Arial" w:cs="Arial" w:eastAsia="Arial" w:hAnsi="Arial"/>
                <w:sz w:val="16"/>
                <w:szCs w:val="16"/>
                <w:color w:val="auto"/>
              </w:rPr>
              <w:t>Realized gains</w:t>
            </w:r>
          </w:p>
        </w:tc>
        <w:tc>
          <w:tcPr>
            <w:tcW w:w="26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9"/>
        </w:trPr>
        <w:tc>
          <w:tcPr>
            <w:tcW w:w="370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w w:val="98"/>
              </w:rPr>
              <w:t>Net change in unrealized appreciation/(depreciation)</w:t>
            </w:r>
          </w:p>
        </w:tc>
        <w:tc>
          <w:tcPr>
            <w:tcW w:w="260" w:type="dxa"/>
            <w:vAlign w:val="bottom"/>
            <w:shd w:val="clear" w:color="auto" w:fill="CCEEFF"/>
          </w:tcPr>
          <w:p>
            <w:pPr>
              <w:spacing w:after="0"/>
              <w:rPr>
                <w:sz w:val="14"/>
                <w:szCs w:val="14"/>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9,628,465</w:t>
            </w: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66,759,684</w:t>
            </w: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3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4"/>
                <w:szCs w:val="14"/>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(636,252)</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75,751,897</w:t>
            </w:r>
          </w:p>
        </w:tc>
        <w:tc>
          <w:tcPr>
            <w:tcW w:w="0" w:type="dxa"/>
            <w:vAlign w:val="bottom"/>
          </w:tcPr>
          <w:p>
            <w:pPr>
              <w:spacing w:after="0"/>
              <w:rPr>
                <w:sz w:val="1"/>
                <w:szCs w:val="1"/>
                <w:color w:val="auto"/>
              </w:rPr>
            </w:pPr>
          </w:p>
        </w:tc>
      </w:tr>
      <w:tr>
        <w:trPr>
          <w:trHeight w:val="209"/>
        </w:trPr>
        <w:tc>
          <w:tcPr>
            <w:tcW w:w="3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included in earnings</w:t>
            </w:r>
          </w:p>
        </w:tc>
        <w:tc>
          <w:tcPr>
            <w:tcW w:w="260" w:type="dxa"/>
            <w:vAlign w:val="bottom"/>
            <w:shd w:val="clear" w:color="auto" w:fill="CCEEFF"/>
          </w:tcPr>
          <w:p>
            <w:pPr>
              <w:spacing w:after="0"/>
              <w:rPr>
                <w:sz w:val="18"/>
                <w:szCs w:val="18"/>
                <w:color w:val="auto"/>
              </w:rPr>
            </w:pPr>
          </w:p>
        </w:tc>
        <w:tc>
          <w:tcPr>
            <w:tcW w:w="11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gridSpan w:val="2"/>
            <w:vMerge w:val="continue"/>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700" w:type="dxa"/>
            <w:vAlign w:val="bottom"/>
          </w:tcPr>
          <w:p>
            <w:pPr>
              <w:ind w:left="20"/>
              <w:spacing w:after="0"/>
              <w:rPr>
                <w:sz w:val="20"/>
                <w:szCs w:val="20"/>
                <w:color w:val="auto"/>
              </w:rPr>
            </w:pPr>
            <w:r>
              <w:rPr>
                <w:rFonts w:ascii="Arial" w:cs="Arial" w:eastAsia="Arial" w:hAnsi="Arial"/>
                <w:sz w:val="16"/>
                <w:szCs w:val="16"/>
                <w:color w:val="auto"/>
              </w:rPr>
              <w:t>Fair Value as of March 31, 2021</w:t>
            </w: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45,159,739</w:t>
            </w: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92,992,910</w:t>
            </w:r>
          </w:p>
        </w:tc>
        <w:tc>
          <w:tcPr>
            <w:tcW w:w="12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rPr>
              <w:t>4,595,340</w:t>
            </w:r>
          </w:p>
        </w:tc>
        <w:tc>
          <w:tcPr>
            <w:tcW w:w="100" w:type="dxa"/>
            <w:vAlign w:val="bottom"/>
          </w:tcPr>
          <w:p>
            <w:pPr>
              <w:spacing w:after="0"/>
              <w:rPr>
                <w:sz w:val="18"/>
                <w:szCs w:val="18"/>
                <w:color w:val="auto"/>
              </w:rPr>
            </w:pPr>
          </w:p>
        </w:tc>
        <w:tc>
          <w:tcPr>
            <w:tcW w:w="40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4,776,378</w:t>
            </w:r>
          </w:p>
        </w:tc>
        <w:tc>
          <w:tcPr>
            <w:tcW w:w="10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147,524,367</w:t>
            </w:r>
          </w:p>
        </w:tc>
        <w:tc>
          <w:tcPr>
            <w:tcW w:w="0" w:type="dxa"/>
            <w:vAlign w:val="bottom"/>
          </w:tcPr>
          <w:p>
            <w:pPr>
              <w:spacing w:after="0"/>
              <w:rPr>
                <w:sz w:val="1"/>
                <w:szCs w:val="1"/>
                <w:color w:val="auto"/>
              </w:rPr>
            </w:pPr>
          </w:p>
        </w:tc>
      </w:tr>
      <w:tr>
        <w:trPr>
          <w:trHeight w:val="20"/>
        </w:trPr>
        <w:tc>
          <w:tcPr>
            <w:tcW w:w="37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3700" w:type="dxa"/>
            <w:vAlign w:val="bottom"/>
            <w:shd w:val="clear" w:color="auto" w:fill="CCEEFF"/>
          </w:tcPr>
          <w:p>
            <w:pPr>
              <w:ind w:left="20"/>
              <w:spacing w:after="0" w:line="133" w:lineRule="exact"/>
              <w:rPr>
                <w:sz w:val="20"/>
                <w:szCs w:val="20"/>
                <w:color w:val="auto"/>
              </w:rPr>
            </w:pPr>
            <w:r>
              <w:rPr>
                <w:rFonts w:ascii="Arial" w:cs="Arial" w:eastAsia="Arial" w:hAnsi="Arial"/>
                <w:sz w:val="15"/>
                <w:szCs w:val="15"/>
                <w:color w:val="auto"/>
                <w:w w:val="99"/>
              </w:rPr>
              <w:t>Net change in unrealized appreciation/ (depreciation) of</w:t>
            </w:r>
          </w:p>
        </w:tc>
        <w:tc>
          <w:tcPr>
            <w:tcW w:w="260" w:type="dxa"/>
            <w:vAlign w:val="bottom"/>
            <w:vMerge w:val="restart"/>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9,628,465</w:t>
            </w:r>
          </w:p>
        </w:tc>
        <w:tc>
          <w:tcPr>
            <w:tcW w:w="120" w:type="dxa"/>
            <w:vAlign w:val="bottom"/>
            <w:shd w:val="clear" w:color="auto" w:fill="CCEEFF"/>
          </w:tcPr>
          <w:p>
            <w:pPr>
              <w:spacing w:after="0"/>
              <w:rPr>
                <w:sz w:val="11"/>
                <w:szCs w:val="11"/>
                <w:color w:val="auto"/>
              </w:rPr>
            </w:pPr>
          </w:p>
        </w:tc>
        <w:tc>
          <w:tcPr>
            <w:tcW w:w="240" w:type="dxa"/>
            <w:vAlign w:val="bottom"/>
            <w:vMerge w:val="restart"/>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(2,064,260)</w:t>
            </w:r>
          </w:p>
        </w:tc>
        <w:tc>
          <w:tcPr>
            <w:tcW w:w="120" w:type="dxa"/>
            <w:vAlign w:val="bottom"/>
            <w:shd w:val="clear" w:color="auto" w:fill="CCEEFF"/>
          </w:tcPr>
          <w:p>
            <w:pPr>
              <w:spacing w:after="0"/>
              <w:rPr>
                <w:sz w:val="11"/>
                <w:szCs w:val="11"/>
                <w:color w:val="auto"/>
              </w:rPr>
            </w:pPr>
          </w:p>
        </w:tc>
        <w:tc>
          <w:tcPr>
            <w:tcW w:w="22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00" w:type="dxa"/>
            <w:vAlign w:val="bottom"/>
            <w:vMerge w:val="restart"/>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299,737</w:t>
            </w:r>
          </w:p>
        </w:tc>
        <w:tc>
          <w:tcPr>
            <w:tcW w:w="100" w:type="dxa"/>
            <w:vAlign w:val="bottom"/>
            <w:shd w:val="clear" w:color="auto" w:fill="CCEEFF"/>
          </w:tcPr>
          <w:p>
            <w:pPr>
              <w:spacing w:after="0"/>
              <w:rPr>
                <w:sz w:val="11"/>
                <w:szCs w:val="11"/>
                <w:color w:val="auto"/>
              </w:rPr>
            </w:pPr>
          </w:p>
        </w:tc>
        <w:tc>
          <w:tcPr>
            <w:tcW w:w="300" w:type="dxa"/>
            <w:vAlign w:val="bottom"/>
            <w:vMerge w:val="restart"/>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7,863,942</w:t>
            </w:r>
          </w:p>
        </w:tc>
        <w:tc>
          <w:tcPr>
            <w:tcW w:w="0" w:type="dxa"/>
            <w:vAlign w:val="bottom"/>
          </w:tcPr>
          <w:p>
            <w:pPr>
              <w:spacing w:after="0"/>
              <w:rPr>
                <w:sz w:val="1"/>
                <w:szCs w:val="1"/>
                <w:color w:val="auto"/>
              </w:rPr>
            </w:pPr>
          </w:p>
        </w:tc>
      </w:tr>
      <w:tr>
        <w:trPr>
          <w:trHeight w:val="205"/>
        </w:trPr>
        <w:tc>
          <w:tcPr>
            <w:tcW w:w="3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Level 3 investments still held as of March 31, 2021</w:t>
            </w:r>
          </w:p>
        </w:tc>
        <w:tc>
          <w:tcPr>
            <w:tcW w:w="260" w:type="dxa"/>
            <w:vAlign w:val="bottom"/>
            <w:vMerge w:val="continue"/>
            <w:shd w:val="clear" w:color="auto" w:fill="CCEEFF"/>
          </w:tcPr>
          <w:p>
            <w:pPr>
              <w:spacing w:after="0"/>
              <w:rPr>
                <w:sz w:val="17"/>
                <w:szCs w:val="17"/>
                <w:color w:val="auto"/>
              </w:rPr>
            </w:pPr>
          </w:p>
        </w:tc>
        <w:tc>
          <w:tcPr>
            <w:tcW w:w="116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vMerge w:val="continue"/>
            <w:shd w:val="clear" w:color="auto" w:fill="CCEEFF"/>
          </w:tcPr>
          <w:p>
            <w:pPr>
              <w:spacing w:after="0"/>
              <w:rPr>
                <w:sz w:val="17"/>
                <w:szCs w:val="17"/>
                <w:color w:val="auto"/>
              </w:rPr>
            </w:pPr>
          </w:p>
        </w:tc>
        <w:tc>
          <w:tcPr>
            <w:tcW w:w="116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vMerge w:val="continue"/>
            <w:shd w:val="clear" w:color="auto" w:fill="CCEEFF"/>
          </w:tcPr>
          <w:p>
            <w:pPr>
              <w:spacing w:after="0"/>
              <w:rPr>
                <w:sz w:val="17"/>
                <w:szCs w:val="17"/>
                <w:color w:val="auto"/>
              </w:rPr>
            </w:pPr>
          </w:p>
        </w:tc>
        <w:tc>
          <w:tcPr>
            <w:tcW w:w="1300" w:type="dxa"/>
            <w:vAlign w:val="bottom"/>
            <w:gridSpan w:val="2"/>
            <w:vMerge w:val="continue"/>
            <w:shd w:val="clear" w:color="auto" w:fill="CCEEFF"/>
          </w:tcPr>
          <w:p>
            <w:pPr>
              <w:spacing w:after="0"/>
              <w:rPr>
                <w:sz w:val="17"/>
                <w:szCs w:val="17"/>
                <w:color w:val="auto"/>
              </w:rPr>
            </w:pPr>
          </w:p>
        </w:tc>
        <w:tc>
          <w:tcPr>
            <w:tcW w:w="400" w:type="dxa"/>
            <w:vAlign w:val="bottom"/>
            <w:vMerge w:val="continue"/>
            <w:shd w:val="clear" w:color="auto" w:fill="CCEEFF"/>
          </w:tcPr>
          <w:p>
            <w:pPr>
              <w:spacing w:after="0"/>
              <w:rPr>
                <w:sz w:val="17"/>
                <w:szCs w:val="17"/>
                <w:color w:val="auto"/>
              </w:rPr>
            </w:pPr>
          </w:p>
        </w:tc>
        <w:tc>
          <w:tcPr>
            <w:tcW w:w="10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vMerge w:val="continue"/>
            <w:shd w:val="clear" w:color="auto" w:fill="CCEEFF"/>
          </w:tcPr>
          <w:p>
            <w:pPr>
              <w:spacing w:after="0"/>
              <w:rPr>
                <w:sz w:val="17"/>
                <w:szCs w:val="17"/>
                <w:color w:val="auto"/>
              </w:rPr>
            </w:pPr>
          </w:p>
        </w:tc>
        <w:tc>
          <w:tcPr>
            <w:tcW w:w="11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7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w:t>
      </w:r>
    </w:p>
    <w:p>
      <w:pPr>
        <w:spacing w:after="0" w:line="23" w:lineRule="exact"/>
        <w:rPr>
          <w:sz w:val="20"/>
          <w:szCs w:val="20"/>
          <w:color w:val="auto"/>
        </w:rPr>
      </w:pPr>
    </w:p>
    <w:p>
      <w:pPr>
        <w:spacing w:after="0"/>
        <w:tabs>
          <w:tab w:leader="none" w:pos="340" w:val="left"/>
        </w:tabs>
        <w:rPr>
          <w:sz w:val="20"/>
          <w:szCs w:val="20"/>
          <w:color w:val="auto"/>
        </w:rPr>
      </w:pPr>
      <w:r>
        <w:rPr>
          <w:rFonts w:ascii="Arial" w:cs="Arial" w:eastAsia="Arial" w:hAnsi="Arial"/>
          <w:sz w:val="16"/>
          <w:szCs w:val="16"/>
          <w:color w:val="auto"/>
        </w:rPr>
        <w:t>(1)</w:t>
      </w:r>
      <w:r>
        <w:rPr>
          <w:sz w:val="20"/>
          <w:szCs w:val="20"/>
          <w:color w:val="auto"/>
        </w:rPr>
        <w:tab/>
      </w:r>
      <w:r>
        <w:rPr>
          <w:rFonts w:ascii="Arial" w:cs="Arial" w:eastAsia="Arial" w:hAnsi="Arial"/>
          <w:sz w:val="14"/>
          <w:szCs w:val="14"/>
          <w:color w:val="auto"/>
        </w:rPr>
        <w:t>During the three months ended March 31, 2021, the Company’s portfolio investments had the following corporate actions which are reflected above:</w:t>
      </w:r>
    </w:p>
    <w:p>
      <w:pPr>
        <w:spacing w:after="0" w:line="126" w:lineRule="exact"/>
        <w:rPr>
          <w:sz w:val="20"/>
          <w:szCs w:val="20"/>
          <w:color w:val="auto"/>
        </w:rPr>
      </w:pPr>
    </w:p>
    <w:p>
      <w:pPr>
        <w:ind w:left="20"/>
        <w:spacing w:after="0"/>
        <w:tabs>
          <w:tab w:leader="none" w:pos="4600" w:val="left"/>
          <w:tab w:leader="none" w:pos="8720" w:val="left"/>
        </w:tabs>
        <w:rPr>
          <w:sz w:val="20"/>
          <w:szCs w:val="20"/>
          <w:color w:val="auto"/>
        </w:rPr>
      </w:pPr>
      <w:r>
        <w:rPr>
          <w:rFonts w:ascii="Arial" w:cs="Arial" w:eastAsia="Arial" w:hAnsi="Arial"/>
          <w:sz w:val="16"/>
          <w:szCs w:val="16"/>
          <w:b w:val="1"/>
          <w:bCs w:val="1"/>
          <w:color w:val="auto"/>
        </w:rPr>
        <w:t>Portfolio Company</w:t>
      </w:r>
      <w:r>
        <w:rPr>
          <w:sz w:val="20"/>
          <w:szCs w:val="20"/>
          <w:color w:val="auto"/>
        </w:rPr>
        <w:tab/>
      </w:r>
      <w:r>
        <w:rPr>
          <w:rFonts w:ascii="Arial" w:cs="Arial" w:eastAsia="Arial" w:hAnsi="Arial"/>
          <w:sz w:val="16"/>
          <w:szCs w:val="16"/>
          <w:b w:val="1"/>
          <w:bCs w:val="1"/>
          <w:color w:val="auto"/>
        </w:rPr>
        <w:t>Conversion from</w:t>
      </w:r>
      <w:r>
        <w:rPr>
          <w:sz w:val="20"/>
          <w:szCs w:val="20"/>
          <w:color w:val="auto"/>
        </w:rPr>
        <w:tab/>
      </w:r>
      <w:r>
        <w:rPr>
          <w:rFonts w:ascii="Arial" w:cs="Arial" w:eastAsia="Arial" w:hAnsi="Arial"/>
          <w:sz w:val="14"/>
          <w:szCs w:val="14"/>
          <w:b w:val="1"/>
          <w:bCs w:val="1"/>
          <w:color w:val="auto"/>
        </w:rPr>
        <w:t>Conversion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24828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24828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3200" w:type="dxa"/>
            <w:vAlign w:val="bottom"/>
            <w:tcBorders>
              <w:top w:val="single" w:sz="8" w:color="auto"/>
            </w:tcBorders>
            <w:vMerge w:val="restart"/>
          </w:tcPr>
          <w:p>
            <w:pPr>
              <w:ind w:left="20"/>
              <w:spacing w:after="0"/>
              <w:rPr>
                <w:sz w:val="20"/>
                <w:szCs w:val="20"/>
                <w:color w:val="auto"/>
              </w:rPr>
            </w:pPr>
            <w:r>
              <w:rPr>
                <w:rFonts w:ascii="Arial" w:cs="Arial" w:eastAsia="Arial" w:hAnsi="Arial"/>
                <w:sz w:val="16"/>
                <w:szCs w:val="16"/>
                <w:color w:val="auto"/>
              </w:rPr>
              <w:t>Coursera, Inc.</w:t>
            </w:r>
          </w:p>
        </w:tc>
        <w:tc>
          <w:tcPr>
            <w:tcW w:w="100" w:type="dxa"/>
            <w:vAlign w:val="bottom"/>
            <w:vMerge w:val="restart"/>
          </w:tcPr>
          <w:p>
            <w:pPr>
              <w:spacing w:after="0"/>
              <w:rPr>
                <w:sz w:val="14"/>
                <w:szCs w:val="14"/>
                <w:color w:val="auto"/>
              </w:rPr>
            </w:pPr>
          </w:p>
        </w:tc>
        <w:tc>
          <w:tcPr>
            <w:tcW w:w="3800" w:type="dxa"/>
            <w:vAlign w:val="bottom"/>
            <w:tcBorders>
              <w:top w:val="single" w:sz="8" w:color="auto"/>
            </w:tcBorders>
          </w:tcPr>
          <w:p>
            <w:pPr>
              <w:ind w:left="940"/>
              <w:spacing w:after="0" w:line="165" w:lineRule="exact"/>
              <w:rPr>
                <w:sz w:val="20"/>
                <w:szCs w:val="20"/>
                <w:color w:val="auto"/>
              </w:rPr>
            </w:pPr>
            <w:r>
              <w:rPr>
                <w:rFonts w:ascii="Arial" w:cs="Arial" w:eastAsia="Arial" w:hAnsi="Arial"/>
                <w:sz w:val="16"/>
                <w:szCs w:val="16"/>
                <w:color w:val="auto"/>
              </w:rPr>
              <w:t>Preferred shares, Series F 8%</w:t>
            </w:r>
          </w:p>
        </w:tc>
        <w:tc>
          <w:tcPr>
            <w:tcW w:w="0" w:type="dxa"/>
            <w:vAlign w:val="bottom"/>
          </w:tcPr>
          <w:p>
            <w:pPr>
              <w:spacing w:after="0"/>
              <w:rPr>
                <w:sz w:val="1"/>
                <w:szCs w:val="1"/>
                <w:color w:val="auto"/>
              </w:rPr>
            </w:pPr>
          </w:p>
        </w:tc>
      </w:tr>
      <w:tr>
        <w:trPr>
          <w:trHeight w:val="125"/>
        </w:trPr>
        <w:tc>
          <w:tcPr>
            <w:tcW w:w="3200" w:type="dxa"/>
            <w:vAlign w:val="bottom"/>
            <w:vMerge w:val="continue"/>
          </w:tcPr>
          <w:p>
            <w:pPr>
              <w:spacing w:after="0"/>
              <w:rPr>
                <w:sz w:val="10"/>
                <w:szCs w:val="10"/>
                <w:color w:val="auto"/>
              </w:rPr>
            </w:pPr>
          </w:p>
        </w:tc>
        <w:tc>
          <w:tcPr>
            <w:tcW w:w="100" w:type="dxa"/>
            <w:vAlign w:val="bottom"/>
            <w:vMerge w:val="continue"/>
          </w:tcPr>
          <w:p>
            <w:pPr>
              <w:spacing w:after="0"/>
              <w:rPr>
                <w:sz w:val="10"/>
                <w:szCs w:val="10"/>
                <w:color w:val="auto"/>
              </w:rPr>
            </w:pPr>
          </w:p>
        </w:tc>
        <w:tc>
          <w:tcPr>
            <w:tcW w:w="3800" w:type="dxa"/>
            <w:vAlign w:val="bottom"/>
            <w:vMerge w:val="restart"/>
          </w:tcPr>
          <w:p>
            <w:pPr>
              <w:ind w:left="940"/>
              <w:spacing w:after="0"/>
              <w:rPr>
                <w:sz w:val="20"/>
                <w:szCs w:val="20"/>
                <w:color w:val="auto"/>
              </w:rPr>
            </w:pPr>
            <w:r>
              <w:rPr>
                <w:rFonts w:ascii="Arial" w:cs="Arial" w:eastAsia="Arial" w:hAnsi="Arial"/>
                <w:sz w:val="16"/>
                <w:szCs w:val="16"/>
                <w:color w:val="auto"/>
              </w:rPr>
              <w:t>Preferred shares, Series B 8%</w:t>
            </w:r>
          </w:p>
        </w:tc>
        <w:tc>
          <w:tcPr>
            <w:tcW w:w="0" w:type="dxa"/>
            <w:vAlign w:val="bottom"/>
          </w:tcPr>
          <w:p>
            <w:pPr>
              <w:spacing w:after="0"/>
              <w:rPr>
                <w:sz w:val="1"/>
                <w:szCs w:val="1"/>
                <w:color w:val="auto"/>
              </w:rPr>
            </w:pPr>
          </w:p>
        </w:tc>
      </w:tr>
      <w:tr>
        <w:trPr>
          <w:trHeight w:val="81"/>
        </w:trPr>
        <w:tc>
          <w:tcPr>
            <w:tcW w:w="3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38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spacing w:after="0"/>
        <w:rPr>
          <w:sz w:val="20"/>
          <w:szCs w:val="20"/>
          <w:color w:val="auto"/>
        </w:rPr>
      </w:pPr>
      <w:r>
        <w:rPr>
          <w:rFonts w:ascii="Arial" w:cs="Arial" w:eastAsia="Arial" w:hAnsi="Arial"/>
          <w:sz w:val="14"/>
          <w:szCs w:val="14"/>
          <w:color w:val="auto"/>
        </w:rPr>
        <w:t>Public Common shares (Level 2)</w:t>
      </w:r>
    </w:p>
    <w:p>
      <w:pPr>
        <w:spacing w:after="0" w:line="226" w:lineRule="exact"/>
        <w:rPr>
          <w:sz w:val="20"/>
          <w:szCs w:val="20"/>
          <w:color w:val="auto"/>
        </w:rPr>
      </w:pPr>
    </w:p>
    <w:p>
      <w:pPr>
        <w:sectPr>
          <w:pgSz w:w="11900" w:h="16838" w:orient="portrait"/>
          <w:cols w:equalWidth="0" w:num="2">
            <w:col w:w="7440" w:space="720"/>
            <w:col w:w="3080"/>
          </w:cols>
          <w:pgMar w:left="320" w:top="121" w:right="339" w:bottom="1440" w:gutter="0" w:footer="0" w:header="0"/>
          <w:type w:val="continuous"/>
        </w:sectPr>
      </w:pPr>
    </w:p>
    <w:p>
      <w:pPr>
        <w:ind w:left="380"/>
        <w:spacing w:after="0"/>
        <w:rPr>
          <w:sz w:val="20"/>
          <w:szCs w:val="20"/>
          <w:color w:val="auto"/>
        </w:rPr>
      </w:pPr>
      <w:r>
        <w:rPr>
          <w:rFonts w:ascii="Arial" w:cs="Arial" w:eastAsia="Arial" w:hAnsi="Arial"/>
          <w:sz w:val="18"/>
          <w:szCs w:val="18"/>
          <w:color w:val="auto"/>
        </w:rPr>
        <w:t>The aggregate values of Level 3 assets and liabilities changed during the year ended December 31, 2020 as follows: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7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120" w:type="dxa"/>
            <w:vAlign w:val="bottom"/>
            <w:tcBorders>
              <w:bottom w:val="single" w:sz="8" w:color="auto"/>
            </w:tcBorders>
            <w:gridSpan w:val="6"/>
          </w:tcPr>
          <w:p>
            <w:pPr>
              <w:jc w:val="center"/>
              <w:ind w:left="801"/>
              <w:spacing w:after="0"/>
              <w:rPr>
                <w:sz w:val="20"/>
                <w:szCs w:val="20"/>
                <w:color w:val="auto"/>
              </w:rPr>
            </w:pPr>
            <w:r>
              <w:rPr>
                <w:rFonts w:ascii="Arial" w:cs="Arial" w:eastAsia="Arial" w:hAnsi="Arial"/>
                <w:sz w:val="14"/>
                <w:szCs w:val="14"/>
                <w:b w:val="1"/>
                <w:bCs w:val="1"/>
                <w:color w:val="auto"/>
                <w:w w:val="92"/>
              </w:rPr>
              <w:t>Year Ended December 31, 2020</w:t>
            </w: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3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80" w:type="dxa"/>
            <w:vAlign w:val="bottom"/>
            <w:gridSpan w:val="2"/>
          </w:tcPr>
          <w:p>
            <w:pPr>
              <w:jc w:val="center"/>
              <w:ind w:right="360"/>
              <w:spacing w:after="0" w:line="135" w:lineRule="exact"/>
              <w:rPr>
                <w:sz w:val="20"/>
                <w:szCs w:val="20"/>
                <w:color w:val="auto"/>
              </w:rPr>
            </w:pPr>
            <w:r>
              <w:rPr>
                <w:rFonts w:ascii="Arial" w:cs="Arial" w:eastAsia="Arial" w:hAnsi="Arial"/>
                <w:sz w:val="14"/>
                <w:szCs w:val="14"/>
                <w:b w:val="1"/>
                <w:bCs w:val="1"/>
                <w:color w:val="auto"/>
                <w:w w:val="92"/>
              </w:rPr>
              <w:t>Common</w:t>
            </w:r>
          </w:p>
        </w:tc>
        <w:tc>
          <w:tcPr>
            <w:tcW w:w="240" w:type="dxa"/>
            <w:vAlign w:val="bottom"/>
          </w:tcPr>
          <w:p>
            <w:pPr>
              <w:spacing w:after="0"/>
              <w:rPr>
                <w:sz w:val="11"/>
                <w:szCs w:val="11"/>
                <w:color w:val="auto"/>
              </w:rPr>
            </w:pPr>
          </w:p>
        </w:tc>
        <w:tc>
          <w:tcPr>
            <w:tcW w:w="1280" w:type="dxa"/>
            <w:vAlign w:val="bottom"/>
            <w:gridSpan w:val="2"/>
          </w:tcPr>
          <w:p>
            <w:pPr>
              <w:jc w:val="center"/>
              <w:ind w:right="360"/>
              <w:spacing w:after="0" w:line="135" w:lineRule="exact"/>
              <w:rPr>
                <w:sz w:val="20"/>
                <w:szCs w:val="20"/>
                <w:color w:val="auto"/>
              </w:rPr>
            </w:pPr>
            <w:r>
              <w:rPr>
                <w:rFonts w:ascii="Arial" w:cs="Arial" w:eastAsia="Arial" w:hAnsi="Arial"/>
                <w:sz w:val="14"/>
                <w:szCs w:val="14"/>
                <w:b w:val="1"/>
                <w:bCs w:val="1"/>
                <w:color w:val="auto"/>
                <w:w w:val="96"/>
              </w:rPr>
              <w:t>Preferred</w:t>
            </w:r>
          </w:p>
        </w:tc>
        <w:tc>
          <w:tcPr>
            <w:tcW w:w="220" w:type="dxa"/>
            <w:vAlign w:val="bottom"/>
          </w:tcPr>
          <w:p>
            <w:pPr>
              <w:spacing w:after="0"/>
              <w:rPr>
                <w:sz w:val="11"/>
                <w:szCs w:val="11"/>
                <w:color w:val="auto"/>
              </w:rPr>
            </w:pPr>
          </w:p>
        </w:tc>
        <w:tc>
          <w:tcPr>
            <w:tcW w:w="1300" w:type="dxa"/>
            <w:vAlign w:val="bottom"/>
            <w:gridSpan w:val="2"/>
          </w:tcPr>
          <w:p>
            <w:pPr>
              <w:jc w:val="center"/>
              <w:ind w:right="320"/>
              <w:spacing w:after="0" w:line="135" w:lineRule="exact"/>
              <w:rPr>
                <w:sz w:val="20"/>
                <w:szCs w:val="20"/>
                <w:color w:val="auto"/>
              </w:rPr>
            </w:pPr>
            <w:r>
              <w:rPr>
                <w:rFonts w:ascii="Arial" w:cs="Arial" w:eastAsia="Arial" w:hAnsi="Arial"/>
                <w:sz w:val="14"/>
                <w:szCs w:val="14"/>
                <w:b w:val="1"/>
                <w:bCs w:val="1"/>
                <w:color w:val="auto"/>
                <w:w w:val="96"/>
              </w:rPr>
              <w:t>Debt</w:t>
            </w:r>
          </w:p>
        </w:tc>
        <w:tc>
          <w:tcPr>
            <w:tcW w:w="320" w:type="dxa"/>
            <w:vAlign w:val="bottom"/>
          </w:tcPr>
          <w:p>
            <w:pPr>
              <w:spacing w:after="0"/>
              <w:rPr>
                <w:sz w:val="11"/>
                <w:szCs w:val="11"/>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Options</w:t>
            </w:r>
          </w:p>
        </w:tc>
        <w:tc>
          <w:tcPr>
            <w:tcW w:w="340" w:type="dxa"/>
            <w:vAlign w:val="bottom"/>
          </w:tcPr>
          <w:p>
            <w:pPr>
              <w:spacing w:after="0"/>
              <w:rPr>
                <w:sz w:val="11"/>
                <w:szCs w:val="11"/>
                <w:color w:val="auto"/>
              </w:rPr>
            </w:pPr>
          </w:p>
        </w:tc>
        <w:tc>
          <w:tcPr>
            <w:tcW w:w="1100" w:type="dxa"/>
            <w:vAlign w:val="bottom"/>
            <w:vMerge w:val="restart"/>
          </w:tcPr>
          <w:p>
            <w:pPr>
              <w:jc w:val="right"/>
              <w:ind w:right="4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3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9"/>
              </w:rPr>
              <w:t>Stock</w:t>
            </w:r>
          </w:p>
        </w:tc>
        <w:tc>
          <w:tcPr>
            <w:tcW w:w="240" w:type="dxa"/>
            <w:vAlign w:val="bottom"/>
          </w:tcPr>
          <w:p>
            <w:pPr>
              <w:spacing w:after="0"/>
              <w:rPr>
                <w:sz w:val="16"/>
                <w:szCs w:val="16"/>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4"/>
              </w:rPr>
              <w:t>Stock</w:t>
            </w:r>
          </w:p>
        </w:tc>
        <w:tc>
          <w:tcPr>
            <w:tcW w:w="220" w:type="dxa"/>
            <w:vAlign w:val="bottom"/>
          </w:tcPr>
          <w:p>
            <w:pPr>
              <w:spacing w:after="0"/>
              <w:rPr>
                <w:sz w:val="16"/>
                <w:szCs w:val="16"/>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Investments</w:t>
            </w:r>
          </w:p>
        </w:tc>
        <w:tc>
          <w:tcPr>
            <w:tcW w:w="32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3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6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700" w:type="dxa"/>
            <w:vAlign w:val="bottom"/>
          </w:tcPr>
          <w:p>
            <w:pPr>
              <w:ind w:left="20"/>
              <w:spacing w:after="0"/>
              <w:rPr>
                <w:sz w:val="20"/>
                <w:szCs w:val="20"/>
                <w:color w:val="auto"/>
              </w:rPr>
            </w:pPr>
            <w:r>
              <w:rPr>
                <w:rFonts w:ascii="Arial" w:cs="Arial" w:eastAsia="Arial" w:hAnsi="Arial"/>
                <w:sz w:val="16"/>
                <w:szCs w:val="16"/>
                <w:color w:val="auto"/>
              </w:rPr>
              <w:t>Fair Value as of December 31, 2019</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59,209,559</w:t>
            </w:r>
          </w:p>
        </w:tc>
        <w:tc>
          <w:tcPr>
            <w:tcW w:w="12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125,448,358</w:t>
            </w:r>
          </w:p>
        </w:tc>
        <w:tc>
          <w:tcPr>
            <w:tcW w:w="12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1"/>
              <w:spacing w:after="0"/>
              <w:rPr>
                <w:sz w:val="20"/>
                <w:szCs w:val="20"/>
                <w:color w:val="auto"/>
              </w:rPr>
            </w:pPr>
            <w:r>
              <w:rPr>
                <w:rFonts w:ascii="Arial" w:cs="Arial" w:eastAsia="Arial" w:hAnsi="Arial"/>
                <w:sz w:val="16"/>
                <w:szCs w:val="16"/>
                <w:color w:val="auto"/>
              </w:rPr>
              <w:t>1,644,155</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5,283,506</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191,585,578</w:t>
            </w:r>
          </w:p>
        </w:tc>
        <w:tc>
          <w:tcPr>
            <w:tcW w:w="0" w:type="dxa"/>
            <w:vAlign w:val="bottom"/>
          </w:tcPr>
          <w:p>
            <w:pPr>
              <w:spacing w:after="0"/>
              <w:rPr>
                <w:sz w:val="1"/>
                <w:szCs w:val="1"/>
                <w:color w:val="auto"/>
              </w:rPr>
            </w:pPr>
          </w:p>
        </w:tc>
      </w:tr>
      <w:tr>
        <w:trPr>
          <w:trHeight w:val="219"/>
        </w:trPr>
        <w:tc>
          <w:tcPr>
            <w:tcW w:w="3700" w:type="dxa"/>
            <w:vAlign w:val="bottom"/>
            <w:shd w:val="clear" w:color="auto" w:fill="CCEEFF"/>
          </w:tcPr>
          <w:p>
            <w:pPr>
              <w:ind w:left="20"/>
              <w:spacing w:after="0" w:line="219" w:lineRule="exact"/>
              <w:rPr>
                <w:sz w:val="20"/>
                <w:szCs w:val="20"/>
                <w:color w:val="auto"/>
              </w:rPr>
            </w:pPr>
            <w:r>
              <w:rPr>
                <w:rFonts w:ascii="Arial" w:cs="Arial" w:eastAsia="Arial" w:hAnsi="Arial"/>
                <w:sz w:val="16"/>
                <w:szCs w:val="16"/>
                <w:color w:val="auto"/>
              </w:rPr>
              <w:t>Transfers out of Level 3</w:t>
            </w:r>
            <w:r>
              <w:rPr>
                <w:rFonts w:ascii="Arial" w:cs="Arial" w:eastAsia="Arial" w:hAnsi="Arial"/>
                <w:sz w:val="21"/>
                <w:szCs w:val="21"/>
                <w:color w:val="auto"/>
                <w:vertAlign w:val="superscript"/>
              </w:rPr>
              <w:t>(1)</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(57,736,900)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ind w:left="102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(57,736,900)</w:t>
            </w:r>
          </w:p>
        </w:tc>
        <w:tc>
          <w:tcPr>
            <w:tcW w:w="0" w:type="dxa"/>
            <w:vAlign w:val="bottom"/>
          </w:tcPr>
          <w:p>
            <w:pPr>
              <w:spacing w:after="0"/>
              <w:rPr>
                <w:sz w:val="1"/>
                <w:szCs w:val="1"/>
                <w:color w:val="auto"/>
              </w:rPr>
            </w:pPr>
          </w:p>
        </w:tc>
      </w:tr>
      <w:tr>
        <w:trPr>
          <w:trHeight w:val="213"/>
        </w:trPr>
        <w:tc>
          <w:tcPr>
            <w:tcW w:w="3700" w:type="dxa"/>
            <w:vAlign w:val="bottom"/>
          </w:tcPr>
          <w:p>
            <w:pPr>
              <w:ind w:left="20"/>
              <w:spacing w:after="0"/>
              <w:rPr>
                <w:sz w:val="20"/>
                <w:szCs w:val="20"/>
                <w:color w:val="auto"/>
              </w:rPr>
            </w:pPr>
            <w:r>
              <w:rPr>
                <w:rFonts w:ascii="Arial" w:cs="Arial" w:eastAsia="Arial" w:hAnsi="Arial"/>
                <w:sz w:val="16"/>
                <w:szCs w:val="16"/>
                <w:color w:val="auto"/>
              </w:rPr>
              <w:t>Purchases, capitalized fees, and interest</w:t>
            </w: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1,004,190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19,497,839</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ind w:right="1"/>
              <w:spacing w:after="0"/>
              <w:rPr>
                <w:sz w:val="20"/>
                <w:szCs w:val="20"/>
                <w:color w:val="auto"/>
              </w:rPr>
            </w:pPr>
            <w:r>
              <w:rPr>
                <w:rFonts w:ascii="Arial" w:cs="Arial" w:eastAsia="Arial" w:hAnsi="Arial"/>
                <w:sz w:val="16"/>
                <w:szCs w:val="16"/>
                <w:color w:val="auto"/>
              </w:rPr>
              <w:t>10,930,996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31,433,025</w:t>
            </w:r>
          </w:p>
        </w:tc>
        <w:tc>
          <w:tcPr>
            <w:tcW w:w="0" w:type="dxa"/>
            <w:vAlign w:val="bottom"/>
          </w:tcPr>
          <w:p>
            <w:pPr>
              <w:spacing w:after="0"/>
              <w:rPr>
                <w:sz w:val="1"/>
                <w:szCs w:val="1"/>
                <w:color w:val="auto"/>
              </w:rPr>
            </w:pPr>
          </w:p>
        </w:tc>
      </w:tr>
      <w:tr>
        <w:trPr>
          <w:trHeight w:val="219"/>
        </w:trPr>
        <w:tc>
          <w:tcPr>
            <w:tcW w:w="3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Sales/Maturity of investments</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(807,953)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(10,876,624)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(6,899,999)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(989,494)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(19,574,070)</w:t>
            </w:r>
          </w:p>
        </w:tc>
        <w:tc>
          <w:tcPr>
            <w:tcW w:w="0" w:type="dxa"/>
            <w:vAlign w:val="bottom"/>
          </w:tcPr>
          <w:p>
            <w:pPr>
              <w:spacing w:after="0"/>
              <w:rPr>
                <w:sz w:val="1"/>
                <w:szCs w:val="1"/>
                <w:color w:val="auto"/>
              </w:rPr>
            </w:pPr>
          </w:p>
        </w:tc>
      </w:tr>
      <w:tr>
        <w:trPr>
          <w:trHeight w:val="216"/>
        </w:trPr>
        <w:tc>
          <w:tcPr>
            <w:tcW w:w="3700" w:type="dxa"/>
            <w:vAlign w:val="bottom"/>
          </w:tcPr>
          <w:p>
            <w:pPr>
              <w:ind w:left="20"/>
              <w:spacing w:after="0" w:line="216" w:lineRule="exact"/>
              <w:rPr>
                <w:sz w:val="20"/>
                <w:szCs w:val="20"/>
                <w:color w:val="auto"/>
              </w:rPr>
            </w:pPr>
            <w:r>
              <w:rPr>
                <w:rFonts w:ascii="Arial" w:cs="Arial" w:eastAsia="Arial" w:hAnsi="Arial"/>
                <w:sz w:val="16"/>
                <w:szCs w:val="16"/>
                <w:color w:val="auto"/>
              </w:rPr>
              <w:t>Exercises and conversions</w:t>
            </w:r>
            <w:r>
              <w:rPr>
                <w:rFonts w:ascii="Arial" w:cs="Arial" w:eastAsia="Arial" w:hAnsi="Arial"/>
                <w:sz w:val="21"/>
                <w:szCs w:val="21"/>
                <w:color w:val="auto"/>
                <w:vertAlign w:val="superscript"/>
              </w:rPr>
              <w:t>(1)</w:t>
            </w:r>
          </w:p>
        </w:tc>
        <w:tc>
          <w:tcPr>
            <w:tcW w:w="26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281,190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(281,190)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Realized gains</w:t>
            </w: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(628,452)</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6,875,639</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989,494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7,236,079</w:t>
            </w:r>
          </w:p>
        </w:tc>
        <w:tc>
          <w:tcPr>
            <w:tcW w:w="0" w:type="dxa"/>
            <w:vAlign w:val="bottom"/>
          </w:tcPr>
          <w:p>
            <w:pPr>
              <w:spacing w:after="0"/>
              <w:rPr>
                <w:sz w:val="1"/>
                <w:szCs w:val="1"/>
                <w:color w:val="auto"/>
              </w:rPr>
            </w:pPr>
          </w:p>
        </w:tc>
      </w:tr>
      <w:tr>
        <w:trPr>
          <w:trHeight w:val="166"/>
        </w:trPr>
        <w:tc>
          <w:tcPr>
            <w:tcW w:w="3700" w:type="dxa"/>
            <w:vAlign w:val="bottom"/>
          </w:tcPr>
          <w:p>
            <w:pPr>
              <w:ind w:left="20"/>
              <w:spacing w:after="0" w:line="166" w:lineRule="exact"/>
              <w:rPr>
                <w:sz w:val="20"/>
                <w:szCs w:val="20"/>
                <w:color w:val="auto"/>
              </w:rPr>
            </w:pPr>
            <w:r>
              <w:rPr>
                <w:rFonts w:ascii="Arial" w:cs="Arial" w:eastAsia="Arial" w:hAnsi="Arial"/>
                <w:sz w:val="16"/>
                <w:szCs w:val="16"/>
                <w:color w:val="auto"/>
                <w:w w:val="98"/>
              </w:rPr>
              <w:t>Net change in unrealized appreciation/(depreciation)</w:t>
            </w:r>
          </w:p>
        </w:tc>
        <w:tc>
          <w:tcPr>
            <w:tcW w:w="260" w:type="dxa"/>
            <w:vAlign w:val="bottom"/>
          </w:tcPr>
          <w:p>
            <w:pPr>
              <w:spacing w:after="0"/>
              <w:rPr>
                <w:sz w:val="14"/>
                <w:szCs w:val="14"/>
                <w:color w:val="auto"/>
              </w:rPr>
            </w:pPr>
          </w:p>
        </w:tc>
        <w:tc>
          <w:tcPr>
            <w:tcW w:w="1160" w:type="dxa"/>
            <w:vAlign w:val="bottom"/>
            <w:vMerge w:val="restart"/>
          </w:tcPr>
          <w:p>
            <w:pPr>
              <w:jc w:val="right"/>
              <w:spacing w:after="0"/>
              <w:rPr>
                <w:sz w:val="20"/>
                <w:szCs w:val="20"/>
                <w:color w:val="auto"/>
              </w:rPr>
            </w:pPr>
            <w:r>
              <w:rPr>
                <w:rFonts w:ascii="Arial" w:cs="Arial" w:eastAsia="Arial" w:hAnsi="Arial"/>
                <w:sz w:val="16"/>
                <w:szCs w:val="16"/>
                <w:color w:val="auto"/>
              </w:rPr>
              <w:t>33,150,395</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vMerge w:val="restart"/>
          </w:tcPr>
          <w:p>
            <w:pPr>
              <w:jc w:val="right"/>
              <w:spacing w:after="0"/>
              <w:rPr>
                <w:sz w:val="20"/>
                <w:szCs w:val="20"/>
                <w:color w:val="auto"/>
              </w:rPr>
            </w:pPr>
            <w:r>
              <w:rPr>
                <w:rFonts w:ascii="Arial" w:cs="Arial" w:eastAsia="Arial" w:hAnsi="Arial"/>
                <w:sz w:val="16"/>
                <w:szCs w:val="16"/>
                <w:color w:val="auto"/>
              </w:rPr>
              <w:t>9,585</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Arial" w:cs="Arial" w:eastAsia="Arial" w:hAnsi="Arial"/>
                <w:sz w:val="16"/>
                <w:szCs w:val="16"/>
                <w:color w:val="auto"/>
              </w:rPr>
              <w:t>(548,020)</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Arial" w:cs="Arial" w:eastAsia="Arial" w:hAnsi="Arial"/>
                <w:sz w:val="16"/>
                <w:szCs w:val="16"/>
                <w:color w:val="auto"/>
              </w:rPr>
              <w:t>588,704</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Arial" w:cs="Arial" w:eastAsia="Arial" w:hAnsi="Arial"/>
                <w:sz w:val="16"/>
                <w:szCs w:val="16"/>
                <w:color w:val="auto"/>
              </w:rPr>
              <w:t>33,200,664</w:t>
            </w:r>
          </w:p>
        </w:tc>
        <w:tc>
          <w:tcPr>
            <w:tcW w:w="0" w:type="dxa"/>
            <w:vAlign w:val="bottom"/>
          </w:tcPr>
          <w:p>
            <w:pPr>
              <w:spacing w:after="0"/>
              <w:rPr>
                <w:sz w:val="1"/>
                <w:szCs w:val="1"/>
                <w:color w:val="auto"/>
              </w:rPr>
            </w:pPr>
          </w:p>
        </w:tc>
      </w:tr>
      <w:tr>
        <w:trPr>
          <w:trHeight w:val="209"/>
        </w:trPr>
        <w:tc>
          <w:tcPr>
            <w:tcW w:w="37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included in earnings</w:t>
            </w:r>
          </w:p>
        </w:tc>
        <w:tc>
          <w:tcPr>
            <w:tcW w:w="2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3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Fair Value as of December 31, 2020</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34,190,839</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141,235,987</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4,845,340</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5,872,210</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186,144,376</w:t>
            </w:r>
          </w:p>
        </w:tc>
        <w:tc>
          <w:tcPr>
            <w:tcW w:w="0" w:type="dxa"/>
            <w:vAlign w:val="bottom"/>
          </w:tcPr>
          <w:p>
            <w:pPr>
              <w:spacing w:after="0"/>
              <w:rPr>
                <w:sz w:val="1"/>
                <w:szCs w:val="1"/>
                <w:color w:val="auto"/>
              </w:rPr>
            </w:pPr>
          </w:p>
        </w:tc>
      </w:tr>
      <w:tr>
        <w:trPr>
          <w:trHeight w:val="20"/>
        </w:trPr>
        <w:tc>
          <w:tcPr>
            <w:tcW w:w="3700" w:type="dxa"/>
            <w:vAlign w:val="bottom"/>
            <w:tcBorders>
              <w:top w:val="single" w:sz="8" w:color="CCEEFF"/>
              <w:bottom w:val="single" w:sz="8" w:color="CCEEFF"/>
            </w:tcBorders>
            <w:vMerge w:val="restart"/>
          </w:tcPr>
          <w:p>
            <w:pPr>
              <w:ind w:left="20"/>
              <w:spacing w:after="0" w:line="153" w:lineRule="exact"/>
              <w:rPr>
                <w:sz w:val="20"/>
                <w:szCs w:val="20"/>
                <w:color w:val="auto"/>
              </w:rPr>
            </w:pPr>
            <w:r>
              <w:rPr>
                <w:rFonts w:ascii="Arial" w:cs="Arial" w:eastAsia="Arial" w:hAnsi="Arial"/>
                <w:sz w:val="16"/>
                <w:szCs w:val="16"/>
                <w:color w:val="auto"/>
                <w:w w:val="93"/>
              </w:rPr>
              <w:t>Net change in unrealized appreciation/ (depreciation) of</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3"/>
        </w:trPr>
        <w:tc>
          <w:tcPr>
            <w:tcW w:w="3700" w:type="dxa"/>
            <w:vAlign w:val="bottom"/>
            <w:vMerge w:val="continue"/>
          </w:tcPr>
          <w:p>
            <w:pPr>
              <w:spacing w:after="0"/>
              <w:rPr>
                <w:sz w:val="9"/>
                <w:szCs w:val="9"/>
                <w:color w:val="auto"/>
              </w:rPr>
            </w:pPr>
          </w:p>
        </w:tc>
        <w:tc>
          <w:tcPr>
            <w:tcW w:w="260" w:type="dxa"/>
            <w:vAlign w:val="bottom"/>
            <w:vMerge w:val="restart"/>
          </w:tcPr>
          <w:p>
            <w:pPr>
              <w:jc w:val="right"/>
              <w:ind w:right="79"/>
              <w:spacing w:after="0"/>
              <w:rPr>
                <w:sz w:val="20"/>
                <w:szCs w:val="20"/>
                <w:color w:val="auto"/>
              </w:rPr>
            </w:pPr>
            <w:r>
              <w:rPr>
                <w:rFonts w:ascii="Arial" w:cs="Arial" w:eastAsia="Arial" w:hAnsi="Arial"/>
                <w:sz w:val="16"/>
                <w:szCs w:val="16"/>
                <w:color w:val="auto"/>
                <w:w w:val="89"/>
              </w:rPr>
              <w:t>$</w:t>
            </w:r>
          </w:p>
        </w:tc>
        <w:tc>
          <w:tcPr>
            <w:tcW w:w="1160" w:type="dxa"/>
            <w:vAlign w:val="bottom"/>
            <w:vMerge w:val="restart"/>
          </w:tcPr>
          <w:p>
            <w:pPr>
              <w:jc w:val="right"/>
              <w:spacing w:after="0"/>
              <w:rPr>
                <w:sz w:val="20"/>
                <w:szCs w:val="20"/>
                <w:color w:val="auto"/>
              </w:rPr>
            </w:pPr>
            <w:r>
              <w:rPr>
                <w:rFonts w:ascii="Arial" w:cs="Arial" w:eastAsia="Arial" w:hAnsi="Arial"/>
                <w:sz w:val="16"/>
                <w:szCs w:val="16"/>
                <w:color w:val="auto"/>
              </w:rPr>
              <w:t>6,347,026</w:t>
            </w:r>
          </w:p>
        </w:tc>
        <w:tc>
          <w:tcPr>
            <w:tcW w:w="120" w:type="dxa"/>
            <w:vAlign w:val="bottom"/>
          </w:tcPr>
          <w:p>
            <w:pPr>
              <w:spacing w:after="0"/>
              <w:rPr>
                <w:sz w:val="9"/>
                <w:szCs w:val="9"/>
                <w:color w:val="auto"/>
              </w:rPr>
            </w:pPr>
          </w:p>
        </w:tc>
        <w:tc>
          <w:tcPr>
            <w:tcW w:w="240" w:type="dxa"/>
            <w:vAlign w:val="bottom"/>
            <w:vMerge w:val="restart"/>
          </w:tcPr>
          <w:p>
            <w:pPr>
              <w:jc w:val="right"/>
              <w:ind w:right="59"/>
              <w:spacing w:after="0"/>
              <w:rPr>
                <w:sz w:val="20"/>
                <w:szCs w:val="20"/>
                <w:color w:val="auto"/>
              </w:rPr>
            </w:pPr>
            <w:r>
              <w:rPr>
                <w:rFonts w:ascii="Arial" w:cs="Arial" w:eastAsia="Arial" w:hAnsi="Arial"/>
                <w:sz w:val="16"/>
                <w:szCs w:val="16"/>
                <w:color w:val="auto"/>
                <w:w w:val="89"/>
              </w:rPr>
              <w:t>$</w:t>
            </w:r>
          </w:p>
        </w:tc>
        <w:tc>
          <w:tcPr>
            <w:tcW w:w="1160" w:type="dxa"/>
            <w:vAlign w:val="bottom"/>
            <w:vMerge w:val="restart"/>
          </w:tcPr>
          <w:p>
            <w:pPr>
              <w:jc w:val="right"/>
              <w:spacing w:after="0"/>
              <w:rPr>
                <w:sz w:val="20"/>
                <w:szCs w:val="20"/>
                <w:color w:val="auto"/>
              </w:rPr>
            </w:pPr>
            <w:r>
              <w:rPr>
                <w:rFonts w:ascii="Arial" w:cs="Arial" w:eastAsia="Arial" w:hAnsi="Arial"/>
                <w:sz w:val="16"/>
                <w:szCs w:val="16"/>
                <w:color w:val="auto"/>
              </w:rPr>
              <w:t>10,825,549</w:t>
            </w:r>
          </w:p>
        </w:tc>
        <w:tc>
          <w:tcPr>
            <w:tcW w:w="120" w:type="dxa"/>
            <w:vAlign w:val="bottom"/>
          </w:tcPr>
          <w:p>
            <w:pPr>
              <w:spacing w:after="0"/>
              <w:rPr>
                <w:sz w:val="9"/>
                <w:szCs w:val="9"/>
                <w:color w:val="auto"/>
              </w:rPr>
            </w:pPr>
          </w:p>
        </w:tc>
        <w:tc>
          <w:tcPr>
            <w:tcW w:w="220" w:type="dxa"/>
            <w:vAlign w:val="bottom"/>
            <w:vMerge w:val="restart"/>
          </w:tcPr>
          <w:p>
            <w:pPr>
              <w:jc w:val="right"/>
              <w:ind w:right="39"/>
              <w:spacing w:after="0"/>
              <w:rPr>
                <w:sz w:val="20"/>
                <w:szCs w:val="20"/>
                <w:color w:val="auto"/>
              </w:rPr>
            </w:pPr>
            <w:r>
              <w:rPr>
                <w:rFonts w:ascii="Arial" w:cs="Arial" w:eastAsia="Arial" w:hAnsi="Arial"/>
                <w:sz w:val="16"/>
                <w:szCs w:val="16"/>
                <w:color w:val="auto"/>
                <w:w w:val="89"/>
              </w:rPr>
              <w:t>$</w:t>
            </w:r>
          </w:p>
        </w:tc>
        <w:tc>
          <w:tcPr>
            <w:tcW w:w="1200" w:type="dxa"/>
            <w:vAlign w:val="bottom"/>
            <w:vMerge w:val="restart"/>
          </w:tcPr>
          <w:p>
            <w:pPr>
              <w:jc w:val="right"/>
              <w:spacing w:after="0"/>
              <w:rPr>
                <w:sz w:val="20"/>
                <w:szCs w:val="20"/>
                <w:color w:val="auto"/>
              </w:rPr>
            </w:pPr>
            <w:r>
              <w:rPr>
                <w:rFonts w:ascii="Arial" w:cs="Arial" w:eastAsia="Arial" w:hAnsi="Arial"/>
                <w:sz w:val="16"/>
                <w:szCs w:val="16"/>
                <w:color w:val="auto"/>
              </w:rPr>
              <w:t>(508,045)</w:t>
            </w:r>
          </w:p>
        </w:tc>
        <w:tc>
          <w:tcPr>
            <w:tcW w:w="100" w:type="dxa"/>
            <w:vAlign w:val="bottom"/>
          </w:tcPr>
          <w:p>
            <w:pPr>
              <w:spacing w:after="0"/>
              <w:rPr>
                <w:sz w:val="9"/>
                <w:szCs w:val="9"/>
                <w:color w:val="auto"/>
              </w:rPr>
            </w:pPr>
          </w:p>
        </w:tc>
        <w:tc>
          <w:tcPr>
            <w:tcW w:w="320" w:type="dxa"/>
            <w:vAlign w:val="bottom"/>
            <w:vMerge w:val="restart"/>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vMerge w:val="restart"/>
          </w:tcPr>
          <w:p>
            <w:pPr>
              <w:jc w:val="right"/>
              <w:spacing w:after="0"/>
              <w:rPr>
                <w:sz w:val="20"/>
                <w:szCs w:val="20"/>
                <w:color w:val="auto"/>
              </w:rPr>
            </w:pPr>
            <w:r>
              <w:rPr>
                <w:rFonts w:ascii="Arial" w:cs="Arial" w:eastAsia="Arial" w:hAnsi="Arial"/>
                <w:sz w:val="16"/>
                <w:szCs w:val="16"/>
                <w:color w:val="auto"/>
              </w:rPr>
              <w:t>588,704</w:t>
            </w:r>
          </w:p>
        </w:tc>
        <w:tc>
          <w:tcPr>
            <w:tcW w:w="100" w:type="dxa"/>
            <w:vAlign w:val="bottom"/>
          </w:tcPr>
          <w:p>
            <w:pPr>
              <w:spacing w:after="0"/>
              <w:rPr>
                <w:sz w:val="9"/>
                <w:szCs w:val="9"/>
                <w:color w:val="auto"/>
              </w:rPr>
            </w:pPr>
          </w:p>
        </w:tc>
        <w:tc>
          <w:tcPr>
            <w:tcW w:w="340" w:type="dxa"/>
            <w:vAlign w:val="bottom"/>
            <w:vMerge w:val="restart"/>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vMerge w:val="restart"/>
          </w:tcPr>
          <w:p>
            <w:pPr>
              <w:jc w:val="right"/>
              <w:spacing w:after="0"/>
              <w:rPr>
                <w:sz w:val="20"/>
                <w:szCs w:val="20"/>
                <w:color w:val="auto"/>
              </w:rPr>
            </w:pPr>
            <w:r>
              <w:rPr>
                <w:rFonts w:ascii="Arial" w:cs="Arial" w:eastAsia="Arial" w:hAnsi="Arial"/>
                <w:sz w:val="16"/>
                <w:szCs w:val="16"/>
                <w:color w:val="auto"/>
              </w:rPr>
              <w:t>17,253,234</w:t>
            </w:r>
          </w:p>
        </w:tc>
        <w:tc>
          <w:tcPr>
            <w:tcW w:w="0" w:type="dxa"/>
            <w:vAlign w:val="bottom"/>
          </w:tcPr>
          <w:p>
            <w:pPr>
              <w:spacing w:after="0"/>
              <w:rPr>
                <w:sz w:val="1"/>
                <w:szCs w:val="1"/>
                <w:color w:val="auto"/>
              </w:rPr>
            </w:pPr>
          </w:p>
        </w:tc>
      </w:tr>
      <w:tr>
        <w:trPr>
          <w:trHeight w:val="190"/>
        </w:trPr>
        <w:tc>
          <w:tcPr>
            <w:tcW w:w="3700" w:type="dxa"/>
            <w:vAlign w:val="bottom"/>
          </w:tcPr>
          <w:p>
            <w:pPr>
              <w:ind w:left="20"/>
              <w:spacing w:after="0"/>
              <w:rPr>
                <w:sz w:val="20"/>
                <w:szCs w:val="20"/>
                <w:color w:val="auto"/>
              </w:rPr>
            </w:pPr>
            <w:r>
              <w:rPr>
                <w:rFonts w:ascii="Arial" w:cs="Arial" w:eastAsia="Arial" w:hAnsi="Arial"/>
                <w:sz w:val="16"/>
                <w:szCs w:val="16"/>
                <w:color w:val="auto"/>
                <w:w w:val="94"/>
              </w:rPr>
              <w:t>Level 3 investments still held as of December 31, 2020</w:t>
            </w:r>
          </w:p>
        </w:tc>
        <w:tc>
          <w:tcPr>
            <w:tcW w:w="260" w:type="dxa"/>
            <w:vAlign w:val="bottom"/>
            <w:tcBorders>
              <w:bottom w:val="single" w:sz="8" w:color="auto"/>
            </w:tcBorders>
            <w:vMerge w:val="continue"/>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vMerge w:val="continue"/>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vMerge w:val="continue"/>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vMerge w:val="continue"/>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vMerge w:val="continue"/>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40"/>
          </w:cols>
          <w:pgMar w:left="320" w:top="121" w:right="339" w:bottom="1440" w:gutter="0" w:footer="0" w:header="0"/>
          <w:type w:val="continuous"/>
        </w:sectPr>
      </w:pPr>
    </w:p>
    <w:bookmarkStart w:id="35" w:name="page36"/>
    <w:bookmarkEnd w:id="3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8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SURO CAPITAL CORP. AND SUBSIDIARIES</w:t>
      </w:r>
    </w:p>
    <w:p>
      <w:pPr>
        <w:spacing w:after="0" w:line="252"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March 31, 2021</w:t>
      </w:r>
    </w:p>
    <w:p>
      <w:pPr>
        <w:spacing w:after="0" w:line="200" w:lineRule="exact"/>
        <w:rPr>
          <w:sz w:val="20"/>
          <w:szCs w:val="20"/>
          <w:color w:val="auto"/>
        </w:rPr>
      </w:pPr>
    </w:p>
    <w:p>
      <w:pPr>
        <w:spacing w:after="0" w:line="204" w:lineRule="exact"/>
        <w:rPr>
          <w:sz w:val="20"/>
          <w:szCs w:val="20"/>
          <w:color w:val="auto"/>
        </w:rPr>
      </w:pPr>
    </w:p>
    <w:p>
      <w:pPr>
        <w:spacing w:after="0"/>
        <w:tabs>
          <w:tab w:leader="none" w:pos="340" w:val="left"/>
        </w:tabs>
        <w:rPr>
          <w:sz w:val="20"/>
          <w:szCs w:val="20"/>
          <w:color w:val="auto"/>
        </w:rPr>
      </w:pPr>
      <w:r>
        <w:rPr>
          <w:rFonts w:ascii="Arial" w:cs="Arial" w:eastAsia="Arial" w:hAnsi="Arial"/>
          <w:sz w:val="16"/>
          <w:szCs w:val="16"/>
          <w:color w:val="auto"/>
        </w:rPr>
        <w:t>(1)</w:t>
      </w:r>
      <w:r>
        <w:rPr>
          <w:sz w:val="20"/>
          <w:szCs w:val="20"/>
          <w:color w:val="auto"/>
        </w:rPr>
        <w:tab/>
      </w:r>
      <w:r>
        <w:rPr>
          <w:rFonts w:ascii="Arial" w:cs="Arial" w:eastAsia="Arial" w:hAnsi="Arial"/>
          <w:sz w:val="14"/>
          <w:szCs w:val="14"/>
          <w:color w:val="auto"/>
        </w:rPr>
        <w:t>During the year ended December 31, 2020, the Company’s portfolio investments had the following corporate actions which are reflected above:</w:t>
      </w:r>
    </w:p>
    <w:p>
      <w:pPr>
        <w:sectPr>
          <w:pgSz w:w="11900" w:h="16838" w:orient="portrait"/>
          <w:cols w:equalWidth="0" w:num="1">
            <w:col w:w="11060"/>
          </w:cols>
          <w:pgMar w:left="320" w:top="121" w:right="519" w:bottom="1440" w:gutter="0" w:footer="0" w:header="0"/>
        </w:sectPr>
      </w:pP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2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Portfolio Company</w:t>
            </w:r>
          </w:p>
        </w:tc>
        <w:tc>
          <w:tcPr>
            <w:tcW w:w="100" w:type="dxa"/>
            <w:vAlign w:val="bottom"/>
          </w:tcPr>
          <w:p>
            <w:pPr>
              <w:spacing w:after="0"/>
              <w:rPr>
                <w:sz w:val="18"/>
                <w:szCs w:val="18"/>
                <w:color w:val="auto"/>
              </w:rPr>
            </w:pPr>
          </w:p>
        </w:tc>
        <w:tc>
          <w:tcPr>
            <w:tcW w:w="28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Conversion from</w:t>
            </w:r>
          </w:p>
        </w:tc>
      </w:tr>
      <w:tr>
        <w:trPr>
          <w:trHeight w:val="288"/>
        </w:trPr>
        <w:tc>
          <w:tcPr>
            <w:tcW w:w="3300" w:type="dxa"/>
            <w:vAlign w:val="bottom"/>
            <w:gridSpan w:val="2"/>
          </w:tcPr>
          <w:p>
            <w:pPr>
              <w:ind w:left="20"/>
              <w:spacing w:after="0"/>
              <w:rPr>
                <w:sz w:val="20"/>
                <w:szCs w:val="20"/>
                <w:color w:val="auto"/>
              </w:rPr>
            </w:pPr>
            <w:r>
              <w:rPr>
                <w:rFonts w:ascii="Arial" w:cs="Arial" w:eastAsia="Arial" w:hAnsi="Arial"/>
                <w:sz w:val="16"/>
                <w:szCs w:val="16"/>
                <w:color w:val="auto"/>
              </w:rPr>
              <w:t>Neutron Holdings, Inc. (d/b/a/ Lime)</w:t>
            </w:r>
          </w:p>
        </w:tc>
        <w:tc>
          <w:tcPr>
            <w:tcW w:w="2860" w:type="dxa"/>
            <w:vAlign w:val="bottom"/>
          </w:tcPr>
          <w:p>
            <w:pPr>
              <w:jc w:val="center"/>
              <w:spacing w:after="0"/>
              <w:rPr>
                <w:sz w:val="20"/>
                <w:szCs w:val="20"/>
                <w:color w:val="auto"/>
              </w:rPr>
            </w:pPr>
            <w:r>
              <w:rPr>
                <w:rFonts w:ascii="Arial" w:cs="Arial" w:eastAsia="Arial" w:hAnsi="Arial"/>
                <w:sz w:val="16"/>
                <w:szCs w:val="16"/>
                <w:color w:val="auto"/>
                <w:w w:val="88"/>
              </w:rPr>
              <w:t>Preferred shares, Series D</w:t>
            </w:r>
          </w:p>
        </w:tc>
      </w:tr>
      <w:tr>
        <w:trPr>
          <w:trHeight w:val="297"/>
        </w:trPr>
        <w:tc>
          <w:tcPr>
            <w:tcW w:w="3300" w:type="dxa"/>
            <w:vAlign w:val="bottom"/>
            <w:gridSpan w:val="2"/>
          </w:tcPr>
          <w:p>
            <w:pPr>
              <w:ind w:left="20"/>
              <w:spacing w:after="0"/>
              <w:rPr>
                <w:sz w:val="20"/>
                <w:szCs w:val="20"/>
                <w:color w:val="auto"/>
              </w:rPr>
            </w:pPr>
            <w:r>
              <w:rPr>
                <w:rFonts w:ascii="Arial" w:cs="Arial" w:eastAsia="Arial" w:hAnsi="Arial"/>
                <w:sz w:val="16"/>
                <w:szCs w:val="16"/>
                <w:color w:val="auto"/>
              </w:rPr>
              <w:t>Aspiration Partners, Inc.</w:t>
            </w:r>
          </w:p>
        </w:tc>
        <w:tc>
          <w:tcPr>
            <w:tcW w:w="2860" w:type="dxa"/>
            <w:vAlign w:val="bottom"/>
          </w:tcPr>
          <w:p>
            <w:pPr>
              <w:jc w:val="center"/>
              <w:spacing w:after="0"/>
              <w:rPr>
                <w:sz w:val="20"/>
                <w:szCs w:val="20"/>
                <w:color w:val="auto"/>
              </w:rPr>
            </w:pPr>
            <w:r>
              <w:rPr>
                <w:rFonts w:ascii="Arial" w:cs="Arial" w:eastAsia="Arial" w:hAnsi="Arial"/>
                <w:sz w:val="16"/>
                <w:szCs w:val="16"/>
                <w:color w:val="auto"/>
                <w:w w:val="93"/>
              </w:rPr>
              <w:t>Convertible Promissory Note</w:t>
            </w:r>
          </w:p>
        </w:tc>
      </w:tr>
      <w:tr>
        <w:trPr>
          <w:trHeight w:val="216"/>
        </w:trPr>
        <w:tc>
          <w:tcPr>
            <w:tcW w:w="3300" w:type="dxa"/>
            <w:vAlign w:val="bottom"/>
            <w:gridSpan w:val="2"/>
          </w:tcPr>
          <w:p>
            <w:pPr>
              <w:ind w:left="20"/>
              <w:spacing w:after="0"/>
              <w:rPr>
                <w:sz w:val="20"/>
                <w:szCs w:val="20"/>
                <w:color w:val="auto"/>
              </w:rPr>
            </w:pPr>
            <w:r>
              <w:rPr>
                <w:rFonts w:ascii="Arial" w:cs="Arial" w:eastAsia="Arial" w:hAnsi="Arial"/>
                <w:sz w:val="16"/>
                <w:szCs w:val="16"/>
                <w:color w:val="auto"/>
              </w:rPr>
              <w:t>Palantir Technologies, Inc.</w:t>
            </w:r>
          </w:p>
        </w:tc>
        <w:tc>
          <w:tcPr>
            <w:tcW w:w="2860" w:type="dxa"/>
            <w:vAlign w:val="bottom"/>
          </w:tcPr>
          <w:p>
            <w:pPr>
              <w:jc w:val="center"/>
              <w:spacing w:after="0"/>
              <w:rPr>
                <w:sz w:val="20"/>
                <w:szCs w:val="20"/>
                <w:color w:val="auto"/>
              </w:rPr>
            </w:pPr>
            <w:r>
              <w:rPr>
                <w:rFonts w:ascii="Arial" w:cs="Arial" w:eastAsia="Arial" w:hAnsi="Arial"/>
                <w:sz w:val="16"/>
                <w:szCs w:val="16"/>
                <w:color w:val="auto"/>
                <w:w w:val="90"/>
              </w:rPr>
              <w:t>Common shares, Class A</w:t>
            </w:r>
          </w:p>
        </w:tc>
      </w:tr>
      <w:tr>
        <w:trPr>
          <w:trHeight w:val="297"/>
        </w:trPr>
        <w:tc>
          <w:tcPr>
            <w:tcW w:w="3300" w:type="dxa"/>
            <w:vAlign w:val="bottom"/>
            <w:gridSpan w:val="2"/>
          </w:tcPr>
          <w:p>
            <w:pPr>
              <w:ind w:left="20"/>
              <w:spacing w:after="0"/>
              <w:rPr>
                <w:sz w:val="20"/>
                <w:szCs w:val="20"/>
                <w:color w:val="auto"/>
              </w:rPr>
            </w:pPr>
            <w:r>
              <w:rPr>
                <w:rFonts w:ascii="Arial" w:cs="Arial" w:eastAsia="Arial" w:hAnsi="Arial"/>
                <w:sz w:val="16"/>
                <w:szCs w:val="16"/>
                <w:color w:val="auto"/>
              </w:rPr>
              <w:t>SharesPost, Inc.</w:t>
            </w:r>
          </w:p>
        </w:tc>
        <w:tc>
          <w:tcPr>
            <w:tcW w:w="2860" w:type="dxa"/>
            <w:vAlign w:val="bottom"/>
          </w:tcPr>
          <w:p>
            <w:pPr>
              <w:jc w:val="center"/>
              <w:spacing w:after="0"/>
              <w:rPr>
                <w:sz w:val="20"/>
                <w:szCs w:val="20"/>
                <w:color w:val="auto"/>
              </w:rPr>
            </w:pPr>
            <w:r>
              <w:rPr>
                <w:rFonts w:ascii="Arial" w:cs="Arial" w:eastAsia="Arial" w:hAnsi="Arial"/>
                <w:sz w:val="16"/>
                <w:szCs w:val="16"/>
                <w:color w:val="auto"/>
                <w:w w:val="88"/>
              </w:rPr>
              <w:t>Preferred shares, Series B</w:t>
            </w:r>
          </w:p>
        </w:tc>
      </w:tr>
      <w:tr>
        <w:trPr>
          <w:trHeight w:val="459"/>
        </w:trPr>
        <w:tc>
          <w:tcPr>
            <w:tcW w:w="3300" w:type="dxa"/>
            <w:vAlign w:val="bottom"/>
            <w:gridSpan w:val="2"/>
          </w:tcPr>
          <w:p>
            <w:pPr>
              <w:ind w:left="20"/>
              <w:spacing w:after="0"/>
              <w:rPr>
                <w:sz w:val="20"/>
                <w:szCs w:val="20"/>
                <w:color w:val="auto"/>
              </w:rPr>
            </w:pPr>
            <w:r>
              <w:rPr>
                <w:rFonts w:ascii="Arial" w:cs="Arial" w:eastAsia="Arial" w:hAnsi="Arial"/>
                <w:sz w:val="16"/>
                <w:szCs w:val="16"/>
                <w:color w:val="auto"/>
              </w:rPr>
              <w:t>SharesPost, Inc</w:t>
            </w:r>
          </w:p>
        </w:tc>
        <w:tc>
          <w:tcPr>
            <w:tcW w:w="2860" w:type="dxa"/>
            <w:vAlign w:val="bottom"/>
          </w:tcPr>
          <w:p>
            <w:pPr>
              <w:jc w:val="center"/>
              <w:spacing w:after="0"/>
              <w:rPr>
                <w:sz w:val="20"/>
                <w:szCs w:val="20"/>
                <w:color w:val="auto"/>
              </w:rPr>
            </w:pPr>
            <w:r>
              <w:rPr>
                <w:rFonts w:ascii="Arial" w:cs="Arial" w:eastAsia="Arial" w:hAnsi="Arial"/>
                <w:sz w:val="16"/>
                <w:szCs w:val="16"/>
                <w:color w:val="auto"/>
                <w:w w:val="90"/>
              </w:rPr>
              <w:t>Common shares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-612775</wp:posOffset>
            </wp:positionV>
            <wp:extent cx="7132320" cy="13716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-235585</wp:posOffset>
            </wp:positionV>
            <wp:extent cx="7132320" cy="3429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3429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-998220</wp:posOffset>
            </wp:positionV>
            <wp:extent cx="7132320" cy="24828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2482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16" w:lineRule="exact"/>
        <w:rPr>
          <w:sz w:val="20"/>
          <w:szCs w:val="20"/>
          <w:color w:val="auto"/>
        </w:rPr>
      </w:pPr>
    </w:p>
    <w:p>
      <w:pPr>
        <w:ind w:left="1860"/>
        <w:spacing w:after="0"/>
        <w:rPr>
          <w:sz w:val="20"/>
          <w:szCs w:val="20"/>
          <w:color w:val="auto"/>
        </w:rPr>
      </w:pPr>
      <w:r>
        <w:rPr>
          <w:rFonts w:ascii="Arial" w:cs="Arial" w:eastAsia="Arial" w:hAnsi="Arial"/>
          <w:sz w:val="16"/>
          <w:szCs w:val="16"/>
          <w:b w:val="1"/>
          <w:bCs w:val="1"/>
          <w:color w:val="auto"/>
        </w:rPr>
        <w:t>Conversion to</w:t>
      </w:r>
    </w:p>
    <w:p>
      <w:pPr>
        <w:spacing w:after="0" w:line="42" w:lineRule="exact"/>
        <w:rPr>
          <w:sz w:val="20"/>
          <w:szCs w:val="20"/>
          <w:color w:val="auto"/>
        </w:rPr>
      </w:pPr>
    </w:p>
    <w:p>
      <w:pPr>
        <w:ind w:left="1200"/>
        <w:spacing w:after="0"/>
        <w:rPr>
          <w:sz w:val="20"/>
          <w:szCs w:val="20"/>
          <w:color w:val="auto"/>
        </w:rPr>
      </w:pPr>
      <w:r>
        <w:rPr>
          <w:rFonts w:ascii="Arial" w:cs="Arial" w:eastAsia="Arial" w:hAnsi="Arial"/>
          <w:sz w:val="16"/>
          <w:szCs w:val="16"/>
          <w:color w:val="auto"/>
        </w:rPr>
        <w:t>Junior Preferred shares, Series 1-D</w:t>
      </w:r>
    </w:p>
    <w:p>
      <w:pPr>
        <w:ind w:left="220"/>
        <w:spacing w:after="0"/>
        <w:rPr>
          <w:sz w:val="20"/>
          <w:szCs w:val="20"/>
          <w:color w:val="auto"/>
        </w:rPr>
      </w:pPr>
      <w:r>
        <w:rPr>
          <w:rFonts w:ascii="Arial" w:cs="Arial" w:eastAsia="Arial" w:hAnsi="Arial"/>
          <w:sz w:val="15"/>
          <w:szCs w:val="15"/>
          <w:color w:val="auto"/>
        </w:rPr>
        <w:t>Common warrants, Strike price $0.01, Expiration Date 5/11/2027</w:t>
      </w:r>
    </w:p>
    <w:p>
      <w:pPr>
        <w:spacing w:after="0" w:line="30" w:lineRule="exact"/>
        <w:rPr>
          <w:sz w:val="20"/>
          <w:szCs w:val="20"/>
          <w:color w:val="auto"/>
        </w:rPr>
      </w:pPr>
    </w:p>
    <w:p>
      <w:pPr>
        <w:ind w:left="1440"/>
        <w:spacing w:after="0"/>
        <w:rPr>
          <w:sz w:val="20"/>
          <w:szCs w:val="20"/>
          <w:color w:val="auto"/>
        </w:rPr>
      </w:pPr>
      <w:r>
        <w:rPr>
          <w:rFonts w:ascii="Arial" w:cs="Arial" w:eastAsia="Arial" w:hAnsi="Arial"/>
          <w:sz w:val="16"/>
          <w:szCs w:val="16"/>
          <w:color w:val="auto"/>
        </w:rPr>
        <w:t>Preferred shares, Series C-3</w:t>
      </w:r>
    </w:p>
    <w:p>
      <w:pPr>
        <w:spacing w:after="0" w:line="32"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Public Common shares (Level 2)</w:t>
      </w:r>
    </w:p>
    <w:p>
      <w:pPr>
        <w:spacing w:after="0" w:line="24"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Forge Global Inc. Junior Preferred shares</w:t>
      </w:r>
    </w:p>
    <w:p>
      <w:pPr>
        <w:ind w:left="700"/>
        <w:spacing w:after="0"/>
        <w:rPr>
          <w:sz w:val="20"/>
          <w:szCs w:val="20"/>
          <w:color w:val="auto"/>
        </w:rPr>
      </w:pPr>
      <w:r>
        <w:rPr>
          <w:rFonts w:ascii="Arial" w:cs="Arial" w:eastAsia="Arial" w:hAnsi="Arial"/>
          <w:sz w:val="16"/>
          <w:szCs w:val="16"/>
          <w:color w:val="auto"/>
        </w:rPr>
        <w:t>SP Holdings Group, Inc. Preferred shares Series B</w:t>
      </w:r>
    </w:p>
    <w:p>
      <w:pPr>
        <w:spacing w:after="0" w:line="10" w:lineRule="exact"/>
        <w:rPr>
          <w:sz w:val="20"/>
          <w:szCs w:val="20"/>
          <w:color w:val="auto"/>
        </w:rPr>
      </w:pPr>
    </w:p>
    <w:p>
      <w:pPr>
        <w:ind w:left="840"/>
        <w:spacing w:after="0"/>
        <w:rPr>
          <w:sz w:val="20"/>
          <w:szCs w:val="20"/>
          <w:color w:val="auto"/>
        </w:rPr>
      </w:pPr>
      <w:r>
        <w:rPr>
          <w:rFonts w:ascii="Arial" w:cs="Arial" w:eastAsia="Arial" w:hAnsi="Arial"/>
          <w:sz w:val="16"/>
          <w:szCs w:val="16"/>
          <w:color w:val="auto"/>
        </w:rPr>
        <w:t>Forge Global Inc. Common shares, Class AA</w:t>
      </w:r>
    </w:p>
    <w:p>
      <w:pPr>
        <w:jc w:val="center"/>
        <w:spacing w:after="0" w:line="231" w:lineRule="auto"/>
        <w:rPr>
          <w:sz w:val="20"/>
          <w:szCs w:val="20"/>
          <w:color w:val="auto"/>
        </w:rPr>
      </w:pPr>
      <w:r>
        <w:rPr>
          <w:rFonts w:ascii="Arial" w:cs="Arial" w:eastAsia="Arial" w:hAnsi="Arial"/>
          <w:sz w:val="16"/>
          <w:szCs w:val="16"/>
          <w:color w:val="auto"/>
        </w:rPr>
        <w:t>Forge Junior Warrants, Strike price $12.42, Expiration Date 11/09/2025 SP Holdings Group, Inc. Common Shares</w:t>
      </w:r>
    </w:p>
    <w:p>
      <w:pPr>
        <w:spacing w:after="0" w:line="200" w:lineRule="exact"/>
        <w:rPr>
          <w:sz w:val="20"/>
          <w:szCs w:val="20"/>
          <w:color w:val="auto"/>
        </w:rPr>
      </w:pPr>
    </w:p>
    <w:p>
      <w:pPr>
        <w:sectPr>
          <w:pgSz w:w="11900" w:h="16838" w:orient="portrait"/>
          <w:cols w:equalWidth="0" w:num="2">
            <w:col w:w="6160" w:space="260"/>
            <w:col w:w="4640"/>
          </w:cols>
          <w:pgMar w:left="320" w:top="121" w:right="519" w:bottom="1440" w:gutter="0" w:footer="0" w:header="0"/>
          <w:type w:val="continuous"/>
        </w:sectPr>
      </w:pPr>
    </w:p>
    <w:p>
      <w:pPr>
        <w:spacing w:after="0" w:line="200" w:lineRule="exact"/>
        <w:rPr>
          <w:sz w:val="20"/>
          <w:szCs w:val="20"/>
          <w:color w:val="auto"/>
        </w:rPr>
      </w:pPr>
    </w:p>
    <w:p>
      <w:pPr>
        <w:spacing w:after="0" w:line="267"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34</w:t>
      </w:r>
    </w:p>
    <w:p>
      <w:pPr>
        <w:sectPr>
          <w:pgSz w:w="11900" w:h="16838" w:orient="portrait"/>
          <w:cols w:equalWidth="0" w:num="1">
            <w:col w:w="11060"/>
          </w:cols>
          <w:pgMar w:left="320" w:top="121" w:right="519" w:bottom="1440" w:gutter="0" w:footer="0" w:header="0"/>
          <w:type w:val="continuous"/>
        </w:sectPr>
      </w:pPr>
    </w:p>
    <w:bookmarkStart w:id="36" w:name="page37"/>
    <w:bookmarkEnd w:id="3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8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SURO CAPITAL CORP. AND SUBSIDIARIES</w:t>
      </w:r>
    </w:p>
    <w:p>
      <w:pPr>
        <w:spacing w:after="0" w:line="252"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March 31, 2021</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Schedule of Investments In, and Advances to, Affiliates</w:t>
      </w:r>
    </w:p>
    <w:p>
      <w:pPr>
        <w:spacing w:after="0" w:line="256" w:lineRule="exact"/>
        <w:rPr>
          <w:sz w:val="20"/>
          <w:szCs w:val="20"/>
          <w:color w:val="auto"/>
        </w:rPr>
      </w:pPr>
    </w:p>
    <w:p>
      <w:pPr>
        <w:ind w:firstLine="364"/>
        <w:spacing w:after="0" w:line="277" w:lineRule="auto"/>
        <w:rPr>
          <w:sz w:val="20"/>
          <w:szCs w:val="20"/>
          <w:color w:val="auto"/>
        </w:rPr>
      </w:pPr>
      <w:r>
        <w:rPr>
          <w:rFonts w:ascii="Arial" w:cs="Arial" w:eastAsia="Arial" w:hAnsi="Arial"/>
          <w:sz w:val="18"/>
          <w:szCs w:val="18"/>
          <w:color w:val="auto"/>
        </w:rPr>
        <w:t>Transactions during the three months ended March 31, 2021 involving the Company’s controlled investments and non-controlled/affiliate investments were as follows:</w:t>
      </w:r>
    </w:p>
    <w:p>
      <w:pPr>
        <w:spacing w:after="0" w:line="64"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9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5"/>
              </w:rPr>
              <w:t>Interest,</w:t>
            </w:r>
          </w:p>
        </w:tc>
        <w:tc>
          <w:tcPr>
            <w:tcW w:w="8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Fair Value</w:t>
            </w: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88"/>
              </w:rPr>
              <w:t>Purchases,</w:t>
            </w:r>
          </w:p>
        </w:tc>
        <w:tc>
          <w:tcPr>
            <w:tcW w:w="10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9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9"/>
              </w:rPr>
              <w:t>Fees, or</w:t>
            </w:r>
          </w:p>
        </w:tc>
        <w:tc>
          <w:tcPr>
            <w:tcW w:w="880" w:type="dxa"/>
            <w:vAlign w:val="bottom"/>
            <w:vMerge w:val="continue"/>
          </w:tcPr>
          <w:p>
            <w:pPr>
              <w:spacing w:after="0"/>
              <w:rPr>
                <w:sz w:val="11"/>
                <w:szCs w:val="11"/>
                <w:color w:val="auto"/>
              </w:rPr>
            </w:pPr>
          </w:p>
        </w:tc>
        <w:tc>
          <w:tcPr>
            <w:tcW w:w="9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4"/>
              </w:rPr>
              <w:t>Capitalized</w:t>
            </w:r>
          </w:p>
        </w:tc>
        <w:tc>
          <w:tcPr>
            <w:tcW w:w="10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9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Fair Value</w:t>
            </w:r>
          </w:p>
        </w:tc>
        <w:tc>
          <w:tcPr>
            <w:tcW w:w="780" w:type="dxa"/>
            <w:vAlign w:val="bottom"/>
            <w:vMerge w:val="restart"/>
          </w:tcPr>
          <w:p>
            <w:pPr>
              <w:jc w:val="center"/>
              <w:ind w:left="28"/>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35"/>
        </w:trPr>
        <w:tc>
          <w:tcPr>
            <w:tcW w:w="2940" w:type="dxa"/>
            <w:vAlign w:val="bottom"/>
          </w:tcPr>
          <w:p>
            <w:pPr>
              <w:spacing w:after="0"/>
              <w:rPr>
                <w:sz w:val="11"/>
                <w:szCs w:val="11"/>
                <w:color w:val="auto"/>
              </w:rPr>
            </w:pPr>
          </w:p>
        </w:tc>
        <w:tc>
          <w:tcPr>
            <w:tcW w:w="8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Principal/</w:t>
            </w:r>
          </w:p>
        </w:tc>
        <w:tc>
          <w:tcPr>
            <w:tcW w:w="9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9"/>
              </w:rPr>
              <w:t>Dividends</w:t>
            </w:r>
          </w:p>
        </w:tc>
        <w:tc>
          <w:tcPr>
            <w:tcW w:w="8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6"/>
              </w:rPr>
              <w:t>at</w:t>
            </w:r>
          </w:p>
        </w:tc>
        <w:tc>
          <w:tcPr>
            <w:tcW w:w="9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3"/>
              </w:rPr>
              <w:t>Fees,</w:t>
            </w:r>
          </w:p>
        </w:tc>
        <w:tc>
          <w:tcPr>
            <w:tcW w:w="10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Realized</w:t>
            </w:r>
          </w:p>
        </w:tc>
        <w:tc>
          <w:tcPr>
            <w:tcW w:w="10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Unrealized</w:t>
            </w:r>
          </w:p>
        </w:tc>
        <w:tc>
          <w:tcPr>
            <w:tcW w:w="940" w:type="dxa"/>
            <w:vAlign w:val="bottom"/>
            <w:vMerge w:val="continue"/>
          </w:tcPr>
          <w:p>
            <w:pPr>
              <w:spacing w:after="0"/>
              <w:rPr>
                <w:sz w:val="11"/>
                <w:szCs w:val="11"/>
                <w:color w:val="auto"/>
              </w:rPr>
            </w:pPr>
          </w:p>
        </w:tc>
        <w:tc>
          <w:tcPr>
            <w:tcW w:w="7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40" w:type="dxa"/>
            <w:vAlign w:val="bottom"/>
            <w:vMerge w:val="restart"/>
          </w:tcPr>
          <w:p>
            <w:pPr>
              <w:spacing w:after="0"/>
              <w:rPr>
                <w:sz w:val="20"/>
                <w:szCs w:val="20"/>
                <w:color w:val="auto"/>
              </w:rPr>
            </w:pPr>
            <w:r>
              <w:rPr>
                <w:rFonts w:ascii="Arial" w:cs="Arial" w:eastAsia="Arial" w:hAnsi="Arial"/>
                <w:sz w:val="14"/>
                <w:szCs w:val="14"/>
                <w:b w:val="1"/>
                <w:bCs w:val="1"/>
                <w:color w:val="auto"/>
                <w:w w:val="97"/>
              </w:rPr>
              <w:t>Type/Industry/Portfolio Company/Investment</w:t>
            </w:r>
          </w:p>
        </w:tc>
        <w:tc>
          <w:tcPr>
            <w:tcW w:w="880" w:type="dxa"/>
            <w:vAlign w:val="bottom"/>
            <w:vMerge w:val="continue"/>
          </w:tcPr>
          <w:p>
            <w:pPr>
              <w:spacing w:after="0"/>
              <w:rPr>
                <w:sz w:val="11"/>
                <w:szCs w:val="11"/>
                <w:color w:val="auto"/>
              </w:rPr>
            </w:pPr>
          </w:p>
        </w:tc>
        <w:tc>
          <w:tcPr>
            <w:tcW w:w="9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5"/>
              </w:rPr>
              <w:t>Credited</w:t>
            </w:r>
          </w:p>
        </w:tc>
        <w:tc>
          <w:tcPr>
            <w:tcW w:w="8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4"/>
              </w:rPr>
              <w:t>December</w:t>
            </w:r>
          </w:p>
        </w:tc>
        <w:tc>
          <w:tcPr>
            <w:tcW w:w="9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3"/>
              </w:rPr>
              <w:t>Interest and</w:t>
            </w:r>
          </w:p>
        </w:tc>
        <w:tc>
          <w:tcPr>
            <w:tcW w:w="1020" w:type="dxa"/>
            <w:vAlign w:val="bottom"/>
            <w:vMerge w:val="continue"/>
          </w:tcPr>
          <w:p>
            <w:pPr>
              <w:spacing w:after="0"/>
              <w:rPr>
                <w:sz w:val="11"/>
                <w:szCs w:val="11"/>
                <w:color w:val="auto"/>
              </w:rPr>
            </w:pPr>
          </w:p>
        </w:tc>
        <w:tc>
          <w:tcPr>
            <w:tcW w:w="1020" w:type="dxa"/>
            <w:vAlign w:val="bottom"/>
            <w:vMerge w:val="continue"/>
          </w:tcPr>
          <w:p>
            <w:pPr>
              <w:spacing w:after="0"/>
              <w:rPr>
                <w:sz w:val="11"/>
                <w:szCs w:val="11"/>
                <w:color w:val="auto"/>
              </w:rPr>
            </w:pPr>
          </w:p>
        </w:tc>
        <w:tc>
          <w:tcPr>
            <w:tcW w:w="9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6"/>
              </w:rPr>
              <w:t>at March 31,</w:t>
            </w:r>
          </w:p>
        </w:tc>
        <w:tc>
          <w:tcPr>
            <w:tcW w:w="780" w:type="dxa"/>
            <w:vAlign w:val="bottom"/>
          </w:tcPr>
          <w:p>
            <w:pPr>
              <w:jc w:val="center"/>
              <w:ind w:left="48"/>
              <w:spacing w:after="0" w:line="135" w:lineRule="exact"/>
              <w:rPr>
                <w:sz w:val="20"/>
                <w:szCs w:val="20"/>
                <w:color w:val="auto"/>
              </w:rPr>
            </w:pPr>
            <w:r>
              <w:rPr>
                <w:rFonts w:ascii="Arial" w:cs="Arial" w:eastAsia="Arial" w:hAnsi="Arial"/>
                <w:sz w:val="14"/>
                <w:szCs w:val="14"/>
                <w:b w:val="1"/>
                <w:bCs w:val="1"/>
                <w:color w:val="auto"/>
                <w:w w:val="95"/>
              </w:rPr>
              <w:t>of Net</w:t>
            </w:r>
          </w:p>
        </w:tc>
        <w:tc>
          <w:tcPr>
            <w:tcW w:w="0" w:type="dxa"/>
            <w:vAlign w:val="bottom"/>
          </w:tcPr>
          <w:p>
            <w:pPr>
              <w:spacing w:after="0"/>
              <w:rPr>
                <w:sz w:val="1"/>
                <w:szCs w:val="1"/>
                <w:color w:val="auto"/>
              </w:rPr>
            </w:pPr>
          </w:p>
        </w:tc>
      </w:tr>
      <w:tr>
        <w:trPr>
          <w:trHeight w:val="186"/>
        </w:trPr>
        <w:tc>
          <w:tcPr>
            <w:tcW w:w="2940" w:type="dxa"/>
            <w:vAlign w:val="bottom"/>
            <w:vMerge w:val="continue"/>
          </w:tcPr>
          <w:p>
            <w:pPr>
              <w:spacing w:after="0"/>
              <w:rPr>
                <w:sz w:val="16"/>
                <w:szCs w:val="16"/>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8"/>
              </w:rPr>
              <w:t>Quantity</w:t>
            </w: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1"/>
              </w:rPr>
              <w:t>in Income</w:t>
            </w: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5"/>
              </w:rPr>
              <w:t>31, 2020</w:t>
            </w: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95"/>
              </w:rPr>
              <w:t>Amortization</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89"/>
              </w:rPr>
              <w:t>Gains/(Losses)</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89"/>
              </w:rPr>
              <w:t>Gains/(Losses)</w:t>
            </w: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96"/>
              </w:rPr>
              <w:t>2021</w:t>
            </w:r>
          </w:p>
        </w:tc>
        <w:tc>
          <w:tcPr>
            <w:tcW w:w="780" w:type="dxa"/>
            <w:vAlign w:val="bottom"/>
          </w:tcPr>
          <w:p>
            <w:pPr>
              <w:jc w:val="center"/>
              <w:ind w:left="48"/>
              <w:spacing w:after="0"/>
              <w:rPr>
                <w:sz w:val="20"/>
                <w:szCs w:val="20"/>
                <w:color w:val="auto"/>
              </w:rPr>
            </w:pPr>
            <w:r>
              <w:rPr>
                <w:rFonts w:ascii="Arial" w:cs="Arial" w:eastAsia="Arial" w:hAnsi="Arial"/>
                <w:sz w:val="14"/>
                <w:szCs w:val="14"/>
                <w:b w:val="1"/>
                <w:bCs w:val="1"/>
                <w:color w:val="auto"/>
                <w:w w:val="82"/>
              </w:rPr>
              <w:t>Assets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6626225" cy="1460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626225" cy="146050"/>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p>
      <w:pPr>
        <w:spacing w:after="0" w:line="5" w:lineRule="exact"/>
        <w:rPr>
          <w:sz w:val="20"/>
          <w:szCs w:val="20"/>
          <w:color w:val="auto"/>
        </w:rPr>
      </w:pPr>
    </w:p>
    <w:p>
      <w:pPr>
        <w:ind w:left="20"/>
        <w:spacing w:after="0"/>
        <w:rPr>
          <w:sz w:val="20"/>
          <w:szCs w:val="20"/>
          <w:color w:val="auto"/>
        </w:rPr>
      </w:pPr>
      <w:r>
        <w:rPr>
          <w:rFonts w:ascii="Arial" w:cs="Arial" w:eastAsia="Arial" w:hAnsi="Arial"/>
          <w:sz w:val="16"/>
          <w:szCs w:val="16"/>
          <w:b w:val="1"/>
          <w:bCs w:val="1"/>
          <w:u w:val="single" w:color="auto"/>
          <w:color w:val="auto"/>
        </w:rPr>
        <w:t>CONTROLLED INVESTMENTS</w:t>
      </w:r>
      <w:r>
        <w:rPr>
          <w:rFonts w:ascii="Arial" w:cs="Arial" w:eastAsia="Arial" w:hAnsi="Arial"/>
          <w:sz w:val="16"/>
          <w:szCs w:val="16"/>
          <w:b w:val="1"/>
          <w:bCs w:val="1"/>
          <w:color w:val="auto"/>
        </w:rPr>
        <w:t>*</w:t>
      </w:r>
      <w:r>
        <w:rPr>
          <w:rFonts w:ascii="Arial" w:cs="Arial" w:eastAsia="Arial" w:hAnsi="Arial"/>
          <w:sz w:val="21"/>
          <w:szCs w:val="21"/>
          <w:b w:val="1"/>
          <w:bCs w:val="1"/>
          <w:color w:val="auto"/>
          <w:vertAlign w:val="superscript"/>
        </w:rPr>
        <w:t>(2)</w:t>
      </w:r>
    </w:p>
    <w:p>
      <w:pPr>
        <w:spacing w:after="0" w:line="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Preferred Stock</w:t>
      </w:r>
    </w:p>
    <w:p>
      <w:pPr>
        <w:spacing w:after="0" w:line="18" w:lineRule="exact"/>
        <w:rPr>
          <w:sz w:val="20"/>
          <w:szCs w:val="20"/>
          <w:color w:val="auto"/>
        </w:rPr>
      </w:pPr>
    </w:p>
    <w:p>
      <w:pPr>
        <w:ind w:left="140"/>
        <w:spacing w:after="0"/>
        <w:rPr>
          <w:sz w:val="20"/>
          <w:szCs w:val="20"/>
          <w:color w:val="auto"/>
        </w:rPr>
      </w:pPr>
      <w:r>
        <w:rPr>
          <w:rFonts w:ascii="Arial" w:cs="Arial" w:eastAsia="Arial" w:hAnsi="Arial"/>
          <w:sz w:val="16"/>
          <w:szCs w:val="16"/>
          <w:i w:val="1"/>
          <w:iCs w:val="1"/>
          <w:color w:val="auto"/>
        </w:rPr>
        <w:t>Clean Technology</w:t>
      </w:r>
    </w:p>
    <w:p>
      <w:pPr>
        <w:spacing w:after="0" w:line="32" w:lineRule="exact"/>
        <w:rPr>
          <w:sz w:val="20"/>
          <w:szCs w:val="20"/>
          <w:color w:val="auto"/>
        </w:rPr>
      </w:pPr>
    </w:p>
    <w:p>
      <w:pPr>
        <w:ind w:left="220"/>
        <w:spacing w:after="0" w:line="218" w:lineRule="auto"/>
        <w:rPr>
          <w:sz w:val="20"/>
          <w:szCs w:val="20"/>
          <w:color w:val="auto"/>
        </w:rPr>
      </w:pPr>
      <w:r>
        <w:rPr>
          <w:rFonts w:ascii="Arial" w:cs="Arial" w:eastAsia="Arial" w:hAnsi="Arial"/>
          <w:sz w:val="16"/>
          <w:szCs w:val="16"/>
          <w:color w:val="auto"/>
        </w:rPr>
        <w:t>SPBRX, INC. (f/k/a GSV Sustainability Partners, Inc.)–Preferred shares, Class A***</w:t>
      </w:r>
      <w:r>
        <w:rPr>
          <w:rFonts w:ascii="Arial" w:cs="Arial" w:eastAsia="Arial" w:hAnsi="Arial"/>
          <w:sz w:val="21"/>
          <w:szCs w:val="21"/>
          <w:color w:val="auto"/>
          <w:vertAlign w:val="superscript"/>
        </w:rPr>
        <w:t>(4)</w:t>
      </w:r>
    </w:p>
    <w:p>
      <w:pPr>
        <w:ind w:left="20"/>
        <w:spacing w:after="0"/>
        <w:rPr>
          <w:sz w:val="20"/>
          <w:szCs w:val="20"/>
          <w:color w:val="auto"/>
        </w:rPr>
      </w:pPr>
      <w:r>
        <w:rPr>
          <w:rFonts w:ascii="Arial" w:cs="Arial" w:eastAsia="Arial" w:hAnsi="Arial"/>
          <w:sz w:val="16"/>
          <w:szCs w:val="16"/>
          <w:b w:val="1"/>
          <w:bCs w:val="1"/>
          <w:color w:val="auto"/>
        </w:rPr>
        <w:t>Total Preferred Stock</w:t>
      </w:r>
    </w:p>
    <w:p>
      <w:pPr>
        <w:spacing w:after="0" w:line="14"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Common Stock</w:t>
      </w:r>
    </w:p>
    <w:p>
      <w:pPr>
        <w:spacing w:after="0" w:line="36" w:lineRule="exact"/>
        <w:rPr>
          <w:sz w:val="20"/>
          <w:szCs w:val="20"/>
          <w:color w:val="auto"/>
        </w:rPr>
      </w:pPr>
    </w:p>
    <w:p>
      <w:pPr>
        <w:ind w:left="140"/>
        <w:spacing w:after="0"/>
        <w:rPr>
          <w:sz w:val="20"/>
          <w:szCs w:val="20"/>
          <w:color w:val="auto"/>
        </w:rPr>
      </w:pPr>
      <w:r>
        <w:rPr>
          <w:rFonts w:ascii="Arial" w:cs="Arial" w:eastAsia="Arial" w:hAnsi="Arial"/>
          <w:sz w:val="16"/>
          <w:szCs w:val="16"/>
          <w:i w:val="1"/>
          <w:iCs w:val="1"/>
          <w:color w:val="auto"/>
        </w:rPr>
        <w:t>Clean Technology</w:t>
      </w:r>
    </w:p>
    <w:p>
      <w:pPr>
        <w:spacing w:after="0" w:line="32" w:lineRule="exact"/>
        <w:rPr>
          <w:sz w:val="20"/>
          <w:szCs w:val="20"/>
          <w:color w:val="auto"/>
        </w:rPr>
      </w:pPr>
    </w:p>
    <w:p>
      <w:pPr>
        <w:ind w:left="220"/>
        <w:spacing w:after="0" w:line="262" w:lineRule="auto"/>
        <w:rPr>
          <w:sz w:val="20"/>
          <w:szCs w:val="20"/>
          <w:color w:val="auto"/>
        </w:rPr>
      </w:pPr>
      <w:r>
        <w:rPr>
          <w:rFonts w:ascii="Arial" w:cs="Arial" w:eastAsia="Arial" w:hAnsi="Arial"/>
          <w:sz w:val="15"/>
          <w:szCs w:val="15"/>
          <w:color w:val="auto"/>
        </w:rPr>
        <w:t>SPBRX, INC. (f/k/a GSV Sustainability Partners, Inc.)–Common shares</w:t>
      </w:r>
    </w:p>
    <w:p>
      <w:pPr>
        <w:spacing w:after="0" w:line="1" w:lineRule="exact"/>
        <w:rPr>
          <w:sz w:val="20"/>
          <w:szCs w:val="20"/>
          <w:color w:val="auto"/>
        </w:rPr>
      </w:pPr>
    </w:p>
    <w:p>
      <w:pPr>
        <w:ind w:left="140"/>
        <w:spacing w:after="0"/>
        <w:rPr>
          <w:sz w:val="20"/>
          <w:szCs w:val="20"/>
          <w:color w:val="auto"/>
        </w:rPr>
      </w:pPr>
      <w:r>
        <w:rPr>
          <w:rFonts w:ascii="Arial" w:cs="Arial" w:eastAsia="Arial" w:hAnsi="Arial"/>
          <w:sz w:val="16"/>
          <w:szCs w:val="16"/>
          <w:i w:val="1"/>
          <w:iCs w:val="1"/>
          <w:color w:val="auto"/>
        </w:rPr>
        <w:t>Mobile Finance Technology</w:t>
      </w:r>
    </w:p>
    <w:p>
      <w:pPr>
        <w:spacing w:after="0" w:line="24" w:lineRule="exact"/>
        <w:rPr>
          <w:sz w:val="20"/>
          <w:szCs w:val="20"/>
          <w:color w:val="auto"/>
        </w:rPr>
      </w:pPr>
    </w:p>
    <w:p>
      <w:pPr>
        <w:ind w:left="220"/>
        <w:spacing w:after="0"/>
        <w:rPr>
          <w:sz w:val="20"/>
          <w:szCs w:val="20"/>
          <w:color w:val="auto"/>
        </w:rPr>
      </w:pPr>
      <w:r>
        <w:rPr>
          <w:rFonts w:ascii="Arial" w:cs="Arial" w:eastAsia="Arial" w:hAnsi="Arial"/>
          <w:sz w:val="16"/>
          <w:szCs w:val="16"/>
          <w:color w:val="auto"/>
        </w:rPr>
        <w:t>Architect Capital PayJoy SPV, LLC–</w:t>
      </w:r>
    </w:p>
    <w:p>
      <w:pPr>
        <w:ind w:left="220"/>
        <w:spacing w:after="0" w:line="189" w:lineRule="auto"/>
        <w:rPr>
          <w:sz w:val="20"/>
          <w:szCs w:val="20"/>
          <w:color w:val="auto"/>
        </w:rPr>
      </w:pPr>
      <w:r>
        <w:rPr>
          <w:rFonts w:ascii="Arial" w:cs="Arial" w:eastAsia="Arial" w:hAnsi="Arial"/>
          <w:sz w:val="10"/>
          <w:szCs w:val="10"/>
          <w:color w:val="auto"/>
        </w:rPr>
        <w:t>Membership Interest in Lending SPV**</w:t>
      </w:r>
    </w:p>
    <w:p>
      <w:pPr>
        <w:ind w:left="220"/>
        <w:spacing w:after="0" w:line="235" w:lineRule="auto"/>
        <w:rPr>
          <w:sz w:val="20"/>
          <w:szCs w:val="20"/>
          <w:color w:val="auto"/>
        </w:rPr>
      </w:pPr>
      <w:r>
        <w:rPr>
          <w:rFonts w:ascii="Arial" w:cs="Arial" w:eastAsia="Arial" w:hAnsi="Arial"/>
          <w:sz w:val="11"/>
          <w:szCs w:val="11"/>
          <w:color w:val="auto"/>
        </w:rPr>
        <w:t>(7)</w:t>
      </w:r>
    </w:p>
    <w:p>
      <w:pPr>
        <w:spacing w:after="0" w:line="78"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Total Common Stock</w:t>
      </w:r>
    </w:p>
    <w:p>
      <w:pPr>
        <w:spacing w:after="0" w:line="25"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TOTAL CONTROLLED</w:t>
      </w:r>
    </w:p>
    <w:p>
      <w:pPr>
        <w:ind w:left="20"/>
        <w:spacing w:after="0" w:line="231" w:lineRule="auto"/>
        <w:rPr>
          <w:sz w:val="20"/>
          <w:szCs w:val="20"/>
          <w:color w:val="auto"/>
        </w:rPr>
      </w:pPr>
      <w:r>
        <w:rPr>
          <w:rFonts w:ascii="Arial" w:cs="Arial" w:eastAsia="Arial" w:hAnsi="Arial"/>
          <w:sz w:val="16"/>
          <w:szCs w:val="16"/>
          <w:b w:val="1"/>
          <w:bCs w:val="1"/>
          <w:color w:val="auto"/>
        </w:rPr>
        <w:t>INVESTMENTS*</w:t>
      </w:r>
      <w:r>
        <w:rPr>
          <w:rFonts w:ascii="Arial" w:cs="Arial" w:eastAsia="Arial" w:hAnsi="Arial"/>
          <w:sz w:val="21"/>
          <w:szCs w:val="21"/>
          <w:b w:val="1"/>
          <w:bCs w:val="1"/>
          <w:color w:val="auto"/>
          <w:vertAlign w:val="superscript"/>
        </w:rPr>
        <w:t>(2)</w:t>
      </w:r>
    </w:p>
    <w:p>
      <w:pPr>
        <w:spacing w:after="0" w:line="1" w:lineRule="exact"/>
        <w:rPr>
          <w:sz w:val="20"/>
          <w:szCs w:val="20"/>
          <w:color w:val="auto"/>
        </w:rPr>
      </w:pPr>
    </w:p>
    <w:p>
      <w:pPr>
        <w:ind w:left="20" w:right="320"/>
        <w:spacing w:after="0" w:line="213" w:lineRule="auto"/>
        <w:rPr>
          <w:sz w:val="20"/>
          <w:szCs w:val="20"/>
          <w:color w:val="auto"/>
        </w:rPr>
      </w:pPr>
      <w:r>
        <w:rPr>
          <w:rFonts w:ascii="Arial" w:cs="Arial" w:eastAsia="Arial" w:hAnsi="Arial"/>
          <w:sz w:val="16"/>
          <w:szCs w:val="16"/>
          <w:b w:val="1"/>
          <w:bCs w:val="1"/>
          <w:u w:val="single" w:color="auto"/>
          <w:color w:val="auto"/>
        </w:rPr>
        <w:t>NON-CONTROLLED/AFFILIATE INVESTMENTS</w:t>
      </w:r>
      <w:r>
        <w:rPr>
          <w:rFonts w:ascii="Arial" w:cs="Arial" w:eastAsia="Arial" w:hAnsi="Arial"/>
          <w:sz w:val="16"/>
          <w:szCs w:val="16"/>
          <w:b w:val="1"/>
          <w:bCs w:val="1"/>
          <w:color w:val="auto"/>
        </w:rPr>
        <w:t>*</w:t>
      </w:r>
      <w:r>
        <w:rPr>
          <w:rFonts w:ascii="Arial" w:cs="Arial" w:eastAsia="Arial" w:hAnsi="Arial"/>
          <w:sz w:val="21"/>
          <w:szCs w:val="21"/>
          <w:b w:val="1"/>
          <w:bCs w:val="1"/>
          <w:color w:val="auto"/>
          <w:vertAlign w:val="superscript"/>
        </w:rPr>
        <w:t>(1)</w:t>
      </w:r>
    </w:p>
    <w:p>
      <w:pPr>
        <w:ind w:left="20"/>
        <w:spacing w:after="0"/>
        <w:rPr>
          <w:sz w:val="20"/>
          <w:szCs w:val="20"/>
          <w:color w:val="auto"/>
        </w:rPr>
      </w:pPr>
      <w:r>
        <w:rPr>
          <w:rFonts w:ascii="Arial" w:cs="Arial" w:eastAsia="Arial" w:hAnsi="Arial"/>
          <w:sz w:val="16"/>
          <w:szCs w:val="16"/>
          <w:b w:val="1"/>
          <w:bCs w:val="1"/>
          <w:color w:val="auto"/>
        </w:rPr>
        <w:t>Debt Investments</w:t>
      </w:r>
    </w:p>
    <w:p>
      <w:pPr>
        <w:spacing w:after="0" w:line="18" w:lineRule="exact"/>
        <w:rPr>
          <w:sz w:val="20"/>
          <w:szCs w:val="20"/>
          <w:color w:val="auto"/>
        </w:rPr>
      </w:pPr>
    </w:p>
    <w:p>
      <w:pPr>
        <w:ind w:left="140"/>
        <w:spacing w:after="0"/>
        <w:rPr>
          <w:sz w:val="20"/>
          <w:szCs w:val="20"/>
          <w:color w:val="auto"/>
        </w:rPr>
      </w:pPr>
      <w:r>
        <w:rPr>
          <w:rFonts w:ascii="Arial" w:cs="Arial" w:eastAsia="Arial" w:hAnsi="Arial"/>
          <w:sz w:val="16"/>
          <w:szCs w:val="16"/>
          <w:i w:val="1"/>
          <w:iCs w:val="1"/>
          <w:color w:val="auto"/>
        </w:rPr>
        <w:t>Corporate Education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6"/>
        </w:trPr>
        <w:tc>
          <w:tcPr>
            <w:tcW w:w="900" w:type="dxa"/>
            <w:vAlign w:val="bottom"/>
          </w:tcPr>
          <w:p>
            <w:pPr>
              <w:jc w:val="right"/>
              <w:spacing w:after="0"/>
              <w:rPr>
                <w:sz w:val="20"/>
                <w:szCs w:val="20"/>
                <w:color w:val="auto"/>
              </w:rPr>
            </w:pPr>
            <w:r>
              <w:rPr>
                <w:rFonts w:ascii="Arial" w:cs="Arial" w:eastAsia="Arial" w:hAnsi="Arial"/>
                <w:sz w:val="16"/>
                <w:szCs w:val="16"/>
                <w:color w:val="auto"/>
              </w:rPr>
              <w:t>14,300,000</w:t>
            </w:r>
          </w:p>
        </w:tc>
        <w:tc>
          <w:tcPr>
            <w:tcW w:w="80" w:type="dxa"/>
            <w:vAlign w:val="bottom"/>
          </w:tcPr>
          <w:p>
            <w:pPr>
              <w:spacing w:after="0"/>
              <w:rPr>
                <w:sz w:val="17"/>
                <w:szCs w:val="17"/>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580" w:type="dxa"/>
            <w:vAlign w:val="bottom"/>
            <w:gridSpan w:val="2"/>
          </w:tcPr>
          <w:p>
            <w:pPr>
              <w:ind w:left="26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w w:val="95"/>
              </w:rPr>
              <w:t>$ 809,198</w:t>
            </w:r>
          </w:p>
        </w:tc>
        <w:tc>
          <w:tcPr>
            <w:tcW w:w="80" w:type="dxa"/>
            <w:vAlign w:val="bottom"/>
          </w:tcPr>
          <w:p>
            <w:pPr>
              <w:spacing w:after="0"/>
              <w:rPr>
                <w:sz w:val="17"/>
                <w:szCs w:val="17"/>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7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600" w:type="dxa"/>
            <w:vAlign w:val="bottom"/>
            <w:gridSpan w:val="2"/>
          </w:tcPr>
          <w:p>
            <w:pPr>
              <w:ind w:left="300"/>
              <w:spacing w:after="0"/>
              <w:rPr>
                <w:sz w:val="20"/>
                <w:szCs w:val="20"/>
                <w:color w:val="auto"/>
              </w:rPr>
            </w:pPr>
            <w:r>
              <w:rPr>
                <w:rFonts w:ascii="Arial" w:cs="Arial" w:eastAsia="Arial" w:hAnsi="Arial"/>
                <w:sz w:val="16"/>
                <w:szCs w:val="16"/>
                <w:color w:val="auto"/>
              </w:rPr>
              <w:t>—</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105,000</w:t>
            </w:r>
          </w:p>
        </w:tc>
        <w:tc>
          <w:tcPr>
            <w:tcW w:w="8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914,198</w:t>
            </w:r>
          </w:p>
        </w:tc>
        <w:tc>
          <w:tcPr>
            <w:tcW w:w="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0.21</w:t>
            </w:r>
          </w:p>
        </w:tc>
        <w:tc>
          <w:tcPr>
            <w:tcW w:w="180" w:type="dxa"/>
            <w:vAlign w:val="bottom"/>
          </w:tcPr>
          <w:p>
            <w:pPr>
              <w:jc w:val="right"/>
              <w:spacing w:after="0"/>
              <w:rPr>
                <w:sz w:val="20"/>
                <w:szCs w:val="20"/>
                <w:color w:val="auto"/>
              </w:rPr>
            </w:pPr>
            <w:r>
              <w:rPr>
                <w:rFonts w:ascii="Arial" w:cs="Arial" w:eastAsia="Arial" w:hAnsi="Arial"/>
                <w:sz w:val="16"/>
                <w:szCs w:val="16"/>
                <w:color w:val="auto"/>
                <w:w w:val="98"/>
              </w:rPr>
              <w:t>%</w:t>
            </w:r>
          </w:p>
        </w:tc>
      </w:tr>
      <w:tr>
        <w:trPr>
          <w:trHeight w:val="216"/>
        </w:trPr>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80" w:type="dxa"/>
            <w:vAlign w:val="bottom"/>
            <w:gridSpan w:val="2"/>
          </w:tcPr>
          <w:p>
            <w:pPr>
              <w:ind w:left="26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809,198</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600" w:type="dxa"/>
            <w:vAlign w:val="bottom"/>
            <w:gridSpan w:val="2"/>
          </w:tcPr>
          <w:p>
            <w:pPr>
              <w:ind w:left="3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105,000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914,198</w:t>
            </w: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0.21</w:t>
            </w:r>
          </w:p>
        </w:tc>
        <w:tc>
          <w:tcPr>
            <w:tcW w:w="180" w:type="dxa"/>
            <w:vAlign w:val="bottom"/>
          </w:tcPr>
          <w:p>
            <w:pPr>
              <w:jc w:val="right"/>
              <w:spacing w:after="0"/>
              <w:rPr>
                <w:sz w:val="20"/>
                <w:szCs w:val="20"/>
                <w:color w:val="auto"/>
              </w:rPr>
            </w:pPr>
            <w:r>
              <w:rPr>
                <w:rFonts w:ascii="Arial" w:cs="Arial" w:eastAsia="Arial" w:hAnsi="Arial"/>
                <w:sz w:val="16"/>
                <w:szCs w:val="16"/>
                <w:color w:val="auto"/>
                <w:w w:val="98"/>
              </w:rPr>
              <w:t>%</w:t>
            </w:r>
          </w:p>
        </w:tc>
      </w:tr>
      <w:tr>
        <w:trPr>
          <w:trHeight w:val="810"/>
        </w:trPr>
        <w:tc>
          <w:tcPr>
            <w:tcW w:w="900" w:type="dxa"/>
            <w:vAlign w:val="bottom"/>
          </w:tcPr>
          <w:p>
            <w:pPr>
              <w:jc w:val="right"/>
              <w:spacing w:after="0"/>
              <w:rPr>
                <w:sz w:val="20"/>
                <w:szCs w:val="20"/>
                <w:color w:val="auto"/>
              </w:rPr>
            </w:pPr>
            <w:r>
              <w:rPr>
                <w:rFonts w:ascii="Arial" w:cs="Arial" w:eastAsia="Arial" w:hAnsi="Arial"/>
                <w:sz w:val="16"/>
                <w:szCs w:val="16"/>
                <w:color w:val="auto"/>
              </w:rPr>
              <w:t>100,000</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80" w:type="dxa"/>
            <w:vAlign w:val="bottom"/>
            <w:gridSpan w:val="2"/>
          </w:tcPr>
          <w:p>
            <w:pPr>
              <w:ind w:left="260"/>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4"/>
                <w:szCs w:val="2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4"/>
                <w:szCs w:val="24"/>
                <w:color w:val="auto"/>
              </w:rPr>
            </w:pPr>
          </w:p>
        </w:tc>
        <w:tc>
          <w:tcPr>
            <w:tcW w:w="600" w:type="dxa"/>
            <w:vAlign w:val="bottom"/>
            <w:gridSpan w:val="2"/>
          </w:tcPr>
          <w:p>
            <w:pPr>
              <w:ind w:left="3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4"/>
                <w:szCs w:val="24"/>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4"/>
                <w:szCs w:val="24"/>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 %</w:t>
            </w:r>
          </w:p>
        </w:tc>
      </w:tr>
      <w:tr>
        <w:trPr>
          <w:trHeight w:val="688"/>
        </w:trPr>
        <w:tc>
          <w:tcPr>
            <w:tcW w:w="900" w:type="dxa"/>
            <w:vAlign w:val="bottom"/>
          </w:tcPr>
          <w:p>
            <w:pPr>
              <w:jc w:val="right"/>
              <w:spacing w:after="0"/>
              <w:rPr>
                <w:sz w:val="20"/>
                <w:szCs w:val="20"/>
                <w:color w:val="auto"/>
              </w:rPr>
            </w:pPr>
            <w:r>
              <w:rPr>
                <w:rFonts w:ascii="Arial" w:cs="Arial" w:eastAsia="Arial" w:hAnsi="Arial"/>
                <w:sz w:val="16"/>
                <w:szCs w:val="16"/>
                <w:color w:val="auto"/>
              </w:rPr>
              <w:t>$  500,000</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80" w:type="dxa"/>
            <w:vAlign w:val="bottom"/>
            <w:gridSpan w:val="2"/>
          </w:tcPr>
          <w:p>
            <w:pPr>
              <w:ind w:left="260"/>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500,000</w:t>
            </w: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 w:type="dxa"/>
            <w:vAlign w:val="bottom"/>
            <w:gridSpan w:val="2"/>
          </w:tcPr>
          <w:p>
            <w:pPr>
              <w:ind w:left="3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4"/>
                <w:szCs w:val="24"/>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500,000</w:t>
            </w:r>
          </w:p>
        </w:tc>
        <w:tc>
          <w:tcPr>
            <w:tcW w:w="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0.11</w:t>
            </w:r>
          </w:p>
        </w:tc>
        <w:tc>
          <w:tcPr>
            <w:tcW w:w="180" w:type="dxa"/>
            <w:vAlign w:val="bottom"/>
          </w:tcPr>
          <w:p>
            <w:pPr>
              <w:jc w:val="right"/>
              <w:spacing w:after="0"/>
              <w:rPr>
                <w:sz w:val="20"/>
                <w:szCs w:val="20"/>
                <w:color w:val="auto"/>
              </w:rPr>
            </w:pPr>
            <w:r>
              <w:rPr>
                <w:rFonts w:ascii="Arial" w:cs="Arial" w:eastAsia="Arial" w:hAnsi="Arial"/>
                <w:sz w:val="16"/>
                <w:szCs w:val="16"/>
                <w:color w:val="auto"/>
                <w:w w:val="98"/>
              </w:rPr>
              <w:t>%</w:t>
            </w:r>
          </w:p>
        </w:tc>
      </w:tr>
      <w:tr>
        <w:trPr>
          <w:trHeight w:val="219"/>
        </w:trPr>
        <w:tc>
          <w:tcPr>
            <w:tcW w:w="900" w:type="dxa"/>
            <w:vAlign w:val="bottom"/>
            <w:tcBorders>
              <w:bottom w:val="single" w:sz="8" w:color="CCEEFF"/>
            </w:tcBorders>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ind w:left="2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500,000</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ind w:left="30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500,000</w:t>
            </w:r>
          </w:p>
        </w:tc>
        <w:tc>
          <w:tcPr>
            <w:tcW w:w="8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0.11</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8"/>
              </w:rPr>
              <w:t>%</w:t>
            </w:r>
          </w:p>
        </w:tc>
      </w:tr>
      <w:tr>
        <w:trPr>
          <w:trHeight w:val="345"/>
        </w:trPr>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b w:val="1"/>
                <w:bCs w:val="1"/>
                <w:color w:val="auto"/>
                <w:w w:val="89"/>
              </w:rPr>
              <w:t>$</w:t>
            </w:r>
          </w:p>
        </w:tc>
        <w:tc>
          <w:tcPr>
            <w:tcW w:w="580" w:type="dxa"/>
            <w:vAlign w:val="bottom"/>
            <w:gridSpan w:val="2"/>
          </w:tcPr>
          <w:p>
            <w:pPr>
              <w:ind w:left="260"/>
              <w:spacing w:after="0"/>
              <w:rPr>
                <w:sz w:val="20"/>
                <w:szCs w:val="20"/>
                <w:color w:val="auto"/>
              </w:rPr>
            </w:pPr>
            <w:r>
              <w:rPr>
                <w:rFonts w:ascii="Arial" w:cs="Arial" w:eastAsia="Arial" w:hAnsi="Arial"/>
                <w:sz w:val="16"/>
                <w:szCs w:val="16"/>
                <w:b w:val="1"/>
                <w:bCs w:val="1"/>
                <w:color w:val="auto"/>
              </w:rPr>
              <w:t>—</w:t>
            </w: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w w:val="95"/>
              </w:rPr>
              <w:t>$ 809,198</w:t>
            </w:r>
          </w:p>
        </w:tc>
        <w:tc>
          <w:tcPr>
            <w:tcW w:w="80" w:type="dxa"/>
            <w:vAlign w:val="bottom"/>
          </w:tcPr>
          <w:p>
            <w:pPr>
              <w:spacing w:after="0"/>
              <w:rPr>
                <w:sz w:val="24"/>
                <w:szCs w:val="24"/>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700" w:type="dxa"/>
            <w:vAlign w:val="bottom"/>
          </w:tcPr>
          <w:p>
            <w:pPr>
              <w:jc w:val="right"/>
              <w:spacing w:after="0"/>
              <w:rPr>
                <w:sz w:val="20"/>
                <w:szCs w:val="20"/>
                <w:color w:val="auto"/>
              </w:rPr>
            </w:pPr>
            <w:r>
              <w:rPr>
                <w:rFonts w:ascii="Arial" w:cs="Arial" w:eastAsia="Arial" w:hAnsi="Arial"/>
                <w:sz w:val="16"/>
                <w:szCs w:val="16"/>
                <w:b w:val="1"/>
                <w:bCs w:val="1"/>
                <w:color w:val="auto"/>
              </w:rPr>
              <w:t>500,000</w:t>
            </w:r>
          </w:p>
        </w:tc>
        <w:tc>
          <w:tcPr>
            <w:tcW w:w="80" w:type="dxa"/>
            <w:vAlign w:val="bottom"/>
          </w:tcPr>
          <w:p>
            <w:pPr>
              <w:spacing w:after="0"/>
              <w:rPr>
                <w:sz w:val="24"/>
                <w:szCs w:val="24"/>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b w:val="1"/>
                <w:bCs w:val="1"/>
                <w:color w:val="auto"/>
                <w:w w:val="89"/>
              </w:rPr>
              <w:t>$</w:t>
            </w:r>
          </w:p>
        </w:tc>
        <w:tc>
          <w:tcPr>
            <w:tcW w:w="600" w:type="dxa"/>
            <w:vAlign w:val="bottom"/>
            <w:gridSpan w:val="2"/>
          </w:tcPr>
          <w:p>
            <w:pPr>
              <w:ind w:left="300"/>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105,000</w:t>
            </w:r>
          </w:p>
        </w:tc>
        <w:tc>
          <w:tcPr>
            <w:tcW w:w="8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6"/>
                <w:szCs w:val="16"/>
                <w:b w:val="1"/>
                <w:bCs w:val="1"/>
                <w:u w:val="single" w:color="auto"/>
                <w:color w:val="auto"/>
                <w:w w:val="89"/>
              </w:rPr>
              <w:t>$</w:t>
            </w: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w w:val="89"/>
              </w:rPr>
              <w:t>1,414,198</w:t>
            </w:r>
          </w:p>
        </w:tc>
        <w:tc>
          <w:tcPr>
            <w:tcW w:w="80" w:type="dxa"/>
            <w:vAlign w:val="bottom"/>
          </w:tcPr>
          <w:p>
            <w:pPr>
              <w:spacing w:after="0"/>
              <w:rPr>
                <w:sz w:val="24"/>
                <w:szCs w:val="24"/>
                <w:color w:val="auto"/>
              </w:rPr>
            </w:pPr>
          </w:p>
        </w:tc>
        <w:tc>
          <w:tcPr>
            <w:tcW w:w="880" w:type="dxa"/>
            <w:vAlign w:val="bottom"/>
            <w:gridSpan w:val="2"/>
          </w:tcPr>
          <w:p>
            <w:pPr>
              <w:jc w:val="right"/>
              <w:spacing w:after="0"/>
              <w:rPr>
                <w:sz w:val="20"/>
                <w:szCs w:val="20"/>
                <w:color w:val="auto"/>
              </w:rPr>
            </w:pPr>
            <w:r>
              <w:rPr>
                <w:rFonts w:ascii="Arial" w:cs="Arial" w:eastAsia="Arial" w:hAnsi="Arial"/>
                <w:sz w:val="16"/>
                <w:szCs w:val="16"/>
                <w:b w:val="1"/>
                <w:bCs w:val="1"/>
                <w:color w:val="auto"/>
              </w:rPr>
              <w:t>0.32 %</w:t>
            </w:r>
          </w:p>
        </w:tc>
      </w:tr>
      <w:tr>
        <w:trPr>
          <w:trHeight w:val="23"/>
        </w:trPr>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Borders>
              <w:top w:val="single" w:sz="8" w:color="auto"/>
              <w:bottom w:val="single" w:sz="8" w:color="auto"/>
            </w:tcBorders>
          </w:tcPr>
          <w:p>
            <w:pPr>
              <w:spacing w:after="0"/>
              <w:rPr>
                <w:sz w:val="2"/>
                <w:szCs w:val="2"/>
                <w:color w:val="auto"/>
              </w:rPr>
            </w:pPr>
          </w:p>
        </w:tc>
        <w:tc>
          <w:tcPr>
            <w:tcW w:w="50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top w:val="single" w:sz="8" w:color="auto"/>
              <w:bottom w:val="single" w:sz="8" w:color="auto"/>
            </w:tcBorders>
          </w:tcPr>
          <w:p>
            <w:pPr>
              <w:spacing w:after="0"/>
              <w:rPr>
                <w:sz w:val="2"/>
                <w:szCs w:val="2"/>
                <w:color w:val="auto"/>
              </w:rPr>
            </w:pPr>
          </w:p>
        </w:tc>
        <w:tc>
          <w:tcPr>
            <w:tcW w:w="70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Borders>
              <w:top w:val="single" w:sz="8" w:color="auto"/>
              <w:bottom w:val="single" w:sz="8" w:color="auto"/>
            </w:tcBorders>
          </w:tcPr>
          <w:p>
            <w:pPr>
              <w:spacing w:after="0"/>
              <w:rPr>
                <w:sz w:val="2"/>
                <w:szCs w:val="2"/>
                <w:color w:val="auto"/>
              </w:rPr>
            </w:pPr>
          </w:p>
        </w:tc>
        <w:tc>
          <w:tcPr>
            <w:tcW w:w="52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top w:val="single" w:sz="8" w:color="auto"/>
              <w:bottom w:val="single" w:sz="8" w:color="auto"/>
            </w:tcBorders>
          </w:tcPr>
          <w:p>
            <w:pPr>
              <w:spacing w:after="0"/>
              <w:rPr>
                <w:sz w:val="2"/>
                <w:szCs w:val="2"/>
                <w:color w:val="auto"/>
              </w:rPr>
            </w:pPr>
          </w:p>
        </w:tc>
        <w:tc>
          <w:tcPr>
            <w:tcW w:w="72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72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Borders>
              <w:top w:val="single" w:sz="8" w:color="auto"/>
              <w:bottom w:val="single" w:sz="8" w:color="auto"/>
            </w:tcBorders>
          </w:tcPr>
          <w:p>
            <w:pPr>
              <w:spacing w:after="0"/>
              <w:rPr>
                <w:sz w:val="2"/>
                <w:szCs w:val="2"/>
                <w:color w:val="auto"/>
              </w:rPr>
            </w:pPr>
          </w:p>
        </w:tc>
        <w:tc>
          <w:tcPr>
            <w:tcW w:w="180" w:type="dxa"/>
            <w:vAlign w:val="bottom"/>
            <w:tcBorders>
              <w:top w:val="single" w:sz="8" w:color="auto"/>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-1823085</wp:posOffset>
            </wp:positionH>
            <wp:positionV relativeFrom="paragraph">
              <wp:posOffset>-1971040</wp:posOffset>
            </wp:positionV>
            <wp:extent cx="6626225" cy="13716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626225" cy="137160"/>
                    </a:xfrm>
                    <a:prstGeom prst="rect">
                      <a:avLst/>
                    </a:prstGeom>
                    <a:noFill/>
                  </pic:spPr>
                </pic:pic>
              </a:graphicData>
            </a:graphic>
          </wp:anchor>
        </w:drawing>
        <w:drawing>
          <wp:anchor simplePos="0" relativeHeight="251657728" behindDoc="1" locked="0" layoutInCell="0" allowOverlap="1">
            <wp:simplePos x="0" y="0"/>
            <wp:positionH relativeFrom="column">
              <wp:posOffset>-1823085</wp:posOffset>
            </wp:positionH>
            <wp:positionV relativeFrom="paragraph">
              <wp:posOffset>-1490980</wp:posOffset>
            </wp:positionV>
            <wp:extent cx="6626225" cy="13716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626225" cy="137160"/>
                    </a:xfrm>
                    <a:prstGeom prst="rect">
                      <a:avLst/>
                    </a:prstGeom>
                    <a:noFill/>
                  </pic:spPr>
                </pic:pic>
              </a:graphicData>
            </a:graphic>
          </wp:anchor>
        </w:drawing>
        <w:drawing>
          <wp:anchor simplePos="0" relativeHeight="251657728" behindDoc="1" locked="0" layoutInCell="0" allowOverlap="1">
            <wp:simplePos x="0" y="0"/>
            <wp:positionH relativeFrom="column">
              <wp:posOffset>-1823085</wp:posOffset>
            </wp:positionH>
            <wp:positionV relativeFrom="paragraph">
              <wp:posOffset>-1216660</wp:posOffset>
            </wp:positionV>
            <wp:extent cx="6626225" cy="13716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626225" cy="137160"/>
                    </a:xfrm>
                    <a:prstGeom prst="rect">
                      <a:avLst/>
                    </a:prstGeom>
                    <a:noFill/>
                  </pic:spPr>
                </pic:pic>
              </a:graphicData>
            </a:graphic>
          </wp:anchor>
        </w:drawing>
        <w:drawing>
          <wp:anchor simplePos="0" relativeHeight="251657728" behindDoc="1" locked="0" layoutInCell="0" allowOverlap="1">
            <wp:simplePos x="0" y="0"/>
            <wp:positionH relativeFrom="column">
              <wp:posOffset>-1823085</wp:posOffset>
            </wp:positionH>
            <wp:positionV relativeFrom="paragraph">
              <wp:posOffset>-839470</wp:posOffset>
            </wp:positionV>
            <wp:extent cx="6626225" cy="13716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626225" cy="137160"/>
                    </a:xfrm>
                    <a:prstGeom prst="rect">
                      <a:avLst/>
                    </a:prstGeom>
                    <a:noFill/>
                  </pic:spPr>
                </pic:pic>
              </a:graphicData>
            </a:graphic>
          </wp:anchor>
        </w:drawing>
        <w:drawing>
          <wp:anchor simplePos="0" relativeHeight="251657728" behindDoc="1" locked="0" layoutInCell="0" allowOverlap="1">
            <wp:simplePos x="0" y="0"/>
            <wp:positionH relativeFrom="column">
              <wp:posOffset>-1823085</wp:posOffset>
            </wp:positionH>
            <wp:positionV relativeFrom="paragraph">
              <wp:posOffset>-16510</wp:posOffset>
            </wp:positionV>
            <wp:extent cx="6626225" cy="24003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626225" cy="240030"/>
                    </a:xfrm>
                    <a:prstGeom prst="rect">
                      <a:avLst/>
                    </a:prstGeom>
                    <a:noFill/>
                  </pic:spPr>
                </pic:pic>
              </a:graphicData>
            </a:graphic>
          </wp:anchor>
        </w:drawing>
        <w:drawing>
          <wp:anchor simplePos="0" relativeHeight="251657728" behindDoc="1" locked="0" layoutInCell="0" allowOverlap="1">
            <wp:simplePos x="0" y="0"/>
            <wp:positionH relativeFrom="column">
              <wp:posOffset>-1823085</wp:posOffset>
            </wp:positionH>
            <wp:positionV relativeFrom="paragraph">
              <wp:posOffset>360045</wp:posOffset>
            </wp:positionV>
            <wp:extent cx="6626225" cy="13716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626225" cy="137160"/>
                    </a:xfrm>
                    <a:prstGeom prst="rect">
                      <a:avLst/>
                    </a:prstGeom>
                    <a:noFill/>
                  </pic:spPr>
                </pic:pic>
              </a:graphicData>
            </a:graphic>
          </wp:anchor>
        </w:drawing>
        <w:drawing>
          <wp:anchor simplePos="0" relativeHeight="251657728" behindDoc="1" locked="0" layoutInCell="0" allowOverlap="1">
            <wp:simplePos x="0" y="0"/>
            <wp:positionH relativeFrom="column">
              <wp:posOffset>-1823085</wp:posOffset>
            </wp:positionH>
            <wp:positionV relativeFrom="paragraph">
              <wp:posOffset>-402590</wp:posOffset>
            </wp:positionV>
            <wp:extent cx="6626225" cy="1460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626225" cy="146050"/>
                    </a:xfrm>
                    <a:prstGeom prst="rect">
                      <a:avLst/>
                    </a:prstGeom>
                    <a:noFill/>
                  </pic:spPr>
                </pic:pic>
              </a:graphicData>
            </a:graphic>
          </wp:anchor>
        </w:drawing>
      </w:r>
    </w:p>
    <w:p>
      <w:pPr>
        <w:spacing w:after="0" w:line="764" w:lineRule="exact"/>
        <w:rPr>
          <w:sz w:val="20"/>
          <w:szCs w:val="20"/>
          <w:color w:val="auto"/>
        </w:rPr>
      </w:pPr>
    </w:p>
    <w:p>
      <w:pPr>
        <w:sectPr>
          <w:pgSz w:w="11900" w:h="16838" w:orient="portrait"/>
          <w:cols w:equalWidth="0" w:num="2">
            <w:col w:w="2820" w:space="60"/>
            <w:col w:w="8300"/>
          </w:cols>
          <w:pgMar w:left="320" w:top="121" w:right="399" w:bottom="1440" w:gutter="0" w:footer="0" w:header="0"/>
          <w:type w:val="continuous"/>
        </w:sectPr>
      </w:pPr>
    </w:p>
    <w:tbl>
      <w:tblPr>
        <w:tblLayout w:type="fixed"/>
        <w:tblInd w:w="0" w:type="dxa"/>
        <w:tblCellMar>
          <w:top w:w="0" w:type="dxa"/>
          <w:left w:w="0" w:type="dxa"/>
          <w:bottom w:w="0" w:type="dxa"/>
          <w:right w:w="0" w:type="dxa"/>
        </w:tblCellMar>
      </w:tblPr>
      <w:tr>
        <w:trPr>
          <w:trHeight w:val="184"/>
        </w:trPr>
        <w:tc>
          <w:tcPr>
            <w:tcW w:w="2880" w:type="dxa"/>
            <w:vAlign w:val="bottom"/>
          </w:tcPr>
          <w:p>
            <w:pPr>
              <w:ind w:left="220"/>
              <w:spacing w:after="0"/>
              <w:rPr>
                <w:sz w:val="20"/>
                <w:szCs w:val="20"/>
                <w:color w:val="auto"/>
              </w:rPr>
            </w:pPr>
            <w:r>
              <w:rPr>
                <w:rFonts w:ascii="Arial" w:cs="Arial" w:eastAsia="Arial" w:hAnsi="Arial"/>
                <w:sz w:val="16"/>
                <w:szCs w:val="16"/>
                <w:color w:val="auto"/>
              </w:rPr>
              <w:t>CUX, Inc. (d/b/a CorpU)–Senior</w:t>
            </w:r>
          </w:p>
        </w:tc>
        <w:tc>
          <w:tcPr>
            <w:tcW w:w="9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2880" w:type="dxa"/>
            <w:vAlign w:val="bottom"/>
          </w:tcPr>
          <w:p>
            <w:pPr>
              <w:ind w:left="220"/>
              <w:spacing w:after="0" w:line="158" w:lineRule="exact"/>
              <w:rPr>
                <w:sz w:val="20"/>
                <w:szCs w:val="20"/>
                <w:color w:val="auto"/>
              </w:rPr>
            </w:pPr>
            <w:r>
              <w:rPr>
                <w:rFonts w:ascii="Arial" w:cs="Arial" w:eastAsia="Arial" w:hAnsi="Arial"/>
                <w:sz w:val="16"/>
                <w:szCs w:val="16"/>
                <w:color w:val="auto"/>
                <w:w w:val="99"/>
              </w:rPr>
              <w:t>Subordinated Convertible Promissory</w:t>
            </w: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$1,251,158</w:t>
            </w:r>
          </w:p>
        </w:tc>
        <w:tc>
          <w:tcPr>
            <w:tcW w:w="440" w:type="dxa"/>
            <w:vAlign w:val="bottom"/>
            <w:vMerge w:val="restart"/>
          </w:tcPr>
          <w:p>
            <w:pPr>
              <w:jc w:val="right"/>
              <w:ind w:right="199"/>
              <w:spacing w:after="0"/>
              <w:rPr>
                <w:sz w:val="20"/>
                <w:szCs w:val="20"/>
                <w:color w:val="auto"/>
              </w:rPr>
            </w:pPr>
            <w:r>
              <w:rPr>
                <w:rFonts w:ascii="Arial" w:cs="Arial" w:eastAsia="Arial" w:hAnsi="Arial"/>
                <w:sz w:val="16"/>
                <w:szCs w:val="16"/>
                <w:color w:val="auto"/>
              </w:rPr>
              <w:t>$</w:t>
            </w:r>
          </w:p>
        </w:tc>
        <w:tc>
          <w:tcPr>
            <w:tcW w:w="500" w:type="dxa"/>
            <w:vAlign w:val="bottom"/>
            <w:vMerge w:val="restart"/>
          </w:tcPr>
          <w:p>
            <w:pPr>
              <w:ind w:left="260"/>
              <w:spacing w:after="0"/>
              <w:rPr>
                <w:sz w:val="20"/>
                <w:szCs w:val="20"/>
                <w:color w:val="auto"/>
              </w:rPr>
            </w:pPr>
            <w:r>
              <w:rPr>
                <w:rFonts w:ascii="Arial" w:cs="Arial" w:eastAsia="Arial" w:hAnsi="Arial"/>
                <w:sz w:val="16"/>
                <w:szCs w:val="16"/>
                <w:color w:val="auto"/>
              </w:rPr>
              <w:t>—</w:t>
            </w: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$ 312,790</w:t>
            </w:r>
          </w:p>
        </w:tc>
        <w:tc>
          <w:tcPr>
            <w:tcW w:w="440" w:type="dxa"/>
            <w:vAlign w:val="bottom"/>
            <w:vMerge w:val="restart"/>
          </w:tcPr>
          <w:p>
            <w:pPr>
              <w:jc w:val="right"/>
              <w:ind w:right="199"/>
              <w:spacing w:after="0"/>
              <w:rPr>
                <w:sz w:val="20"/>
                <w:szCs w:val="20"/>
                <w:color w:val="auto"/>
              </w:rPr>
            </w:pPr>
            <w:r>
              <w:rPr>
                <w:rFonts w:ascii="Arial" w:cs="Arial" w:eastAsia="Arial" w:hAnsi="Arial"/>
                <w:sz w:val="16"/>
                <w:szCs w:val="16"/>
                <w:color w:val="auto"/>
              </w:rPr>
              <w:t>$</w:t>
            </w:r>
          </w:p>
        </w:tc>
        <w:tc>
          <w:tcPr>
            <w:tcW w:w="1000" w:type="dxa"/>
            <w:vAlign w:val="bottom"/>
            <w:vMerge w:val="restart"/>
          </w:tcPr>
          <w:p>
            <w:pPr>
              <w:ind w:left="280"/>
              <w:spacing w:after="0"/>
              <w:rPr>
                <w:sz w:val="20"/>
                <w:szCs w:val="20"/>
                <w:color w:val="auto"/>
              </w:rPr>
            </w:pPr>
            <w:r>
              <w:rPr>
                <w:rFonts w:ascii="Arial" w:cs="Arial" w:eastAsia="Arial" w:hAnsi="Arial"/>
                <w:sz w:val="16"/>
                <w:szCs w:val="16"/>
                <w:color w:val="auto"/>
              </w:rPr>
              <w:t>—  $</w:t>
            </w:r>
          </w:p>
        </w:tc>
        <w:tc>
          <w:tcPr>
            <w:tcW w:w="880" w:type="dxa"/>
            <w:vAlign w:val="bottom"/>
            <w:vMerge w:val="restart"/>
          </w:tcPr>
          <w:p>
            <w:pPr>
              <w:ind w:left="300"/>
              <w:spacing w:after="0"/>
              <w:rPr>
                <w:sz w:val="20"/>
                <w:szCs w:val="20"/>
                <w:color w:val="auto"/>
              </w:rPr>
            </w:pPr>
            <w:r>
              <w:rPr>
                <w:rFonts w:ascii="Arial" w:cs="Arial" w:eastAsia="Arial" w:hAnsi="Arial"/>
                <w:sz w:val="16"/>
                <w:szCs w:val="16"/>
                <w:color w:val="auto"/>
              </w:rPr>
              <w:t>—  $</w:t>
            </w:r>
          </w:p>
        </w:tc>
        <w:tc>
          <w:tcPr>
            <w:tcW w:w="700" w:type="dxa"/>
            <w:vAlign w:val="bottom"/>
            <w:vMerge w:val="restart"/>
          </w:tcPr>
          <w:p>
            <w:pPr>
              <w:ind w:left="440"/>
              <w:spacing w:after="0"/>
              <w:rPr>
                <w:sz w:val="20"/>
                <w:szCs w:val="20"/>
                <w:color w:val="auto"/>
              </w:rPr>
            </w:pPr>
            <w:r>
              <w:rPr>
                <w:rFonts w:ascii="Arial" w:cs="Arial" w:eastAsia="Arial" w:hAnsi="Arial"/>
                <w:sz w:val="16"/>
                <w:szCs w:val="16"/>
                <w:color w:val="auto"/>
              </w:rPr>
              <w:t>—</w:t>
            </w:r>
          </w:p>
        </w:tc>
        <w:tc>
          <w:tcPr>
            <w:tcW w:w="2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60" w:type="dxa"/>
            <w:vAlign w:val="bottom"/>
            <w:vMerge w:val="restart"/>
          </w:tcPr>
          <w:p>
            <w:pPr>
              <w:jc w:val="right"/>
              <w:ind w:right="179"/>
              <w:spacing w:after="0"/>
              <w:rPr>
                <w:sz w:val="20"/>
                <w:szCs w:val="20"/>
                <w:color w:val="auto"/>
              </w:rPr>
            </w:pPr>
            <w:r>
              <w:rPr>
                <w:rFonts w:ascii="Arial" w:cs="Arial" w:eastAsia="Arial" w:hAnsi="Arial"/>
                <w:sz w:val="16"/>
                <w:szCs w:val="16"/>
                <w:color w:val="auto"/>
              </w:rPr>
              <w:t>312,790</w:t>
            </w:r>
          </w:p>
        </w:tc>
        <w:tc>
          <w:tcPr>
            <w:tcW w:w="580" w:type="dxa"/>
            <w:vAlign w:val="bottom"/>
            <w:vMerge w:val="restart"/>
          </w:tcPr>
          <w:p>
            <w:pPr>
              <w:jc w:val="right"/>
              <w:spacing w:after="0"/>
              <w:rPr>
                <w:sz w:val="20"/>
                <w:szCs w:val="20"/>
                <w:color w:val="auto"/>
              </w:rPr>
            </w:pPr>
            <w:r>
              <w:rPr>
                <w:rFonts w:ascii="Arial" w:cs="Arial" w:eastAsia="Arial" w:hAnsi="Arial"/>
                <w:sz w:val="16"/>
                <w:szCs w:val="16"/>
                <w:color w:val="auto"/>
              </w:rPr>
              <w:t>0.07</w:t>
            </w:r>
          </w:p>
        </w:tc>
        <w:tc>
          <w:tcPr>
            <w:tcW w:w="180" w:type="dxa"/>
            <w:vAlign w:val="bottom"/>
            <w:vMerge w:val="restart"/>
          </w:tcPr>
          <w:p>
            <w:pPr>
              <w:jc w:val="right"/>
              <w:spacing w:after="0"/>
              <w:rPr>
                <w:sz w:val="20"/>
                <w:szCs w:val="20"/>
                <w:color w:val="auto"/>
              </w:rPr>
            </w:pPr>
            <w:r>
              <w:rPr>
                <w:rFonts w:ascii="Arial" w:cs="Arial" w:eastAsia="Arial" w:hAnsi="Arial"/>
                <w:sz w:val="16"/>
                <w:szCs w:val="16"/>
                <w:color w:val="auto"/>
                <w:w w:val="98"/>
              </w:rPr>
              <w:t>%</w:t>
            </w:r>
          </w:p>
        </w:tc>
        <w:tc>
          <w:tcPr>
            <w:tcW w:w="0" w:type="dxa"/>
            <w:vAlign w:val="bottom"/>
          </w:tcPr>
          <w:p>
            <w:pPr>
              <w:spacing w:after="0"/>
              <w:rPr>
                <w:sz w:val="1"/>
                <w:szCs w:val="1"/>
                <w:color w:val="auto"/>
              </w:rPr>
            </w:pPr>
          </w:p>
        </w:tc>
      </w:tr>
      <w:tr>
        <w:trPr>
          <w:trHeight w:val="216"/>
        </w:trPr>
        <w:tc>
          <w:tcPr>
            <w:tcW w:w="2880" w:type="dxa"/>
            <w:vAlign w:val="bottom"/>
          </w:tcPr>
          <w:p>
            <w:pPr>
              <w:ind w:left="220"/>
              <w:spacing w:after="0" w:line="216" w:lineRule="exact"/>
              <w:rPr>
                <w:sz w:val="20"/>
                <w:szCs w:val="20"/>
                <w:color w:val="auto"/>
              </w:rPr>
            </w:pPr>
            <w:r>
              <w:rPr>
                <w:rFonts w:ascii="Arial" w:cs="Arial" w:eastAsia="Arial" w:hAnsi="Arial"/>
                <w:sz w:val="16"/>
                <w:szCs w:val="16"/>
                <w:color w:val="auto"/>
              </w:rPr>
              <w:t>Note 4% Due 2/14/2023</w:t>
            </w:r>
            <w:r>
              <w:rPr>
                <w:rFonts w:ascii="Arial" w:cs="Arial" w:eastAsia="Arial" w:hAnsi="Arial"/>
                <w:sz w:val="21"/>
                <w:szCs w:val="21"/>
                <w:color w:val="auto"/>
                <w:vertAlign w:val="superscript"/>
              </w:rPr>
              <w:t>(3)</w:t>
            </w:r>
          </w:p>
        </w:tc>
        <w:tc>
          <w:tcPr>
            <w:tcW w:w="920" w:type="dxa"/>
            <w:vAlign w:val="bottom"/>
            <w:vMerge w:val="continue"/>
          </w:tcPr>
          <w:p>
            <w:pPr>
              <w:spacing w:after="0"/>
              <w:rPr>
                <w:sz w:val="18"/>
                <w:szCs w:val="18"/>
                <w:color w:val="auto"/>
              </w:rPr>
            </w:pPr>
          </w:p>
        </w:tc>
        <w:tc>
          <w:tcPr>
            <w:tcW w:w="440" w:type="dxa"/>
            <w:vAlign w:val="bottom"/>
            <w:vMerge w:val="continue"/>
          </w:tcPr>
          <w:p>
            <w:pPr>
              <w:spacing w:after="0"/>
              <w:rPr>
                <w:sz w:val="18"/>
                <w:szCs w:val="18"/>
                <w:color w:val="auto"/>
              </w:rPr>
            </w:pPr>
          </w:p>
        </w:tc>
        <w:tc>
          <w:tcPr>
            <w:tcW w:w="500" w:type="dxa"/>
            <w:vAlign w:val="bottom"/>
            <w:vMerge w:val="continue"/>
          </w:tcPr>
          <w:p>
            <w:pPr>
              <w:spacing w:after="0"/>
              <w:rPr>
                <w:sz w:val="18"/>
                <w:szCs w:val="18"/>
                <w:color w:val="auto"/>
              </w:rPr>
            </w:pPr>
          </w:p>
        </w:tc>
        <w:tc>
          <w:tcPr>
            <w:tcW w:w="860" w:type="dxa"/>
            <w:vAlign w:val="bottom"/>
            <w:vMerge w:val="continue"/>
          </w:tcPr>
          <w:p>
            <w:pPr>
              <w:spacing w:after="0"/>
              <w:rPr>
                <w:sz w:val="18"/>
                <w:szCs w:val="18"/>
                <w:color w:val="auto"/>
              </w:rPr>
            </w:pPr>
          </w:p>
        </w:tc>
        <w:tc>
          <w:tcPr>
            <w:tcW w:w="440" w:type="dxa"/>
            <w:vAlign w:val="bottom"/>
            <w:vMerge w:val="continue"/>
          </w:tcPr>
          <w:p>
            <w:pPr>
              <w:spacing w:after="0"/>
              <w:rPr>
                <w:sz w:val="18"/>
                <w:szCs w:val="18"/>
                <w:color w:val="auto"/>
              </w:rPr>
            </w:pPr>
          </w:p>
        </w:tc>
        <w:tc>
          <w:tcPr>
            <w:tcW w:w="1000" w:type="dxa"/>
            <w:vAlign w:val="bottom"/>
            <w:vMerge w:val="continue"/>
          </w:tcPr>
          <w:p>
            <w:pPr>
              <w:spacing w:after="0"/>
              <w:rPr>
                <w:sz w:val="18"/>
                <w:szCs w:val="18"/>
                <w:color w:val="auto"/>
              </w:rPr>
            </w:pPr>
          </w:p>
        </w:tc>
        <w:tc>
          <w:tcPr>
            <w:tcW w:w="880" w:type="dxa"/>
            <w:vAlign w:val="bottom"/>
            <w:vMerge w:val="continue"/>
          </w:tcPr>
          <w:p>
            <w:pPr>
              <w:spacing w:after="0"/>
              <w:rPr>
                <w:sz w:val="18"/>
                <w:szCs w:val="18"/>
                <w:color w:val="auto"/>
              </w:rPr>
            </w:pPr>
          </w:p>
        </w:tc>
        <w:tc>
          <w:tcPr>
            <w:tcW w:w="700" w:type="dxa"/>
            <w:vAlign w:val="bottom"/>
            <w:vMerge w:val="continue"/>
          </w:tcPr>
          <w:p>
            <w:pPr>
              <w:spacing w:after="0"/>
              <w:rPr>
                <w:sz w:val="18"/>
                <w:szCs w:val="18"/>
                <w:color w:val="auto"/>
              </w:rPr>
            </w:pPr>
          </w:p>
        </w:tc>
        <w:tc>
          <w:tcPr>
            <w:tcW w:w="200" w:type="dxa"/>
            <w:vAlign w:val="bottom"/>
            <w:vMerge w:val="continue"/>
          </w:tcPr>
          <w:p>
            <w:pPr>
              <w:spacing w:after="0"/>
              <w:rPr>
                <w:sz w:val="18"/>
                <w:szCs w:val="18"/>
                <w:color w:val="auto"/>
              </w:rPr>
            </w:pPr>
          </w:p>
        </w:tc>
        <w:tc>
          <w:tcPr>
            <w:tcW w:w="860" w:type="dxa"/>
            <w:vAlign w:val="bottom"/>
            <w:vMerge w:val="continue"/>
          </w:tcPr>
          <w:p>
            <w:pPr>
              <w:spacing w:after="0"/>
              <w:rPr>
                <w:sz w:val="18"/>
                <w:szCs w:val="18"/>
                <w:color w:val="auto"/>
              </w:rPr>
            </w:pPr>
          </w:p>
        </w:tc>
        <w:tc>
          <w:tcPr>
            <w:tcW w:w="580" w:type="dxa"/>
            <w:vAlign w:val="bottom"/>
            <w:vMerge w:val="continue"/>
          </w:tcPr>
          <w:p>
            <w:pPr>
              <w:spacing w:after="0"/>
              <w:rPr>
                <w:sz w:val="18"/>
                <w:szCs w:val="18"/>
                <w:color w:val="auto"/>
              </w:rPr>
            </w:pPr>
          </w:p>
        </w:tc>
        <w:tc>
          <w:tcPr>
            <w:tcW w:w="1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80" w:type="dxa"/>
            <w:vAlign w:val="bottom"/>
            <w:shd w:val="clear" w:color="auto" w:fill="CCEEFF"/>
          </w:tcPr>
          <w:p>
            <w:pPr>
              <w:ind w:left="140"/>
              <w:spacing w:after="0"/>
              <w:rPr>
                <w:sz w:val="20"/>
                <w:szCs w:val="20"/>
                <w:color w:val="auto"/>
              </w:rPr>
            </w:pPr>
            <w:r>
              <w:rPr>
                <w:rFonts w:ascii="Arial" w:cs="Arial" w:eastAsia="Arial" w:hAnsi="Arial"/>
                <w:sz w:val="16"/>
                <w:szCs w:val="16"/>
                <w:i w:val="1"/>
                <w:iCs w:val="1"/>
                <w:color w:val="auto"/>
              </w:rPr>
              <w:t>Global Innovation Platform</w:t>
            </w:r>
          </w:p>
        </w:tc>
        <w:tc>
          <w:tcPr>
            <w:tcW w:w="9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2880" w:type="dxa"/>
            <w:vAlign w:val="bottom"/>
          </w:tcPr>
          <w:p>
            <w:pPr>
              <w:ind w:left="220"/>
              <w:spacing w:after="0" w:line="166" w:lineRule="exact"/>
              <w:rPr>
                <w:sz w:val="20"/>
                <w:szCs w:val="20"/>
                <w:color w:val="auto"/>
              </w:rPr>
            </w:pPr>
            <w:r>
              <w:rPr>
                <w:rFonts w:ascii="Arial" w:cs="Arial" w:eastAsia="Arial" w:hAnsi="Arial"/>
                <w:sz w:val="16"/>
                <w:szCs w:val="16"/>
                <w:color w:val="auto"/>
                <w:w w:val="94"/>
              </w:rPr>
              <w:t>NestGSV, Inc. (d/b/a OneValley, Inc.) –</w:t>
            </w:r>
          </w:p>
        </w:tc>
        <w:tc>
          <w:tcPr>
            <w:tcW w:w="9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2880" w:type="dxa"/>
            <w:vAlign w:val="bottom"/>
          </w:tcPr>
          <w:p>
            <w:pPr>
              <w:ind w:left="220"/>
              <w:spacing w:after="0" w:line="158" w:lineRule="exact"/>
              <w:rPr>
                <w:sz w:val="20"/>
                <w:szCs w:val="20"/>
                <w:color w:val="auto"/>
              </w:rPr>
            </w:pPr>
            <w:r>
              <w:rPr>
                <w:rFonts w:ascii="Arial" w:cs="Arial" w:eastAsia="Arial" w:hAnsi="Arial"/>
                <w:sz w:val="16"/>
                <w:szCs w:val="16"/>
                <w:color w:val="auto"/>
                <w:w w:val="99"/>
              </w:rPr>
              <w:t>Convertible Promissory Note 8% Due</w:t>
            </w: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$1,010,198</w:t>
            </w:r>
          </w:p>
        </w:tc>
        <w:tc>
          <w:tcPr>
            <w:tcW w:w="440" w:type="dxa"/>
            <w:vAlign w:val="bottom"/>
          </w:tcPr>
          <w:p>
            <w:pPr>
              <w:spacing w:after="0"/>
              <w:rPr>
                <w:sz w:val="13"/>
                <w:szCs w:val="13"/>
                <w:color w:val="auto"/>
              </w:rPr>
            </w:pPr>
          </w:p>
        </w:tc>
        <w:tc>
          <w:tcPr>
            <w:tcW w:w="500" w:type="dxa"/>
            <w:vAlign w:val="bottom"/>
            <w:vMerge w:val="restart"/>
          </w:tcPr>
          <w:p>
            <w:pPr>
              <w:ind w:left="260"/>
              <w:spacing w:after="0"/>
              <w:rPr>
                <w:sz w:val="20"/>
                <w:szCs w:val="20"/>
                <w:color w:val="auto"/>
              </w:rPr>
            </w:pPr>
            <w:r>
              <w:rPr>
                <w:rFonts w:ascii="Arial" w:cs="Arial" w:eastAsia="Arial" w:hAnsi="Arial"/>
                <w:sz w:val="16"/>
                <w:szCs w:val="16"/>
                <w:color w:val="auto"/>
              </w:rPr>
              <w:t>—</w:t>
            </w: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505,099</w:t>
            </w:r>
          </w:p>
        </w:tc>
        <w:tc>
          <w:tcPr>
            <w:tcW w:w="440" w:type="dxa"/>
            <w:vAlign w:val="bottom"/>
          </w:tcPr>
          <w:p>
            <w:pPr>
              <w:spacing w:after="0"/>
              <w:rPr>
                <w:sz w:val="13"/>
                <w:szCs w:val="13"/>
                <w:color w:val="auto"/>
              </w:rPr>
            </w:pPr>
          </w:p>
        </w:tc>
        <w:tc>
          <w:tcPr>
            <w:tcW w:w="1000" w:type="dxa"/>
            <w:vAlign w:val="bottom"/>
            <w:vMerge w:val="restart"/>
          </w:tcPr>
          <w:p>
            <w:pPr>
              <w:ind w:left="280"/>
              <w:spacing w:after="0"/>
              <w:rPr>
                <w:sz w:val="20"/>
                <w:szCs w:val="20"/>
                <w:color w:val="auto"/>
              </w:rPr>
            </w:pPr>
            <w:r>
              <w:rPr>
                <w:rFonts w:ascii="Arial" w:cs="Arial" w:eastAsia="Arial" w:hAnsi="Arial"/>
                <w:sz w:val="16"/>
                <w:szCs w:val="16"/>
                <w:color w:val="auto"/>
              </w:rPr>
              <w:t>—</w:t>
            </w:r>
          </w:p>
        </w:tc>
        <w:tc>
          <w:tcPr>
            <w:tcW w:w="880" w:type="dxa"/>
            <w:vAlign w:val="bottom"/>
            <w:vMerge w:val="restart"/>
          </w:tcPr>
          <w:p>
            <w:pPr>
              <w:ind w:left="300"/>
              <w:spacing w:after="0"/>
              <w:rPr>
                <w:sz w:val="20"/>
                <w:szCs w:val="20"/>
                <w:color w:val="auto"/>
              </w:rPr>
            </w:pPr>
            <w:r>
              <w:rPr>
                <w:rFonts w:ascii="Arial" w:cs="Arial" w:eastAsia="Arial" w:hAnsi="Arial"/>
                <w:sz w:val="16"/>
                <w:szCs w:val="16"/>
                <w:color w:val="auto"/>
              </w:rPr>
              <w:t>—</w:t>
            </w:r>
          </w:p>
        </w:tc>
        <w:tc>
          <w:tcPr>
            <w:tcW w:w="700" w:type="dxa"/>
            <w:vAlign w:val="bottom"/>
            <w:vMerge w:val="restart"/>
          </w:tcPr>
          <w:p>
            <w:pPr>
              <w:ind w:left="4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3"/>
                <w:szCs w:val="13"/>
                <w:color w:val="auto"/>
              </w:rPr>
            </w:pPr>
          </w:p>
        </w:tc>
        <w:tc>
          <w:tcPr>
            <w:tcW w:w="860" w:type="dxa"/>
            <w:vAlign w:val="bottom"/>
            <w:vMerge w:val="restart"/>
          </w:tcPr>
          <w:p>
            <w:pPr>
              <w:jc w:val="right"/>
              <w:ind w:right="179"/>
              <w:spacing w:after="0"/>
              <w:rPr>
                <w:sz w:val="20"/>
                <w:szCs w:val="20"/>
                <w:color w:val="auto"/>
              </w:rPr>
            </w:pPr>
            <w:r>
              <w:rPr>
                <w:rFonts w:ascii="Arial" w:cs="Arial" w:eastAsia="Arial" w:hAnsi="Arial"/>
                <w:sz w:val="16"/>
                <w:szCs w:val="16"/>
                <w:color w:val="auto"/>
              </w:rPr>
              <w:t>505,099</w:t>
            </w:r>
          </w:p>
        </w:tc>
        <w:tc>
          <w:tcPr>
            <w:tcW w:w="580" w:type="dxa"/>
            <w:vAlign w:val="bottom"/>
            <w:vMerge w:val="restart"/>
          </w:tcPr>
          <w:p>
            <w:pPr>
              <w:jc w:val="right"/>
              <w:spacing w:after="0"/>
              <w:rPr>
                <w:sz w:val="20"/>
                <w:szCs w:val="20"/>
                <w:color w:val="auto"/>
              </w:rPr>
            </w:pPr>
            <w:r>
              <w:rPr>
                <w:rFonts w:ascii="Arial" w:cs="Arial" w:eastAsia="Arial" w:hAnsi="Arial"/>
                <w:sz w:val="16"/>
                <w:szCs w:val="16"/>
                <w:color w:val="auto"/>
              </w:rPr>
              <w:t>0.12</w:t>
            </w:r>
          </w:p>
        </w:tc>
        <w:tc>
          <w:tcPr>
            <w:tcW w:w="180" w:type="dxa"/>
            <w:vAlign w:val="bottom"/>
            <w:vMerge w:val="restart"/>
          </w:tcPr>
          <w:p>
            <w:pPr>
              <w:jc w:val="right"/>
              <w:spacing w:after="0"/>
              <w:rPr>
                <w:sz w:val="20"/>
                <w:szCs w:val="20"/>
                <w:color w:val="auto"/>
              </w:rPr>
            </w:pPr>
            <w:r>
              <w:rPr>
                <w:rFonts w:ascii="Arial" w:cs="Arial" w:eastAsia="Arial" w:hAnsi="Arial"/>
                <w:sz w:val="16"/>
                <w:szCs w:val="16"/>
                <w:color w:val="auto"/>
                <w:w w:val="98"/>
              </w:rPr>
              <w:t>%</w:t>
            </w:r>
          </w:p>
        </w:tc>
        <w:tc>
          <w:tcPr>
            <w:tcW w:w="0" w:type="dxa"/>
            <w:vAlign w:val="bottom"/>
          </w:tcPr>
          <w:p>
            <w:pPr>
              <w:spacing w:after="0"/>
              <w:rPr>
                <w:sz w:val="1"/>
                <w:szCs w:val="1"/>
                <w:color w:val="auto"/>
              </w:rPr>
            </w:pPr>
          </w:p>
        </w:tc>
      </w:tr>
      <w:tr>
        <w:trPr>
          <w:trHeight w:val="216"/>
        </w:trPr>
        <w:tc>
          <w:tcPr>
            <w:tcW w:w="2880" w:type="dxa"/>
            <w:vAlign w:val="bottom"/>
          </w:tcPr>
          <w:p>
            <w:pPr>
              <w:ind w:left="220"/>
              <w:spacing w:after="0" w:line="216" w:lineRule="exact"/>
              <w:rPr>
                <w:sz w:val="20"/>
                <w:szCs w:val="20"/>
                <w:color w:val="auto"/>
              </w:rPr>
            </w:pPr>
            <w:r>
              <w:rPr>
                <w:rFonts w:ascii="Arial" w:cs="Arial" w:eastAsia="Arial" w:hAnsi="Arial"/>
                <w:sz w:val="16"/>
                <w:szCs w:val="16"/>
                <w:color w:val="auto"/>
              </w:rPr>
              <w:t>8/23/2024</w:t>
            </w:r>
            <w:r>
              <w:rPr>
                <w:rFonts w:ascii="Arial" w:cs="Arial" w:eastAsia="Arial" w:hAnsi="Arial"/>
                <w:sz w:val="21"/>
                <w:szCs w:val="21"/>
                <w:color w:val="auto"/>
                <w:vertAlign w:val="superscript"/>
              </w:rPr>
              <w:t>(3)(6)</w:t>
            </w:r>
          </w:p>
        </w:tc>
        <w:tc>
          <w:tcPr>
            <w:tcW w:w="920" w:type="dxa"/>
            <w:vAlign w:val="bottom"/>
            <w:vMerge w:val="continue"/>
          </w:tcPr>
          <w:p>
            <w:pPr>
              <w:spacing w:after="0"/>
              <w:rPr>
                <w:sz w:val="18"/>
                <w:szCs w:val="18"/>
                <w:color w:val="auto"/>
              </w:rPr>
            </w:pPr>
          </w:p>
        </w:tc>
        <w:tc>
          <w:tcPr>
            <w:tcW w:w="440" w:type="dxa"/>
            <w:vAlign w:val="bottom"/>
          </w:tcPr>
          <w:p>
            <w:pPr>
              <w:spacing w:after="0"/>
              <w:rPr>
                <w:sz w:val="18"/>
                <w:szCs w:val="18"/>
                <w:color w:val="auto"/>
              </w:rPr>
            </w:pPr>
          </w:p>
        </w:tc>
        <w:tc>
          <w:tcPr>
            <w:tcW w:w="500" w:type="dxa"/>
            <w:vAlign w:val="bottom"/>
            <w:vMerge w:val="continue"/>
          </w:tcPr>
          <w:p>
            <w:pPr>
              <w:spacing w:after="0"/>
              <w:rPr>
                <w:sz w:val="18"/>
                <w:szCs w:val="18"/>
                <w:color w:val="auto"/>
              </w:rPr>
            </w:pPr>
          </w:p>
        </w:tc>
        <w:tc>
          <w:tcPr>
            <w:tcW w:w="860" w:type="dxa"/>
            <w:vAlign w:val="bottom"/>
            <w:vMerge w:val="continue"/>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880" w:type="dxa"/>
            <w:vAlign w:val="bottom"/>
            <w:vMerge w:val="continue"/>
          </w:tcPr>
          <w:p>
            <w:pPr>
              <w:spacing w:after="0"/>
              <w:rPr>
                <w:sz w:val="18"/>
                <w:szCs w:val="18"/>
                <w:color w:val="auto"/>
              </w:rPr>
            </w:pPr>
          </w:p>
        </w:tc>
        <w:tc>
          <w:tcPr>
            <w:tcW w:w="70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580" w:type="dxa"/>
            <w:vAlign w:val="bottom"/>
            <w:vMerge w:val="continue"/>
          </w:tcPr>
          <w:p>
            <w:pPr>
              <w:spacing w:after="0"/>
              <w:rPr>
                <w:sz w:val="18"/>
                <w:szCs w:val="18"/>
                <w:color w:val="auto"/>
              </w:rPr>
            </w:pPr>
          </w:p>
        </w:tc>
        <w:tc>
          <w:tcPr>
            <w:tcW w:w="1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Total Debt Investments</w:t>
            </w:r>
          </w:p>
        </w:tc>
        <w:tc>
          <w:tcPr>
            <w:tcW w:w="9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00" w:type="dxa"/>
            <w:vAlign w:val="bottom"/>
            <w:shd w:val="clear" w:color="auto" w:fill="CCEEFF"/>
          </w:tcPr>
          <w:p>
            <w:pPr>
              <w:ind w:left="26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817,889</w:t>
            </w:r>
          </w:p>
        </w:tc>
        <w:tc>
          <w:tcPr>
            <w:tcW w:w="440" w:type="dxa"/>
            <w:vAlign w:val="bottom"/>
            <w:shd w:val="clear" w:color="auto" w:fill="CCEEFF"/>
          </w:tcPr>
          <w:p>
            <w:pPr>
              <w:spacing w:after="0"/>
              <w:rPr>
                <w:sz w:val="18"/>
                <w:szCs w:val="18"/>
                <w:color w:val="auto"/>
              </w:rPr>
            </w:pPr>
          </w:p>
        </w:tc>
        <w:tc>
          <w:tcPr>
            <w:tcW w:w="10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ind w:left="300"/>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ind w:left="44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817,889</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0.19</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w:t>
            </w:r>
          </w:p>
        </w:tc>
        <w:tc>
          <w:tcPr>
            <w:tcW w:w="0" w:type="dxa"/>
            <w:vAlign w:val="bottom"/>
          </w:tcPr>
          <w:p>
            <w:pPr>
              <w:spacing w:after="0"/>
              <w:rPr>
                <w:sz w:val="1"/>
                <w:szCs w:val="1"/>
                <w:color w:val="auto"/>
              </w:rPr>
            </w:pPr>
          </w:p>
        </w:tc>
      </w:tr>
      <w:tr>
        <w:trPr>
          <w:trHeight w:val="213"/>
        </w:trPr>
        <w:tc>
          <w:tcPr>
            <w:tcW w:w="2880" w:type="dxa"/>
            <w:vAlign w:val="bottom"/>
          </w:tcPr>
          <w:p>
            <w:pPr>
              <w:ind w:left="20"/>
              <w:spacing w:after="0"/>
              <w:rPr>
                <w:sz w:val="20"/>
                <w:szCs w:val="20"/>
                <w:color w:val="auto"/>
              </w:rPr>
            </w:pPr>
            <w:r>
              <w:rPr>
                <w:rFonts w:ascii="Arial" w:cs="Arial" w:eastAsia="Arial" w:hAnsi="Arial"/>
                <w:sz w:val="16"/>
                <w:szCs w:val="16"/>
                <w:b w:val="1"/>
                <w:bCs w:val="1"/>
                <w:color w:val="auto"/>
              </w:rPr>
              <w:t>Preferred Stock</w:t>
            </w: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880" w:type="dxa"/>
            <w:vAlign w:val="bottom"/>
            <w:shd w:val="clear" w:color="auto" w:fill="CCEEFF"/>
          </w:tcPr>
          <w:p>
            <w:pPr>
              <w:ind w:left="140"/>
              <w:spacing w:after="0"/>
              <w:rPr>
                <w:sz w:val="20"/>
                <w:szCs w:val="20"/>
                <w:color w:val="auto"/>
              </w:rPr>
            </w:pPr>
            <w:r>
              <w:rPr>
                <w:rFonts w:ascii="Arial" w:cs="Arial" w:eastAsia="Arial" w:hAnsi="Arial"/>
                <w:sz w:val="16"/>
                <w:szCs w:val="16"/>
                <w:i w:val="1"/>
                <w:iCs w:val="1"/>
                <w:color w:val="auto"/>
              </w:rPr>
              <w:t>Corporate Education</w:t>
            </w:r>
          </w:p>
        </w:tc>
        <w:tc>
          <w:tcPr>
            <w:tcW w:w="9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6"/>
        </w:trPr>
        <w:tc>
          <w:tcPr>
            <w:tcW w:w="2880" w:type="dxa"/>
            <w:vAlign w:val="bottom"/>
          </w:tcPr>
          <w:p>
            <w:pPr>
              <w:ind w:left="220"/>
              <w:spacing w:after="0" w:line="166" w:lineRule="exact"/>
              <w:rPr>
                <w:sz w:val="20"/>
                <w:szCs w:val="20"/>
                <w:color w:val="auto"/>
              </w:rPr>
            </w:pPr>
            <w:r>
              <w:rPr>
                <w:rFonts w:ascii="Arial" w:cs="Arial" w:eastAsia="Arial" w:hAnsi="Arial"/>
                <w:sz w:val="16"/>
                <w:szCs w:val="16"/>
                <w:color w:val="auto"/>
              </w:rPr>
              <w:t>CUX, Inc. (d/b/a CorpU)–Convertible</w:t>
            </w: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169,033</w:t>
            </w:r>
          </w:p>
        </w:tc>
        <w:tc>
          <w:tcPr>
            <w:tcW w:w="440" w:type="dxa"/>
            <w:vAlign w:val="bottom"/>
          </w:tcPr>
          <w:p>
            <w:pPr>
              <w:spacing w:after="0"/>
              <w:rPr>
                <w:sz w:val="14"/>
                <w:szCs w:val="14"/>
                <w:color w:val="auto"/>
              </w:rPr>
            </w:pPr>
          </w:p>
        </w:tc>
        <w:tc>
          <w:tcPr>
            <w:tcW w:w="500" w:type="dxa"/>
            <w:vAlign w:val="bottom"/>
            <w:vMerge w:val="restart"/>
          </w:tcPr>
          <w:p>
            <w:pPr>
              <w:ind w:left="260"/>
              <w:spacing w:after="0"/>
              <w:rPr>
                <w:sz w:val="20"/>
                <w:szCs w:val="20"/>
                <w:color w:val="auto"/>
              </w:rPr>
            </w:pPr>
            <w:r>
              <w:rPr>
                <w:rFonts w:ascii="Arial" w:cs="Arial" w:eastAsia="Arial" w:hAnsi="Arial"/>
                <w:sz w:val="16"/>
                <w:szCs w:val="16"/>
                <w:color w:val="auto"/>
              </w:rPr>
              <w:t>—</w:t>
            </w: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73,882</w:t>
            </w:r>
          </w:p>
        </w:tc>
        <w:tc>
          <w:tcPr>
            <w:tcW w:w="440" w:type="dxa"/>
            <w:vAlign w:val="bottom"/>
          </w:tcPr>
          <w:p>
            <w:pPr>
              <w:spacing w:after="0"/>
              <w:rPr>
                <w:sz w:val="14"/>
                <w:szCs w:val="14"/>
                <w:color w:val="auto"/>
              </w:rPr>
            </w:pPr>
          </w:p>
        </w:tc>
        <w:tc>
          <w:tcPr>
            <w:tcW w:w="1000" w:type="dxa"/>
            <w:vAlign w:val="bottom"/>
            <w:vMerge w:val="restart"/>
          </w:tcPr>
          <w:p>
            <w:pPr>
              <w:ind w:left="280"/>
              <w:spacing w:after="0"/>
              <w:rPr>
                <w:sz w:val="20"/>
                <w:szCs w:val="20"/>
                <w:color w:val="auto"/>
              </w:rPr>
            </w:pPr>
            <w:r>
              <w:rPr>
                <w:rFonts w:ascii="Arial" w:cs="Arial" w:eastAsia="Arial" w:hAnsi="Arial"/>
                <w:sz w:val="16"/>
                <w:szCs w:val="16"/>
                <w:color w:val="auto"/>
              </w:rPr>
              <w:t>—</w:t>
            </w:r>
          </w:p>
        </w:tc>
        <w:tc>
          <w:tcPr>
            <w:tcW w:w="880" w:type="dxa"/>
            <w:vAlign w:val="bottom"/>
            <w:vMerge w:val="restart"/>
          </w:tcPr>
          <w:p>
            <w:pPr>
              <w:ind w:left="300"/>
              <w:spacing w:after="0"/>
              <w:rPr>
                <w:sz w:val="20"/>
                <w:szCs w:val="20"/>
                <w:color w:val="auto"/>
              </w:rPr>
            </w:pPr>
            <w:r>
              <w:rPr>
                <w:rFonts w:ascii="Arial" w:cs="Arial" w:eastAsia="Arial" w:hAnsi="Arial"/>
                <w:sz w:val="16"/>
                <w:szCs w:val="16"/>
                <w:color w:val="auto"/>
              </w:rPr>
              <w:t>—</w:t>
            </w: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(2,089)</w:t>
            </w:r>
          </w:p>
        </w:tc>
        <w:tc>
          <w:tcPr>
            <w:tcW w:w="200" w:type="dxa"/>
            <w:vAlign w:val="bottom"/>
          </w:tcPr>
          <w:p>
            <w:pPr>
              <w:spacing w:after="0"/>
              <w:rPr>
                <w:sz w:val="14"/>
                <w:szCs w:val="14"/>
                <w:color w:val="auto"/>
              </w:rPr>
            </w:pPr>
          </w:p>
        </w:tc>
        <w:tc>
          <w:tcPr>
            <w:tcW w:w="860" w:type="dxa"/>
            <w:vAlign w:val="bottom"/>
            <w:vMerge w:val="restart"/>
          </w:tcPr>
          <w:p>
            <w:pPr>
              <w:jc w:val="right"/>
              <w:ind w:right="179"/>
              <w:spacing w:after="0"/>
              <w:rPr>
                <w:sz w:val="20"/>
                <w:szCs w:val="20"/>
                <w:color w:val="auto"/>
              </w:rPr>
            </w:pPr>
            <w:r>
              <w:rPr>
                <w:rFonts w:ascii="Arial" w:cs="Arial" w:eastAsia="Arial" w:hAnsi="Arial"/>
                <w:sz w:val="16"/>
                <w:szCs w:val="16"/>
                <w:color w:val="auto"/>
              </w:rPr>
              <w:t>71,793</w:t>
            </w:r>
          </w:p>
        </w:tc>
        <w:tc>
          <w:tcPr>
            <w:tcW w:w="580" w:type="dxa"/>
            <w:vAlign w:val="bottom"/>
            <w:vMerge w:val="restart"/>
          </w:tcPr>
          <w:p>
            <w:pPr>
              <w:jc w:val="right"/>
              <w:spacing w:after="0"/>
              <w:rPr>
                <w:sz w:val="20"/>
                <w:szCs w:val="20"/>
                <w:color w:val="auto"/>
              </w:rPr>
            </w:pPr>
            <w:r>
              <w:rPr>
                <w:rFonts w:ascii="Arial" w:cs="Arial" w:eastAsia="Arial" w:hAnsi="Arial"/>
                <w:sz w:val="16"/>
                <w:szCs w:val="16"/>
                <w:color w:val="auto"/>
              </w:rPr>
              <w:t>0.02</w:t>
            </w:r>
          </w:p>
        </w:tc>
        <w:tc>
          <w:tcPr>
            <w:tcW w:w="180" w:type="dxa"/>
            <w:vAlign w:val="bottom"/>
            <w:vMerge w:val="restart"/>
          </w:tcPr>
          <w:p>
            <w:pPr>
              <w:jc w:val="right"/>
              <w:spacing w:after="0"/>
              <w:rPr>
                <w:sz w:val="20"/>
                <w:szCs w:val="20"/>
                <w:color w:val="auto"/>
              </w:rPr>
            </w:pPr>
            <w:r>
              <w:rPr>
                <w:rFonts w:ascii="Arial" w:cs="Arial" w:eastAsia="Arial" w:hAnsi="Arial"/>
                <w:sz w:val="16"/>
                <w:szCs w:val="16"/>
                <w:color w:val="auto"/>
                <w:w w:val="98"/>
              </w:rPr>
              <w:t>%</w:t>
            </w:r>
          </w:p>
        </w:tc>
        <w:tc>
          <w:tcPr>
            <w:tcW w:w="0" w:type="dxa"/>
            <w:vAlign w:val="bottom"/>
          </w:tcPr>
          <w:p>
            <w:pPr>
              <w:spacing w:after="0"/>
              <w:rPr>
                <w:sz w:val="1"/>
                <w:szCs w:val="1"/>
                <w:color w:val="auto"/>
              </w:rPr>
            </w:pPr>
          </w:p>
        </w:tc>
      </w:tr>
      <w:tr>
        <w:trPr>
          <w:trHeight w:val="206"/>
        </w:trPr>
        <w:tc>
          <w:tcPr>
            <w:tcW w:w="2880" w:type="dxa"/>
            <w:vAlign w:val="bottom"/>
          </w:tcPr>
          <w:p>
            <w:pPr>
              <w:ind w:left="220"/>
              <w:spacing w:after="0"/>
              <w:rPr>
                <w:sz w:val="20"/>
                <w:szCs w:val="20"/>
                <w:color w:val="auto"/>
              </w:rPr>
            </w:pPr>
            <w:r>
              <w:rPr>
                <w:rFonts w:ascii="Arial" w:cs="Arial" w:eastAsia="Arial" w:hAnsi="Arial"/>
                <w:sz w:val="16"/>
                <w:szCs w:val="16"/>
                <w:color w:val="auto"/>
              </w:rPr>
              <w:t>preferred shares, Series D 6%</w:t>
            </w:r>
          </w:p>
        </w:tc>
        <w:tc>
          <w:tcPr>
            <w:tcW w:w="920" w:type="dxa"/>
            <w:vAlign w:val="bottom"/>
            <w:vMerge w:val="continue"/>
          </w:tcPr>
          <w:p>
            <w:pPr>
              <w:spacing w:after="0"/>
              <w:rPr>
                <w:sz w:val="17"/>
                <w:szCs w:val="17"/>
                <w:color w:val="auto"/>
              </w:rPr>
            </w:pPr>
          </w:p>
        </w:tc>
        <w:tc>
          <w:tcPr>
            <w:tcW w:w="440" w:type="dxa"/>
            <w:vAlign w:val="bottom"/>
          </w:tcPr>
          <w:p>
            <w:pPr>
              <w:spacing w:after="0"/>
              <w:rPr>
                <w:sz w:val="17"/>
                <w:szCs w:val="17"/>
                <w:color w:val="auto"/>
              </w:rPr>
            </w:pPr>
          </w:p>
        </w:tc>
        <w:tc>
          <w:tcPr>
            <w:tcW w:w="500" w:type="dxa"/>
            <w:vAlign w:val="bottom"/>
            <w:vMerge w:val="continue"/>
          </w:tcPr>
          <w:p>
            <w:pPr>
              <w:spacing w:after="0"/>
              <w:rPr>
                <w:sz w:val="17"/>
                <w:szCs w:val="17"/>
                <w:color w:val="auto"/>
              </w:rPr>
            </w:pPr>
          </w:p>
        </w:tc>
        <w:tc>
          <w:tcPr>
            <w:tcW w:w="860" w:type="dxa"/>
            <w:vAlign w:val="bottom"/>
            <w:vMerge w:val="continue"/>
          </w:tcPr>
          <w:p>
            <w:pPr>
              <w:spacing w:after="0"/>
              <w:rPr>
                <w:sz w:val="17"/>
                <w:szCs w:val="17"/>
                <w:color w:val="auto"/>
              </w:rPr>
            </w:pPr>
          </w:p>
        </w:tc>
        <w:tc>
          <w:tcPr>
            <w:tcW w:w="440" w:type="dxa"/>
            <w:vAlign w:val="bottom"/>
          </w:tcPr>
          <w:p>
            <w:pPr>
              <w:spacing w:after="0"/>
              <w:rPr>
                <w:sz w:val="17"/>
                <w:szCs w:val="17"/>
                <w:color w:val="auto"/>
              </w:rPr>
            </w:pPr>
          </w:p>
        </w:tc>
        <w:tc>
          <w:tcPr>
            <w:tcW w:w="1000" w:type="dxa"/>
            <w:vAlign w:val="bottom"/>
            <w:vMerge w:val="continue"/>
          </w:tcPr>
          <w:p>
            <w:pPr>
              <w:spacing w:after="0"/>
              <w:rPr>
                <w:sz w:val="17"/>
                <w:szCs w:val="17"/>
                <w:color w:val="auto"/>
              </w:rPr>
            </w:pPr>
          </w:p>
        </w:tc>
        <w:tc>
          <w:tcPr>
            <w:tcW w:w="880" w:type="dxa"/>
            <w:vAlign w:val="bottom"/>
            <w:vMerge w:val="continue"/>
          </w:tcPr>
          <w:p>
            <w:pPr>
              <w:spacing w:after="0"/>
              <w:rPr>
                <w:sz w:val="17"/>
                <w:szCs w:val="17"/>
                <w:color w:val="auto"/>
              </w:rPr>
            </w:pPr>
          </w:p>
        </w:tc>
        <w:tc>
          <w:tcPr>
            <w:tcW w:w="70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580" w:type="dxa"/>
            <w:vAlign w:val="bottom"/>
            <w:vMerge w:val="continue"/>
          </w:tcPr>
          <w:p>
            <w:pPr>
              <w:spacing w:after="0"/>
              <w:rPr>
                <w:sz w:val="17"/>
                <w:szCs w:val="17"/>
                <w:color w:val="auto"/>
              </w:rPr>
            </w:pPr>
          </w:p>
        </w:tc>
        <w:tc>
          <w:tcPr>
            <w:tcW w:w="1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180"/>
          </w:cols>
          <w:pgMar w:left="320" w:top="121" w:right="399" w:bottom="1440" w:gutter="0" w:footer="0" w:header="0"/>
          <w:type w:val="continuous"/>
        </w:sectPr>
      </w:pPr>
    </w:p>
    <w:bookmarkStart w:id="37" w:name="page38"/>
    <w:bookmarkEnd w:id="3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87" w:lineRule="exact"/>
        <w:rPr>
          <w:sz w:val="20"/>
          <w:szCs w:val="20"/>
          <w:color w:val="auto"/>
        </w:rPr>
      </w:pPr>
    </w:p>
    <w:p>
      <w:pPr>
        <w:jc w:val="center"/>
        <w:ind w:right="-879"/>
        <w:spacing w:after="0"/>
        <w:rPr>
          <w:sz w:val="20"/>
          <w:szCs w:val="20"/>
          <w:color w:val="auto"/>
        </w:rPr>
      </w:pPr>
      <w:r>
        <w:rPr>
          <w:rFonts w:ascii="Arial" w:cs="Arial" w:eastAsia="Arial" w:hAnsi="Arial"/>
          <w:sz w:val="18"/>
          <w:szCs w:val="18"/>
          <w:b w:val="1"/>
          <w:bCs w:val="1"/>
          <w:color w:val="auto"/>
        </w:rPr>
        <w:t>SURO CAPITAL CORP. AND SUBSIDIARIES</w:t>
      </w:r>
    </w:p>
    <w:p>
      <w:pPr>
        <w:spacing w:after="0" w:line="252" w:lineRule="exact"/>
        <w:rPr>
          <w:sz w:val="20"/>
          <w:szCs w:val="20"/>
          <w:color w:val="auto"/>
        </w:rPr>
      </w:pPr>
    </w:p>
    <w:p>
      <w:pPr>
        <w:jc w:val="center"/>
        <w:ind w:right="-87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ind w:right="-879"/>
        <w:spacing w:after="0"/>
        <w:rPr>
          <w:sz w:val="20"/>
          <w:szCs w:val="20"/>
          <w:color w:val="auto"/>
        </w:rPr>
      </w:pPr>
      <w:r>
        <w:rPr>
          <w:rFonts w:ascii="Arial" w:cs="Arial" w:eastAsia="Arial" w:hAnsi="Arial"/>
          <w:sz w:val="18"/>
          <w:szCs w:val="18"/>
          <w:b w:val="1"/>
          <w:bCs w:val="1"/>
          <w:color w:val="auto"/>
        </w:rPr>
        <w:t>March 31, 2021</w:t>
      </w: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Interest,</w:t>
            </w:r>
          </w:p>
        </w:tc>
        <w:tc>
          <w:tcPr>
            <w:tcW w:w="90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5"/>
              </w:rPr>
              <w:t>Fair Value</w:t>
            </w:r>
          </w:p>
        </w:tc>
        <w:tc>
          <w:tcPr>
            <w:tcW w:w="100" w:type="dxa"/>
            <w:vAlign w:val="bottom"/>
          </w:tcPr>
          <w:p>
            <w:pPr>
              <w:spacing w:after="0"/>
              <w:rPr>
                <w:sz w:val="14"/>
                <w:szCs w:val="14"/>
                <w:color w:val="auto"/>
              </w:rPr>
            </w:pPr>
          </w:p>
        </w:tc>
        <w:tc>
          <w:tcPr>
            <w:tcW w:w="8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8"/>
              </w:rPr>
              <w:t>Purchases,</w:t>
            </w: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gridSpan w:val="2"/>
          </w:tcPr>
          <w:p>
            <w:pPr>
              <w:jc w:val="center"/>
              <w:ind w:right="180"/>
              <w:spacing w:after="0" w:line="135" w:lineRule="exact"/>
              <w:rPr>
                <w:sz w:val="20"/>
                <w:szCs w:val="20"/>
                <w:color w:val="auto"/>
              </w:rPr>
            </w:pPr>
            <w:r>
              <w:rPr>
                <w:rFonts w:ascii="Arial" w:cs="Arial" w:eastAsia="Arial" w:hAnsi="Arial"/>
                <w:sz w:val="14"/>
                <w:szCs w:val="14"/>
                <w:b w:val="1"/>
                <w:bCs w:val="1"/>
                <w:color w:val="auto"/>
                <w:w w:val="89"/>
              </w:rPr>
              <w:t>Fees, or</w:t>
            </w:r>
          </w:p>
        </w:tc>
        <w:tc>
          <w:tcPr>
            <w:tcW w:w="900" w:type="dxa"/>
            <w:vAlign w:val="bottom"/>
            <w:gridSpan w:val="3"/>
            <w:vMerge w:val="continue"/>
          </w:tcPr>
          <w:p>
            <w:pPr>
              <w:spacing w:after="0"/>
              <w:rPr>
                <w:sz w:val="11"/>
                <w:szCs w:val="11"/>
                <w:color w:val="auto"/>
              </w:rPr>
            </w:pPr>
          </w:p>
        </w:tc>
        <w:tc>
          <w:tcPr>
            <w:tcW w:w="960" w:type="dxa"/>
            <w:vAlign w:val="bottom"/>
            <w:gridSpan w:val="3"/>
          </w:tcPr>
          <w:p>
            <w:pPr>
              <w:jc w:val="center"/>
              <w:ind w:right="100"/>
              <w:spacing w:after="0" w:line="135" w:lineRule="exact"/>
              <w:rPr>
                <w:sz w:val="20"/>
                <w:szCs w:val="20"/>
                <w:color w:val="auto"/>
              </w:rPr>
            </w:pPr>
            <w:r>
              <w:rPr>
                <w:rFonts w:ascii="Arial" w:cs="Arial" w:eastAsia="Arial" w:hAnsi="Arial"/>
                <w:sz w:val="14"/>
                <w:szCs w:val="14"/>
                <w:b w:val="1"/>
                <w:bCs w:val="1"/>
                <w:color w:val="auto"/>
                <w:w w:val="94"/>
              </w:rPr>
              <w:t>Capitalized</w:t>
            </w: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gridSpan w:val="3"/>
            <w:vMerge w:val="restart"/>
          </w:tcPr>
          <w:p>
            <w:pPr>
              <w:jc w:val="center"/>
              <w:ind w:right="80"/>
              <w:spacing w:after="0"/>
              <w:rPr>
                <w:sz w:val="20"/>
                <w:szCs w:val="20"/>
                <w:color w:val="auto"/>
              </w:rPr>
            </w:pPr>
            <w:r>
              <w:rPr>
                <w:rFonts w:ascii="Arial" w:cs="Arial" w:eastAsia="Arial" w:hAnsi="Arial"/>
                <w:sz w:val="14"/>
                <w:szCs w:val="14"/>
                <w:b w:val="1"/>
                <w:bCs w:val="1"/>
                <w:color w:val="auto"/>
                <w:w w:val="95"/>
              </w:rPr>
              <w:t>Fair Value</w:t>
            </w:r>
          </w:p>
        </w:tc>
        <w:tc>
          <w:tcPr>
            <w:tcW w:w="84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7"/>
              </w:rPr>
              <w:t>Percentage</w:t>
            </w:r>
          </w:p>
        </w:tc>
        <w:tc>
          <w:tcPr>
            <w:tcW w:w="0" w:type="dxa"/>
            <w:vAlign w:val="bottom"/>
          </w:tcPr>
          <w:p>
            <w:pPr>
              <w:spacing w:after="0"/>
              <w:rPr>
                <w:sz w:val="1"/>
                <w:szCs w:val="1"/>
                <w:color w:val="auto"/>
              </w:rPr>
            </w:pPr>
          </w:p>
        </w:tc>
      </w:tr>
      <w:tr>
        <w:trPr>
          <w:trHeight w:val="135"/>
        </w:trPr>
        <w:tc>
          <w:tcPr>
            <w:tcW w:w="29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Type/Industry/Portfolio</w:t>
            </w:r>
          </w:p>
        </w:tc>
        <w:tc>
          <w:tcPr>
            <w:tcW w:w="7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Principal/</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gridSpan w:val="2"/>
          </w:tcPr>
          <w:p>
            <w:pPr>
              <w:jc w:val="center"/>
              <w:ind w:right="200"/>
              <w:spacing w:after="0" w:line="135" w:lineRule="exact"/>
              <w:rPr>
                <w:sz w:val="20"/>
                <w:szCs w:val="20"/>
                <w:color w:val="auto"/>
              </w:rPr>
            </w:pPr>
            <w:r>
              <w:rPr>
                <w:rFonts w:ascii="Arial" w:cs="Arial" w:eastAsia="Arial" w:hAnsi="Arial"/>
                <w:sz w:val="14"/>
                <w:szCs w:val="14"/>
                <w:b w:val="1"/>
                <w:bCs w:val="1"/>
                <w:color w:val="auto"/>
                <w:w w:val="92"/>
              </w:rPr>
              <w:t>Dividends</w:t>
            </w:r>
          </w:p>
        </w:tc>
        <w:tc>
          <w:tcPr>
            <w:tcW w:w="120" w:type="dxa"/>
            <w:vAlign w:val="bottom"/>
          </w:tcPr>
          <w:p>
            <w:pPr>
              <w:spacing w:after="0"/>
              <w:rPr>
                <w:sz w:val="11"/>
                <w:szCs w:val="11"/>
                <w:color w:val="auto"/>
              </w:rPr>
            </w:pPr>
          </w:p>
        </w:tc>
        <w:tc>
          <w:tcPr>
            <w:tcW w:w="78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96"/>
              </w:rPr>
              <w:t>at</w:t>
            </w:r>
          </w:p>
        </w:tc>
        <w:tc>
          <w:tcPr>
            <w:tcW w:w="100" w:type="dxa"/>
            <w:vAlign w:val="bottom"/>
          </w:tcPr>
          <w:p>
            <w:pPr>
              <w:spacing w:after="0"/>
              <w:rPr>
                <w:sz w:val="11"/>
                <w:szCs w:val="11"/>
                <w:color w:val="auto"/>
              </w:rPr>
            </w:pPr>
          </w:p>
        </w:tc>
        <w:tc>
          <w:tcPr>
            <w:tcW w:w="860" w:type="dxa"/>
            <w:vAlign w:val="bottom"/>
            <w:gridSpan w:val="2"/>
          </w:tcPr>
          <w:p>
            <w:pPr>
              <w:jc w:val="center"/>
              <w:ind w:right="200"/>
              <w:spacing w:after="0" w:line="135" w:lineRule="exact"/>
              <w:rPr>
                <w:sz w:val="20"/>
                <w:szCs w:val="20"/>
                <w:color w:val="auto"/>
              </w:rPr>
            </w:pPr>
            <w:r>
              <w:rPr>
                <w:rFonts w:ascii="Arial" w:cs="Arial" w:eastAsia="Arial" w:hAnsi="Arial"/>
                <w:sz w:val="14"/>
                <w:szCs w:val="14"/>
                <w:b w:val="1"/>
                <w:bCs w:val="1"/>
                <w:color w:val="auto"/>
                <w:w w:val="83"/>
              </w:rPr>
              <w:t>Fees,</w:t>
            </w:r>
          </w:p>
        </w:tc>
        <w:tc>
          <w:tcPr>
            <w:tcW w:w="160" w:type="dxa"/>
            <w:vAlign w:val="bottom"/>
          </w:tcPr>
          <w:p>
            <w:pPr>
              <w:spacing w:after="0"/>
              <w:rPr>
                <w:sz w:val="11"/>
                <w:szCs w:val="11"/>
                <w:color w:val="auto"/>
              </w:rPr>
            </w:pPr>
          </w:p>
        </w:tc>
        <w:tc>
          <w:tcPr>
            <w:tcW w:w="8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Realized</w:t>
            </w:r>
          </w:p>
        </w:tc>
        <w:tc>
          <w:tcPr>
            <w:tcW w:w="120" w:type="dxa"/>
            <w:vAlign w:val="bottom"/>
          </w:tcPr>
          <w:p>
            <w:pPr>
              <w:spacing w:after="0"/>
              <w:rPr>
                <w:sz w:val="11"/>
                <w:szCs w:val="11"/>
                <w:color w:val="auto"/>
              </w:rPr>
            </w:pPr>
          </w:p>
        </w:tc>
        <w:tc>
          <w:tcPr>
            <w:tcW w:w="8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Unrealized</w:t>
            </w:r>
          </w:p>
        </w:tc>
        <w:tc>
          <w:tcPr>
            <w:tcW w:w="920" w:type="dxa"/>
            <w:vAlign w:val="bottom"/>
            <w:gridSpan w:val="3"/>
            <w:vMerge w:val="continue"/>
          </w:tcPr>
          <w:p>
            <w:pPr>
              <w:spacing w:after="0"/>
              <w:rPr>
                <w:sz w:val="11"/>
                <w:szCs w:val="11"/>
                <w:color w:val="auto"/>
              </w:rPr>
            </w:pPr>
          </w:p>
        </w:tc>
        <w:tc>
          <w:tcPr>
            <w:tcW w:w="8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40" w:type="dxa"/>
            <w:vAlign w:val="bottom"/>
            <w:gridSpan w:val="2"/>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gridSpan w:val="2"/>
          </w:tcPr>
          <w:p>
            <w:pPr>
              <w:jc w:val="center"/>
              <w:ind w:right="200"/>
              <w:spacing w:after="0" w:line="135" w:lineRule="exact"/>
              <w:rPr>
                <w:sz w:val="20"/>
                <w:szCs w:val="20"/>
                <w:color w:val="auto"/>
              </w:rPr>
            </w:pPr>
            <w:r>
              <w:rPr>
                <w:rFonts w:ascii="Arial" w:cs="Arial" w:eastAsia="Arial" w:hAnsi="Arial"/>
                <w:sz w:val="14"/>
                <w:szCs w:val="14"/>
                <w:b w:val="1"/>
                <w:bCs w:val="1"/>
                <w:color w:val="auto"/>
                <w:w w:val="95"/>
              </w:rPr>
              <w:t>Credited</w:t>
            </w:r>
          </w:p>
        </w:tc>
        <w:tc>
          <w:tcPr>
            <w:tcW w:w="900" w:type="dxa"/>
            <w:vAlign w:val="bottom"/>
            <w:gridSpan w:val="3"/>
          </w:tcPr>
          <w:p>
            <w:pPr>
              <w:jc w:val="center"/>
              <w:ind w:right="80"/>
              <w:spacing w:after="0" w:line="135" w:lineRule="exact"/>
              <w:rPr>
                <w:sz w:val="20"/>
                <w:szCs w:val="20"/>
                <w:color w:val="auto"/>
              </w:rPr>
            </w:pPr>
            <w:r>
              <w:rPr>
                <w:rFonts w:ascii="Arial" w:cs="Arial" w:eastAsia="Arial" w:hAnsi="Arial"/>
                <w:sz w:val="14"/>
                <w:szCs w:val="14"/>
                <w:b w:val="1"/>
                <w:bCs w:val="1"/>
                <w:color w:val="auto"/>
                <w:w w:val="91"/>
              </w:rPr>
              <w:t>December</w:t>
            </w:r>
          </w:p>
        </w:tc>
        <w:tc>
          <w:tcPr>
            <w:tcW w:w="960" w:type="dxa"/>
            <w:vAlign w:val="bottom"/>
            <w:gridSpan w:val="3"/>
          </w:tcPr>
          <w:p>
            <w:pPr>
              <w:jc w:val="right"/>
              <w:ind w:right="160"/>
              <w:spacing w:after="0" w:line="135" w:lineRule="exact"/>
              <w:rPr>
                <w:sz w:val="20"/>
                <w:szCs w:val="20"/>
                <w:color w:val="auto"/>
              </w:rPr>
            </w:pPr>
            <w:r>
              <w:rPr>
                <w:rFonts w:ascii="Arial" w:cs="Arial" w:eastAsia="Arial" w:hAnsi="Arial"/>
                <w:sz w:val="14"/>
                <w:szCs w:val="14"/>
                <w:b w:val="1"/>
                <w:bCs w:val="1"/>
                <w:color w:val="auto"/>
                <w:w w:val="98"/>
              </w:rPr>
              <w:t>Interest and</w:t>
            </w:r>
          </w:p>
        </w:tc>
        <w:tc>
          <w:tcPr>
            <w:tcW w:w="160" w:type="dxa"/>
            <w:vAlign w:val="bottom"/>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920" w:type="dxa"/>
            <w:vAlign w:val="bottom"/>
            <w:gridSpan w:val="3"/>
          </w:tcPr>
          <w:p>
            <w:pPr>
              <w:jc w:val="center"/>
              <w:ind w:right="80"/>
              <w:spacing w:after="0" w:line="135" w:lineRule="exact"/>
              <w:rPr>
                <w:sz w:val="20"/>
                <w:szCs w:val="20"/>
                <w:color w:val="auto"/>
              </w:rPr>
            </w:pPr>
            <w:r>
              <w:rPr>
                <w:rFonts w:ascii="Arial" w:cs="Arial" w:eastAsia="Arial" w:hAnsi="Arial"/>
                <w:sz w:val="14"/>
                <w:szCs w:val="14"/>
                <w:b w:val="1"/>
                <w:bCs w:val="1"/>
                <w:color w:val="auto"/>
                <w:w w:val="98"/>
              </w:rPr>
              <w:t>at March 31,</w:t>
            </w:r>
          </w:p>
        </w:tc>
        <w:tc>
          <w:tcPr>
            <w:tcW w:w="840" w:type="dxa"/>
            <w:vAlign w:val="bottom"/>
          </w:tcPr>
          <w:p>
            <w:pPr>
              <w:jc w:val="right"/>
              <w:ind w:right="160"/>
              <w:spacing w:after="0" w:line="135" w:lineRule="exact"/>
              <w:rPr>
                <w:sz w:val="20"/>
                <w:szCs w:val="20"/>
                <w:color w:val="auto"/>
              </w:rPr>
            </w:pPr>
            <w:r>
              <w:rPr>
                <w:rFonts w:ascii="Arial" w:cs="Arial" w:eastAsia="Arial" w:hAnsi="Arial"/>
                <w:sz w:val="14"/>
                <w:szCs w:val="14"/>
                <w:b w:val="1"/>
                <w:bCs w:val="1"/>
                <w:color w:val="auto"/>
              </w:rPr>
              <w:t>of Net</w:t>
            </w:r>
          </w:p>
        </w:tc>
        <w:tc>
          <w:tcPr>
            <w:tcW w:w="0" w:type="dxa"/>
            <w:vAlign w:val="bottom"/>
          </w:tcPr>
          <w:p>
            <w:pPr>
              <w:spacing w:after="0"/>
              <w:rPr>
                <w:sz w:val="1"/>
                <w:szCs w:val="1"/>
                <w:color w:val="auto"/>
              </w:rPr>
            </w:pPr>
          </w:p>
        </w:tc>
      </w:tr>
      <w:tr>
        <w:trPr>
          <w:trHeight w:val="188"/>
        </w:trPr>
        <w:tc>
          <w:tcPr>
            <w:tcW w:w="28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Company/Investment</w:t>
            </w:r>
          </w:p>
        </w:tc>
        <w:tc>
          <w:tcPr>
            <w:tcW w:w="80" w:type="dxa"/>
            <w:vAlign w:val="bottom"/>
            <w:tcBorders>
              <w:bottom w:val="single" w:sz="8" w:color="CCEEFF"/>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Quantity</w:t>
            </w: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ind w:right="41"/>
              <w:spacing w:after="0"/>
              <w:rPr>
                <w:sz w:val="20"/>
                <w:szCs w:val="20"/>
                <w:color w:val="auto"/>
              </w:rPr>
            </w:pPr>
            <w:r>
              <w:rPr>
                <w:rFonts w:ascii="Arial" w:cs="Arial" w:eastAsia="Arial" w:hAnsi="Arial"/>
                <w:sz w:val="14"/>
                <w:szCs w:val="14"/>
                <w:b w:val="1"/>
                <w:bCs w:val="1"/>
                <w:color w:val="auto"/>
                <w:w w:val="94"/>
              </w:rPr>
              <w:t>in Income</w:t>
            </w: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center"/>
              <w:ind w:right="20"/>
              <w:spacing w:after="0"/>
              <w:rPr>
                <w:sz w:val="20"/>
                <w:szCs w:val="20"/>
                <w:color w:val="auto"/>
              </w:rPr>
            </w:pPr>
            <w:r>
              <w:rPr>
                <w:rFonts w:ascii="Arial" w:cs="Arial" w:eastAsia="Arial" w:hAnsi="Arial"/>
                <w:sz w:val="14"/>
                <w:szCs w:val="14"/>
                <w:b w:val="1"/>
                <w:bCs w:val="1"/>
                <w:color w:val="auto"/>
                <w:w w:val="91"/>
              </w:rPr>
              <w:t>31, 2020</w:t>
            </w:r>
          </w:p>
        </w:tc>
        <w:tc>
          <w:tcPr>
            <w:tcW w:w="10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5"/>
              </w:rPr>
              <w:t>Amortization</w:t>
            </w:r>
          </w:p>
        </w:tc>
        <w:tc>
          <w:tcPr>
            <w:tcW w:w="8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89"/>
              </w:rPr>
              <w:t>Gains/(Losses)</w:t>
            </w:r>
          </w:p>
        </w:tc>
        <w:tc>
          <w:tcPr>
            <w:tcW w:w="8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87"/>
              </w:rPr>
              <w:t>Gains/(Losses)</w:t>
            </w: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center"/>
              <w:ind w:right="39"/>
              <w:spacing w:after="0"/>
              <w:rPr>
                <w:sz w:val="20"/>
                <w:szCs w:val="20"/>
                <w:color w:val="auto"/>
              </w:rPr>
            </w:pPr>
            <w:r>
              <w:rPr>
                <w:rFonts w:ascii="Arial" w:cs="Arial" w:eastAsia="Arial" w:hAnsi="Arial"/>
                <w:sz w:val="14"/>
                <w:szCs w:val="14"/>
                <w:b w:val="1"/>
                <w:bCs w:val="1"/>
                <w:color w:val="auto"/>
                <w:w w:val="89"/>
              </w:rPr>
              <w:t>2021</w:t>
            </w:r>
          </w:p>
        </w:tc>
        <w:tc>
          <w:tcPr>
            <w:tcW w:w="8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tcPr>
          <w:p>
            <w:pPr>
              <w:jc w:val="right"/>
              <w:ind w:right="160"/>
              <w:spacing w:after="0"/>
              <w:rPr>
                <w:sz w:val="20"/>
                <w:szCs w:val="20"/>
                <w:color w:val="auto"/>
              </w:rPr>
            </w:pPr>
            <w:r>
              <w:rPr>
                <w:rFonts w:ascii="Arial" w:cs="Arial" w:eastAsia="Arial" w:hAnsi="Arial"/>
                <w:sz w:val="14"/>
                <w:szCs w:val="14"/>
                <w:b w:val="1"/>
                <w:bCs w:val="1"/>
                <w:color w:val="auto"/>
              </w:rPr>
              <w:t>Assets</w:t>
            </w:r>
          </w:p>
        </w:tc>
        <w:tc>
          <w:tcPr>
            <w:tcW w:w="0" w:type="dxa"/>
            <w:vAlign w:val="bottom"/>
          </w:tcPr>
          <w:p>
            <w:pPr>
              <w:spacing w:after="0"/>
              <w:rPr>
                <w:sz w:val="1"/>
                <w:szCs w:val="1"/>
                <w:color w:val="auto"/>
              </w:rPr>
            </w:pPr>
          </w:p>
        </w:tc>
      </w:tr>
      <w:tr>
        <w:trPr>
          <w:trHeight w:val="161"/>
        </w:trPr>
        <w:tc>
          <w:tcPr>
            <w:tcW w:w="2860" w:type="dxa"/>
            <w:vAlign w:val="bottom"/>
            <w:shd w:val="clear" w:color="auto" w:fill="CCEEFF"/>
          </w:tcPr>
          <w:p>
            <w:pPr>
              <w:ind w:left="220"/>
              <w:spacing w:after="0" w:line="161" w:lineRule="exact"/>
              <w:rPr>
                <w:sz w:val="20"/>
                <w:szCs w:val="20"/>
                <w:color w:val="auto"/>
              </w:rPr>
            </w:pPr>
            <w:r>
              <w:rPr>
                <w:rFonts w:ascii="Arial" w:cs="Arial" w:eastAsia="Arial" w:hAnsi="Arial"/>
                <w:sz w:val="16"/>
                <w:szCs w:val="16"/>
                <w:color w:val="auto"/>
              </w:rPr>
              <w:t>CUX, Inc. (d/b/a CorpU) -Convertible</w:t>
            </w:r>
          </w:p>
        </w:tc>
        <w:tc>
          <w:tcPr>
            <w:tcW w:w="80" w:type="dxa"/>
            <w:vAlign w:val="bottom"/>
            <w:shd w:val="clear" w:color="auto" w:fill="CCEEFF"/>
          </w:tcPr>
          <w:p>
            <w:pPr>
              <w:spacing w:after="0"/>
              <w:rPr>
                <w:sz w:val="13"/>
                <w:szCs w:val="13"/>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615,763</w:t>
            </w:r>
          </w:p>
        </w:tc>
        <w:tc>
          <w:tcPr>
            <w:tcW w:w="80" w:type="dxa"/>
            <w:vAlign w:val="bottom"/>
            <w:vMerge w:val="restart"/>
            <w:shd w:val="clear" w:color="auto" w:fill="CCEEFF"/>
          </w:tcPr>
          <w:p>
            <w:pPr>
              <w:spacing w:after="0"/>
              <w:rPr>
                <w:sz w:val="13"/>
                <w:szCs w:val="13"/>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vMerge w:val="restart"/>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80" w:type="dxa"/>
            <w:vAlign w:val="bottom"/>
            <w:vMerge w:val="restart"/>
            <w:shd w:val="clear" w:color="auto" w:fill="CCEEFF"/>
          </w:tcPr>
          <w:p>
            <w:pPr>
              <w:spacing w:after="0"/>
              <w:rPr>
                <w:sz w:val="13"/>
                <w:szCs w:val="13"/>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vMerge w:val="restart"/>
            <w:shd w:val="clear" w:color="auto" w:fill="CCEEFF"/>
          </w:tcPr>
          <w:p>
            <w:pPr>
              <w:spacing w:after="0"/>
              <w:rPr>
                <w:sz w:val="13"/>
                <w:szCs w:val="13"/>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vMerge w:val="restart"/>
            <w:shd w:val="clear" w:color="auto" w:fill="CCEEFF"/>
          </w:tcPr>
          <w:p>
            <w:pPr>
              <w:spacing w:after="0"/>
              <w:rPr>
                <w:sz w:val="13"/>
                <w:szCs w:val="13"/>
                <w:color w:val="auto"/>
              </w:rPr>
            </w:pPr>
          </w:p>
        </w:tc>
        <w:tc>
          <w:tcPr>
            <w:tcW w:w="160" w:type="dxa"/>
            <w:vAlign w:val="bottom"/>
            <w:vMerge w:val="restart"/>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80" w:type="dxa"/>
            <w:vAlign w:val="bottom"/>
            <w:vMerge w:val="restart"/>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80" w:type="dxa"/>
            <w:vAlign w:val="bottom"/>
            <w:vMerge w:val="restart"/>
            <w:shd w:val="clear" w:color="auto" w:fill="CCEEFF"/>
          </w:tcPr>
          <w:p>
            <w:pPr>
              <w:spacing w:after="0"/>
              <w:rPr>
                <w:sz w:val="13"/>
                <w:szCs w:val="13"/>
                <w:color w:val="auto"/>
              </w:rPr>
            </w:pPr>
          </w:p>
        </w:tc>
        <w:tc>
          <w:tcPr>
            <w:tcW w:w="120" w:type="dxa"/>
            <w:vAlign w:val="bottom"/>
            <w:vMerge w:val="restart"/>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vMerge w:val="restart"/>
            <w:shd w:val="clear" w:color="auto" w:fill="CCEEFF"/>
          </w:tcPr>
          <w:p>
            <w:pPr>
              <w:spacing w:after="0"/>
              <w:rPr>
                <w:sz w:val="13"/>
                <w:szCs w:val="13"/>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vMerge w:val="restart"/>
            <w:shd w:val="clear" w:color="auto" w:fill="CCEEFF"/>
          </w:tcPr>
          <w:p>
            <w:pPr>
              <w:spacing w:after="0"/>
              <w:rPr>
                <w:sz w:val="13"/>
                <w:szCs w:val="13"/>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209"/>
        </w:trPr>
        <w:tc>
          <w:tcPr>
            <w:tcW w:w="28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preferred shares, Series C 8%</w:t>
            </w:r>
          </w:p>
        </w:tc>
        <w:tc>
          <w:tcPr>
            <w:tcW w:w="8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vMerge w:val="continue"/>
            <w:shd w:val="clear" w:color="auto" w:fill="CCEEFF"/>
          </w:tcPr>
          <w:p>
            <w:pPr>
              <w:spacing w:after="0"/>
              <w:rPr>
                <w:sz w:val="18"/>
                <w:szCs w:val="18"/>
                <w:color w:val="auto"/>
              </w:rPr>
            </w:pPr>
          </w:p>
        </w:tc>
        <w:tc>
          <w:tcPr>
            <w:tcW w:w="80" w:type="dxa"/>
            <w:vAlign w:val="bottom"/>
            <w:vMerge w:val="continue"/>
            <w:shd w:val="clear" w:color="auto" w:fill="CCEEFF"/>
          </w:tcPr>
          <w:p>
            <w:pPr>
              <w:spacing w:after="0"/>
              <w:rPr>
                <w:sz w:val="18"/>
                <w:szCs w:val="18"/>
                <w:color w:val="auto"/>
              </w:rPr>
            </w:pPr>
          </w:p>
        </w:tc>
        <w:tc>
          <w:tcPr>
            <w:tcW w:w="120" w:type="dxa"/>
            <w:vAlign w:val="bottom"/>
            <w:tcBorders>
              <w:bottom w:val="single" w:sz="8" w:color="auto"/>
            </w:tcBorders>
            <w:vMerge w:val="continue"/>
            <w:shd w:val="clear" w:color="auto" w:fill="CCEEFF"/>
          </w:tcPr>
          <w:p>
            <w:pPr>
              <w:spacing w:after="0"/>
              <w:rPr>
                <w:sz w:val="18"/>
                <w:szCs w:val="18"/>
                <w:color w:val="auto"/>
              </w:rPr>
            </w:pPr>
          </w:p>
        </w:tc>
        <w:tc>
          <w:tcPr>
            <w:tcW w:w="78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vMerge w:val="continue"/>
            <w:shd w:val="clear" w:color="auto" w:fill="CCEEFF"/>
          </w:tcPr>
          <w:p>
            <w:pPr>
              <w:spacing w:after="0"/>
              <w:rPr>
                <w:sz w:val="18"/>
                <w:szCs w:val="18"/>
                <w:color w:val="auto"/>
              </w:rPr>
            </w:pPr>
          </w:p>
        </w:tc>
        <w:tc>
          <w:tcPr>
            <w:tcW w:w="120" w:type="dxa"/>
            <w:vAlign w:val="bottom"/>
            <w:tcBorders>
              <w:bottom w:val="single" w:sz="8" w:color="auto"/>
            </w:tcBorders>
            <w:vMerge w:val="continue"/>
            <w:shd w:val="clear" w:color="auto" w:fill="CCEEFF"/>
          </w:tcPr>
          <w:p>
            <w:pPr>
              <w:spacing w:after="0"/>
              <w:rPr>
                <w:sz w:val="18"/>
                <w:szCs w:val="18"/>
                <w:color w:val="auto"/>
              </w:rPr>
            </w:pPr>
          </w:p>
        </w:tc>
        <w:tc>
          <w:tcPr>
            <w:tcW w:w="68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vMerge w:val="continue"/>
            <w:shd w:val="clear" w:color="auto" w:fill="CCEEFF"/>
          </w:tcPr>
          <w:p>
            <w:pPr>
              <w:spacing w:after="0"/>
              <w:rPr>
                <w:sz w:val="18"/>
                <w:szCs w:val="18"/>
                <w:color w:val="auto"/>
              </w:rPr>
            </w:pPr>
          </w:p>
        </w:tc>
        <w:tc>
          <w:tcPr>
            <w:tcW w:w="100" w:type="dxa"/>
            <w:vAlign w:val="bottom"/>
            <w:tcBorders>
              <w:bottom w:val="single" w:sz="8" w:color="auto"/>
            </w:tcBorders>
            <w:vMerge w:val="continue"/>
            <w:shd w:val="clear" w:color="auto" w:fill="CCEEFF"/>
          </w:tcPr>
          <w:p>
            <w:pPr>
              <w:spacing w:after="0"/>
              <w:rPr>
                <w:sz w:val="18"/>
                <w:szCs w:val="18"/>
                <w:color w:val="auto"/>
              </w:rPr>
            </w:pPr>
          </w:p>
        </w:tc>
        <w:tc>
          <w:tcPr>
            <w:tcW w:w="78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vMerge w:val="continue"/>
            <w:shd w:val="clear" w:color="auto" w:fill="CCEEFF"/>
          </w:tcPr>
          <w:p>
            <w:pPr>
              <w:spacing w:after="0"/>
              <w:rPr>
                <w:sz w:val="18"/>
                <w:szCs w:val="18"/>
                <w:color w:val="auto"/>
              </w:rPr>
            </w:pPr>
          </w:p>
        </w:tc>
        <w:tc>
          <w:tcPr>
            <w:tcW w:w="160" w:type="dxa"/>
            <w:vAlign w:val="bottom"/>
            <w:tcBorders>
              <w:bottom w:val="single" w:sz="8" w:color="auto"/>
            </w:tcBorders>
            <w:vMerge w:val="continue"/>
            <w:shd w:val="clear" w:color="auto" w:fill="CCEEFF"/>
          </w:tcPr>
          <w:p>
            <w:pPr>
              <w:spacing w:after="0"/>
              <w:rPr>
                <w:sz w:val="18"/>
                <w:szCs w:val="18"/>
                <w:color w:val="auto"/>
              </w:rPr>
            </w:pPr>
          </w:p>
        </w:tc>
        <w:tc>
          <w:tcPr>
            <w:tcW w:w="78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vMerge w:val="continue"/>
            <w:shd w:val="clear" w:color="auto" w:fill="CCEEFF"/>
          </w:tcPr>
          <w:p>
            <w:pPr>
              <w:spacing w:after="0"/>
              <w:rPr>
                <w:sz w:val="18"/>
                <w:szCs w:val="18"/>
                <w:color w:val="auto"/>
              </w:rPr>
            </w:pPr>
          </w:p>
        </w:tc>
        <w:tc>
          <w:tcPr>
            <w:tcW w:w="120" w:type="dxa"/>
            <w:vAlign w:val="bottom"/>
            <w:tcBorders>
              <w:bottom w:val="single" w:sz="8" w:color="auto"/>
            </w:tcBorders>
            <w:vMerge w:val="continue"/>
            <w:shd w:val="clear" w:color="auto" w:fill="CCEEFF"/>
          </w:tcPr>
          <w:p>
            <w:pPr>
              <w:spacing w:after="0"/>
              <w:rPr>
                <w:sz w:val="18"/>
                <w:szCs w:val="18"/>
                <w:color w:val="auto"/>
              </w:rPr>
            </w:pPr>
          </w:p>
        </w:tc>
        <w:tc>
          <w:tcPr>
            <w:tcW w:w="80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tcBorders>
              <w:bottom w:val="single" w:sz="8" w:color="CCEEFF"/>
            </w:tcBorders>
            <w:vMerge w:val="continue"/>
            <w:shd w:val="clear" w:color="auto" w:fill="CCEEFF"/>
          </w:tcPr>
          <w:p>
            <w:pPr>
              <w:spacing w:after="0"/>
              <w:rPr>
                <w:sz w:val="18"/>
                <w:szCs w:val="18"/>
                <w:color w:val="auto"/>
              </w:rPr>
            </w:pPr>
          </w:p>
        </w:tc>
        <w:tc>
          <w:tcPr>
            <w:tcW w:w="120" w:type="dxa"/>
            <w:vAlign w:val="bottom"/>
            <w:tcBorders>
              <w:bottom w:val="single" w:sz="8" w:color="auto"/>
            </w:tcBorders>
            <w:vMerge w:val="continue"/>
            <w:shd w:val="clear" w:color="auto" w:fill="CCEEFF"/>
          </w:tcPr>
          <w:p>
            <w:pPr>
              <w:spacing w:after="0"/>
              <w:rPr>
                <w:sz w:val="18"/>
                <w:szCs w:val="18"/>
                <w:color w:val="auto"/>
              </w:rPr>
            </w:pPr>
          </w:p>
        </w:tc>
        <w:tc>
          <w:tcPr>
            <w:tcW w:w="72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tcBorders>
              <w:bottom w:val="single" w:sz="8" w:color="CCEEFF"/>
            </w:tcBorders>
            <w:vMerge w:val="continue"/>
            <w:shd w:val="clear" w:color="auto" w:fill="CCEEFF"/>
          </w:tcPr>
          <w:p>
            <w:pPr>
              <w:spacing w:after="0"/>
              <w:rPr>
                <w:sz w:val="18"/>
                <w:szCs w:val="18"/>
                <w:color w:val="auto"/>
              </w:rPr>
            </w:pPr>
          </w:p>
        </w:tc>
        <w:tc>
          <w:tcPr>
            <w:tcW w:w="84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940" w:type="dxa"/>
            <w:vAlign w:val="bottom"/>
            <w:gridSpan w:val="2"/>
          </w:tcPr>
          <w:p>
            <w:pPr>
              <w:ind w:left="140"/>
              <w:spacing w:after="0"/>
              <w:rPr>
                <w:sz w:val="20"/>
                <w:szCs w:val="20"/>
                <w:color w:val="auto"/>
              </w:rPr>
            </w:pPr>
            <w:r>
              <w:rPr>
                <w:rFonts w:ascii="Arial" w:cs="Arial" w:eastAsia="Arial" w:hAnsi="Arial"/>
                <w:sz w:val="16"/>
                <w:szCs w:val="16"/>
                <w:i w:val="1"/>
                <w:iCs w:val="1"/>
                <w:color w:val="auto"/>
              </w:rPr>
              <w:t>Total Corporate Education</w:t>
            </w: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ind w:left="5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73,882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60" w:type="dxa"/>
            <w:vAlign w:val="bottom"/>
            <w:gridSpan w:val="2"/>
          </w:tcPr>
          <w:p>
            <w:pPr>
              <w:ind w:left="5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(2,089)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71,793</w:t>
            </w: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0.02 %</w:t>
            </w:r>
          </w:p>
        </w:tc>
        <w:tc>
          <w:tcPr>
            <w:tcW w:w="0" w:type="dxa"/>
            <w:vAlign w:val="bottom"/>
          </w:tcPr>
          <w:p>
            <w:pPr>
              <w:spacing w:after="0"/>
              <w:rPr>
                <w:sz w:val="1"/>
                <w:szCs w:val="1"/>
                <w:color w:val="auto"/>
              </w:rPr>
            </w:pPr>
          </w:p>
        </w:tc>
      </w:tr>
      <w:tr>
        <w:trPr>
          <w:trHeight w:val="219"/>
        </w:trPr>
        <w:tc>
          <w:tcPr>
            <w:tcW w:w="2940" w:type="dxa"/>
            <w:vAlign w:val="bottom"/>
            <w:gridSpan w:val="2"/>
            <w:shd w:val="clear" w:color="auto" w:fill="CCEEFF"/>
          </w:tcPr>
          <w:p>
            <w:pPr>
              <w:ind w:left="140"/>
              <w:spacing w:after="0"/>
              <w:rPr>
                <w:sz w:val="20"/>
                <w:szCs w:val="20"/>
                <w:color w:val="auto"/>
              </w:rPr>
            </w:pPr>
            <w:r>
              <w:rPr>
                <w:rFonts w:ascii="Arial" w:cs="Arial" w:eastAsia="Arial" w:hAnsi="Arial"/>
                <w:sz w:val="16"/>
                <w:szCs w:val="16"/>
                <w:i w:val="1"/>
                <w:iCs w:val="1"/>
                <w:color w:val="auto"/>
              </w:rPr>
              <w:t>Knowledge Networks</w:t>
            </w:r>
          </w:p>
        </w:tc>
        <w:tc>
          <w:tcPr>
            <w:tcW w:w="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6"/>
        </w:trPr>
        <w:tc>
          <w:tcPr>
            <w:tcW w:w="2940" w:type="dxa"/>
            <w:vAlign w:val="bottom"/>
            <w:gridSpan w:val="2"/>
          </w:tcPr>
          <w:p>
            <w:pPr>
              <w:ind w:left="220"/>
              <w:spacing w:after="0" w:line="166" w:lineRule="exact"/>
              <w:rPr>
                <w:sz w:val="20"/>
                <w:szCs w:val="20"/>
                <w:color w:val="auto"/>
              </w:rPr>
            </w:pPr>
            <w:r>
              <w:rPr>
                <w:rFonts w:ascii="Arial" w:cs="Arial" w:eastAsia="Arial" w:hAnsi="Arial"/>
                <w:sz w:val="16"/>
                <w:szCs w:val="16"/>
                <w:color w:val="auto"/>
                <w:w w:val="93"/>
              </w:rPr>
              <w:t>Maven Research, Inc.–Preferred shares,</w:t>
            </w: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318,979</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vMerge w:val="restart"/>
          </w:tcPr>
          <w:p>
            <w:pPr>
              <w:ind w:left="5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860" w:type="dxa"/>
            <w:vAlign w:val="bottom"/>
            <w:gridSpan w:val="2"/>
            <w:vMerge w:val="restart"/>
          </w:tcPr>
          <w:p>
            <w:pPr>
              <w:ind w:left="5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88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209"/>
        </w:trPr>
        <w:tc>
          <w:tcPr>
            <w:tcW w:w="2940" w:type="dxa"/>
            <w:vAlign w:val="bottom"/>
            <w:gridSpan w:val="2"/>
          </w:tcPr>
          <w:p>
            <w:pPr>
              <w:ind w:left="220"/>
              <w:spacing w:after="0"/>
              <w:rPr>
                <w:sz w:val="20"/>
                <w:szCs w:val="20"/>
                <w:color w:val="auto"/>
              </w:rPr>
            </w:pPr>
            <w:r>
              <w:rPr>
                <w:rFonts w:ascii="Arial" w:cs="Arial" w:eastAsia="Arial" w:hAnsi="Arial"/>
                <w:sz w:val="16"/>
                <w:szCs w:val="16"/>
                <w:color w:val="auto"/>
              </w:rPr>
              <w:t>Series C</w:t>
            </w:r>
          </w:p>
        </w:tc>
        <w:tc>
          <w:tcPr>
            <w:tcW w:w="7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8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2940" w:type="dxa"/>
            <w:vAlign w:val="bottom"/>
            <w:gridSpan w:val="2"/>
            <w:shd w:val="clear" w:color="auto" w:fill="CCEEFF"/>
          </w:tcPr>
          <w:p>
            <w:pPr>
              <w:ind w:left="220"/>
              <w:spacing w:after="0" w:line="169" w:lineRule="exact"/>
              <w:rPr>
                <w:sz w:val="20"/>
                <w:szCs w:val="20"/>
                <w:color w:val="auto"/>
              </w:rPr>
            </w:pPr>
            <w:r>
              <w:rPr>
                <w:rFonts w:ascii="Arial" w:cs="Arial" w:eastAsia="Arial" w:hAnsi="Arial"/>
                <w:sz w:val="16"/>
                <w:szCs w:val="16"/>
                <w:color w:val="auto"/>
                <w:w w:val="93"/>
              </w:rPr>
              <w:t>Maven Research, Inc.–Preferred shares,</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49,505</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80" w:type="dxa"/>
            <w:vAlign w:val="bottom"/>
            <w:vMerge w:val="restart"/>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vMerge w:val="restart"/>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vMerge w:val="restart"/>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80" w:type="dxa"/>
            <w:vAlign w:val="bottom"/>
            <w:vMerge w:val="restart"/>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vMerge w:val="restart"/>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vMerge w:val="restart"/>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212"/>
        </w:trPr>
        <w:tc>
          <w:tcPr>
            <w:tcW w:w="294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Series B</w:t>
            </w:r>
          </w:p>
        </w:tc>
        <w:tc>
          <w:tcPr>
            <w:tcW w:w="720" w:type="dxa"/>
            <w:vAlign w:val="bottom"/>
            <w:tcBorders>
              <w:bottom w:val="single" w:sz="8" w:color="CCEEFF"/>
            </w:tcBorders>
            <w:vMerge w:val="continue"/>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vMerge w:val="continue"/>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vMerge w:val="continue"/>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tcBorders>
              <w:bottom w:val="single" w:sz="8" w:color="CCEEFF"/>
            </w:tcBorders>
            <w:vMerge w:val="continue"/>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vMerge w:val="continue"/>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tcBorders>
              <w:bottom w:val="single" w:sz="8" w:color="CCEEFF"/>
            </w:tcBorders>
            <w:vMerge w:val="continue"/>
            <w:shd w:val="clear" w:color="auto" w:fill="CCEEFF"/>
          </w:tcPr>
          <w:p>
            <w:pPr>
              <w:spacing w:after="0"/>
              <w:rPr>
                <w:sz w:val="18"/>
                <w:szCs w:val="18"/>
                <w:color w:val="auto"/>
              </w:rPr>
            </w:pPr>
          </w:p>
        </w:tc>
        <w:tc>
          <w:tcPr>
            <w:tcW w:w="84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940" w:type="dxa"/>
            <w:vAlign w:val="bottom"/>
            <w:gridSpan w:val="2"/>
          </w:tcPr>
          <w:p>
            <w:pPr>
              <w:ind w:left="140"/>
              <w:spacing w:after="0"/>
              <w:rPr>
                <w:sz w:val="20"/>
                <w:szCs w:val="20"/>
                <w:color w:val="auto"/>
              </w:rPr>
            </w:pPr>
            <w:r>
              <w:rPr>
                <w:rFonts w:ascii="Arial" w:cs="Arial" w:eastAsia="Arial" w:hAnsi="Arial"/>
                <w:sz w:val="16"/>
                <w:szCs w:val="16"/>
                <w:i w:val="1"/>
                <w:iCs w:val="1"/>
                <w:color w:val="auto"/>
              </w:rPr>
              <w:t>Total Knowledge Networks</w:t>
            </w: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tcPr>
          <w:p>
            <w:pPr>
              <w:ind w:left="5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60" w:type="dxa"/>
            <w:vAlign w:val="bottom"/>
            <w:gridSpan w:val="2"/>
          </w:tcPr>
          <w:p>
            <w:pPr>
              <w:ind w:left="5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219"/>
        </w:trPr>
        <w:tc>
          <w:tcPr>
            <w:tcW w:w="2940" w:type="dxa"/>
            <w:vAlign w:val="bottom"/>
            <w:gridSpan w:val="2"/>
            <w:shd w:val="clear" w:color="auto" w:fill="CCEEFF"/>
          </w:tcPr>
          <w:p>
            <w:pPr>
              <w:ind w:left="140"/>
              <w:spacing w:after="0"/>
              <w:rPr>
                <w:sz w:val="20"/>
                <w:szCs w:val="20"/>
                <w:color w:val="auto"/>
              </w:rPr>
            </w:pPr>
            <w:r>
              <w:rPr>
                <w:rFonts w:ascii="Arial" w:cs="Arial" w:eastAsia="Arial" w:hAnsi="Arial"/>
                <w:sz w:val="16"/>
                <w:szCs w:val="16"/>
                <w:i w:val="1"/>
                <w:iCs w:val="1"/>
                <w:color w:val="auto"/>
              </w:rPr>
              <w:t>Digital Media Platform</w:t>
            </w:r>
          </w:p>
        </w:tc>
        <w:tc>
          <w:tcPr>
            <w:tcW w:w="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6"/>
        </w:trPr>
        <w:tc>
          <w:tcPr>
            <w:tcW w:w="2940" w:type="dxa"/>
            <w:vAlign w:val="bottom"/>
            <w:gridSpan w:val="2"/>
          </w:tcPr>
          <w:p>
            <w:pPr>
              <w:ind w:left="220"/>
              <w:spacing w:after="0" w:line="166" w:lineRule="exact"/>
              <w:rPr>
                <w:sz w:val="20"/>
                <w:szCs w:val="20"/>
                <w:color w:val="auto"/>
              </w:rPr>
            </w:pPr>
            <w:r>
              <w:rPr>
                <w:rFonts w:ascii="Arial" w:cs="Arial" w:eastAsia="Arial" w:hAnsi="Arial"/>
                <w:sz w:val="16"/>
                <w:szCs w:val="16"/>
                <w:color w:val="auto"/>
              </w:rPr>
              <w:t>OzyMedia, Inc.–Preferred shares,</w:t>
            </w: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683,482</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vMerge w:val="restart"/>
          </w:tcPr>
          <w:p>
            <w:pPr>
              <w:ind w:left="540"/>
              <w:spacing w:after="0"/>
              <w:rPr>
                <w:sz w:val="20"/>
                <w:szCs w:val="20"/>
                <w:color w:val="auto"/>
              </w:rPr>
            </w:pPr>
            <w:r>
              <w:rPr>
                <w:rFonts w:ascii="Arial" w:cs="Arial" w:eastAsia="Arial" w:hAnsi="Arial"/>
                <w:sz w:val="16"/>
                <w:szCs w:val="16"/>
                <w:color w:val="auto"/>
              </w:rPr>
              <w:t>—</w:t>
            </w:r>
          </w:p>
        </w:tc>
        <w:tc>
          <w:tcPr>
            <w:tcW w:w="800" w:type="dxa"/>
            <w:vAlign w:val="bottom"/>
            <w:gridSpan w:val="2"/>
            <w:vMerge w:val="restart"/>
          </w:tcPr>
          <w:p>
            <w:pPr>
              <w:jc w:val="right"/>
              <w:spacing w:after="0"/>
              <w:rPr>
                <w:sz w:val="20"/>
                <w:szCs w:val="20"/>
                <w:color w:val="auto"/>
              </w:rPr>
            </w:pPr>
            <w:r>
              <w:rPr>
                <w:rFonts w:ascii="Arial" w:cs="Arial" w:eastAsia="Arial" w:hAnsi="Arial"/>
                <w:sz w:val="16"/>
                <w:szCs w:val="16"/>
                <w:color w:val="auto"/>
              </w:rPr>
              <w:t>1,865,547</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860" w:type="dxa"/>
            <w:vAlign w:val="bottom"/>
            <w:gridSpan w:val="2"/>
            <w:vMerge w:val="restart"/>
          </w:tcPr>
          <w:p>
            <w:pPr>
              <w:ind w:left="5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299,747</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w w:val="87"/>
              </w:rPr>
              <w:t>2,165,294</w:t>
            </w:r>
          </w:p>
        </w:tc>
        <w:tc>
          <w:tcPr>
            <w:tcW w:w="8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0.50 %</w:t>
            </w:r>
          </w:p>
        </w:tc>
        <w:tc>
          <w:tcPr>
            <w:tcW w:w="0" w:type="dxa"/>
            <w:vAlign w:val="bottom"/>
          </w:tcPr>
          <w:p>
            <w:pPr>
              <w:spacing w:after="0"/>
              <w:rPr>
                <w:sz w:val="1"/>
                <w:szCs w:val="1"/>
                <w:color w:val="auto"/>
              </w:rPr>
            </w:pPr>
          </w:p>
        </w:tc>
      </w:tr>
      <w:tr>
        <w:trPr>
          <w:trHeight w:val="209"/>
        </w:trPr>
        <w:tc>
          <w:tcPr>
            <w:tcW w:w="2940" w:type="dxa"/>
            <w:vAlign w:val="bottom"/>
            <w:gridSpan w:val="2"/>
          </w:tcPr>
          <w:p>
            <w:pPr>
              <w:ind w:left="220"/>
              <w:spacing w:after="0"/>
              <w:rPr>
                <w:sz w:val="20"/>
                <w:szCs w:val="20"/>
                <w:color w:val="auto"/>
              </w:rPr>
            </w:pPr>
            <w:r>
              <w:rPr>
                <w:rFonts w:ascii="Arial" w:cs="Arial" w:eastAsia="Arial" w:hAnsi="Arial"/>
                <w:sz w:val="16"/>
                <w:szCs w:val="16"/>
                <w:color w:val="auto"/>
              </w:rPr>
              <w:t>Series C-2 6%</w:t>
            </w:r>
          </w:p>
        </w:tc>
        <w:tc>
          <w:tcPr>
            <w:tcW w:w="7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2940" w:type="dxa"/>
            <w:vAlign w:val="bottom"/>
            <w:gridSpan w:val="2"/>
            <w:shd w:val="clear" w:color="auto" w:fill="CCEEFF"/>
          </w:tcPr>
          <w:p>
            <w:pPr>
              <w:ind w:left="220"/>
              <w:spacing w:after="0" w:line="169" w:lineRule="exact"/>
              <w:rPr>
                <w:sz w:val="20"/>
                <w:szCs w:val="20"/>
                <w:color w:val="auto"/>
              </w:rPr>
            </w:pPr>
            <w:r>
              <w:rPr>
                <w:rFonts w:ascii="Arial" w:cs="Arial" w:eastAsia="Arial" w:hAnsi="Arial"/>
                <w:sz w:val="16"/>
                <w:szCs w:val="16"/>
                <w:color w:val="auto"/>
              </w:rPr>
              <w:t>OzyMedia, Inc.–Preferred shares,</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922,509</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80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3,350,952</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7"/>
              </w:rPr>
              <w:t>3,350,952</w:t>
            </w:r>
          </w:p>
        </w:tc>
        <w:tc>
          <w:tcPr>
            <w:tcW w:w="8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0.77 %</w:t>
            </w:r>
          </w:p>
        </w:tc>
        <w:tc>
          <w:tcPr>
            <w:tcW w:w="0" w:type="dxa"/>
            <w:vAlign w:val="bottom"/>
          </w:tcPr>
          <w:p>
            <w:pPr>
              <w:spacing w:after="0"/>
              <w:rPr>
                <w:sz w:val="1"/>
                <w:szCs w:val="1"/>
                <w:color w:val="auto"/>
              </w:rPr>
            </w:pPr>
          </w:p>
        </w:tc>
      </w:tr>
      <w:tr>
        <w:trPr>
          <w:trHeight w:val="212"/>
        </w:trPr>
        <w:tc>
          <w:tcPr>
            <w:tcW w:w="294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Series B 6%</w:t>
            </w:r>
          </w:p>
        </w:tc>
        <w:tc>
          <w:tcPr>
            <w:tcW w:w="7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80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2940" w:type="dxa"/>
            <w:vAlign w:val="bottom"/>
            <w:gridSpan w:val="2"/>
          </w:tcPr>
          <w:p>
            <w:pPr>
              <w:ind w:left="220"/>
              <w:spacing w:after="0" w:line="166" w:lineRule="exact"/>
              <w:rPr>
                <w:sz w:val="20"/>
                <w:szCs w:val="20"/>
                <w:color w:val="auto"/>
              </w:rPr>
            </w:pPr>
            <w:r>
              <w:rPr>
                <w:rFonts w:ascii="Arial" w:cs="Arial" w:eastAsia="Arial" w:hAnsi="Arial"/>
                <w:sz w:val="16"/>
                <w:szCs w:val="16"/>
                <w:color w:val="auto"/>
              </w:rPr>
              <w:t>OzyMedia, Inc.–Preferred shares,</w:t>
            </w: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w w:val="89"/>
              </w:rPr>
              <w:t>1,090,909</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vMerge w:val="restart"/>
          </w:tcPr>
          <w:p>
            <w:pPr>
              <w:ind w:left="540"/>
              <w:spacing w:after="0"/>
              <w:rPr>
                <w:sz w:val="20"/>
                <w:szCs w:val="20"/>
                <w:color w:val="auto"/>
              </w:rPr>
            </w:pPr>
            <w:r>
              <w:rPr>
                <w:rFonts w:ascii="Arial" w:cs="Arial" w:eastAsia="Arial" w:hAnsi="Arial"/>
                <w:sz w:val="16"/>
                <w:szCs w:val="16"/>
                <w:color w:val="auto"/>
              </w:rPr>
              <w:t>—</w:t>
            </w:r>
          </w:p>
        </w:tc>
        <w:tc>
          <w:tcPr>
            <w:tcW w:w="800" w:type="dxa"/>
            <w:vAlign w:val="bottom"/>
            <w:gridSpan w:val="2"/>
            <w:vMerge w:val="restart"/>
          </w:tcPr>
          <w:p>
            <w:pPr>
              <w:jc w:val="right"/>
              <w:spacing w:after="0"/>
              <w:rPr>
                <w:sz w:val="20"/>
                <w:szCs w:val="20"/>
                <w:color w:val="auto"/>
              </w:rPr>
            </w:pPr>
            <w:r>
              <w:rPr>
                <w:rFonts w:ascii="Arial" w:cs="Arial" w:eastAsia="Arial" w:hAnsi="Arial"/>
                <w:sz w:val="16"/>
                <w:szCs w:val="16"/>
                <w:color w:val="auto"/>
              </w:rPr>
              <w:t>2,824,679</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860" w:type="dxa"/>
            <w:vAlign w:val="bottom"/>
            <w:gridSpan w:val="2"/>
            <w:vMerge w:val="restart"/>
          </w:tcPr>
          <w:p>
            <w:pPr>
              <w:ind w:left="5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631,357</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w w:val="87"/>
              </w:rPr>
              <w:t>3,456,036</w:t>
            </w:r>
          </w:p>
        </w:tc>
        <w:tc>
          <w:tcPr>
            <w:tcW w:w="8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0.79 %</w:t>
            </w:r>
          </w:p>
        </w:tc>
        <w:tc>
          <w:tcPr>
            <w:tcW w:w="0" w:type="dxa"/>
            <w:vAlign w:val="bottom"/>
          </w:tcPr>
          <w:p>
            <w:pPr>
              <w:spacing w:after="0"/>
              <w:rPr>
                <w:sz w:val="1"/>
                <w:szCs w:val="1"/>
                <w:color w:val="auto"/>
              </w:rPr>
            </w:pPr>
          </w:p>
        </w:tc>
      </w:tr>
      <w:tr>
        <w:trPr>
          <w:trHeight w:val="209"/>
        </w:trPr>
        <w:tc>
          <w:tcPr>
            <w:tcW w:w="2940" w:type="dxa"/>
            <w:vAlign w:val="bottom"/>
            <w:gridSpan w:val="2"/>
          </w:tcPr>
          <w:p>
            <w:pPr>
              <w:ind w:left="220"/>
              <w:spacing w:after="0"/>
              <w:rPr>
                <w:sz w:val="20"/>
                <w:szCs w:val="20"/>
                <w:color w:val="auto"/>
              </w:rPr>
            </w:pPr>
            <w:r>
              <w:rPr>
                <w:rFonts w:ascii="Arial" w:cs="Arial" w:eastAsia="Arial" w:hAnsi="Arial"/>
                <w:sz w:val="16"/>
                <w:szCs w:val="16"/>
                <w:color w:val="auto"/>
              </w:rPr>
              <w:t>Series A 6%</w:t>
            </w:r>
          </w:p>
        </w:tc>
        <w:tc>
          <w:tcPr>
            <w:tcW w:w="7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2940" w:type="dxa"/>
            <w:vAlign w:val="bottom"/>
            <w:gridSpan w:val="2"/>
            <w:shd w:val="clear" w:color="auto" w:fill="CCEEFF"/>
          </w:tcPr>
          <w:p>
            <w:pPr>
              <w:ind w:left="220"/>
              <w:spacing w:after="0" w:line="169" w:lineRule="exact"/>
              <w:rPr>
                <w:sz w:val="20"/>
                <w:szCs w:val="20"/>
                <w:color w:val="auto"/>
              </w:rPr>
            </w:pPr>
            <w:r>
              <w:rPr>
                <w:rFonts w:ascii="Arial" w:cs="Arial" w:eastAsia="Arial" w:hAnsi="Arial"/>
                <w:sz w:val="16"/>
                <w:szCs w:val="16"/>
                <w:color w:val="auto"/>
              </w:rPr>
              <w:t>OzyMedia, Inc.–Preferred shares,</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500,000</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80" w:type="dxa"/>
            <w:vAlign w:val="bottom"/>
            <w:vMerge w:val="restart"/>
            <w:shd w:val="clear" w:color="auto" w:fill="CCEEFF"/>
          </w:tcPr>
          <w:p>
            <w:pPr>
              <w:spacing w:after="0"/>
              <w:rPr>
                <w:sz w:val="14"/>
                <w:szCs w:val="14"/>
                <w:color w:val="auto"/>
              </w:rPr>
            </w:pPr>
          </w:p>
        </w:tc>
        <w:tc>
          <w:tcPr>
            <w:tcW w:w="80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1,294,645</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vMerge w:val="restart"/>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80" w:type="dxa"/>
            <w:vAlign w:val="bottom"/>
            <w:vMerge w:val="restart"/>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289,372</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7"/>
              </w:rPr>
              <w:t>1,584,017</w:t>
            </w:r>
          </w:p>
        </w:tc>
        <w:tc>
          <w:tcPr>
            <w:tcW w:w="8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0.36 %</w:t>
            </w:r>
          </w:p>
        </w:tc>
        <w:tc>
          <w:tcPr>
            <w:tcW w:w="0" w:type="dxa"/>
            <w:vAlign w:val="bottom"/>
          </w:tcPr>
          <w:p>
            <w:pPr>
              <w:spacing w:after="0"/>
              <w:rPr>
                <w:sz w:val="1"/>
                <w:szCs w:val="1"/>
                <w:color w:val="auto"/>
              </w:rPr>
            </w:pPr>
          </w:p>
        </w:tc>
      </w:tr>
      <w:tr>
        <w:trPr>
          <w:trHeight w:val="212"/>
        </w:trPr>
        <w:tc>
          <w:tcPr>
            <w:tcW w:w="294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Series Seed 6%</w:t>
            </w:r>
          </w:p>
        </w:tc>
        <w:tc>
          <w:tcPr>
            <w:tcW w:w="7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vMerge w:val="continue"/>
            <w:shd w:val="clear" w:color="auto" w:fill="CCEEFF"/>
          </w:tcPr>
          <w:p>
            <w:pPr>
              <w:spacing w:after="0"/>
              <w:rPr>
                <w:sz w:val="18"/>
                <w:szCs w:val="18"/>
                <w:color w:val="auto"/>
              </w:rPr>
            </w:pPr>
          </w:p>
        </w:tc>
        <w:tc>
          <w:tcPr>
            <w:tcW w:w="800" w:type="dxa"/>
            <w:vAlign w:val="bottom"/>
            <w:tcBorders>
              <w:bottom w:val="single" w:sz="8" w:color="auto"/>
            </w:tcBorders>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vMerge w:val="continue"/>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vMerge w:val="continue"/>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940" w:type="dxa"/>
            <w:vAlign w:val="bottom"/>
            <w:gridSpan w:val="2"/>
          </w:tcPr>
          <w:p>
            <w:pPr>
              <w:ind w:left="140"/>
              <w:spacing w:after="0"/>
              <w:rPr>
                <w:sz w:val="20"/>
                <w:szCs w:val="20"/>
                <w:color w:val="auto"/>
              </w:rPr>
            </w:pPr>
            <w:r>
              <w:rPr>
                <w:rFonts w:ascii="Arial" w:cs="Arial" w:eastAsia="Arial" w:hAnsi="Arial"/>
                <w:sz w:val="16"/>
                <w:szCs w:val="16"/>
                <w:i w:val="1"/>
                <w:iCs w:val="1"/>
                <w:color w:val="auto"/>
              </w:rPr>
              <w:t>Total Digital Media Platform</w:t>
            </w: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tcPr>
          <w:p>
            <w:pPr>
              <w:ind w:left="540"/>
              <w:spacing w:after="0"/>
              <w:rPr>
                <w:sz w:val="20"/>
                <w:szCs w:val="20"/>
                <w:color w:val="auto"/>
              </w:rPr>
            </w:pPr>
            <w:r>
              <w:rPr>
                <w:rFonts w:ascii="Arial" w:cs="Arial" w:eastAsia="Arial" w:hAnsi="Arial"/>
                <w:sz w:val="16"/>
                <w:szCs w:val="16"/>
                <w:color w:val="auto"/>
              </w:rPr>
              <w:t>—</w:t>
            </w:r>
          </w:p>
        </w:tc>
        <w:tc>
          <w:tcPr>
            <w:tcW w:w="800" w:type="dxa"/>
            <w:vAlign w:val="bottom"/>
            <w:gridSpan w:val="2"/>
          </w:tcPr>
          <w:p>
            <w:pPr>
              <w:jc w:val="right"/>
              <w:spacing w:after="0"/>
              <w:rPr>
                <w:sz w:val="20"/>
                <w:szCs w:val="20"/>
                <w:color w:val="auto"/>
              </w:rPr>
            </w:pPr>
            <w:r>
              <w:rPr>
                <w:rFonts w:ascii="Arial" w:cs="Arial" w:eastAsia="Arial" w:hAnsi="Arial"/>
                <w:sz w:val="16"/>
                <w:szCs w:val="16"/>
                <w:color w:val="auto"/>
              </w:rPr>
              <w:t>9,335,823</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60" w:type="dxa"/>
            <w:vAlign w:val="bottom"/>
            <w:gridSpan w:val="2"/>
          </w:tcPr>
          <w:p>
            <w:pPr>
              <w:ind w:left="5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1,220,476</w:t>
            </w:r>
          </w:p>
        </w:tc>
        <w:tc>
          <w:tcPr>
            <w:tcW w:w="80" w:type="dxa"/>
            <w:vAlign w:val="bottom"/>
          </w:tcPr>
          <w:p>
            <w:pPr>
              <w:spacing w:after="0"/>
              <w:rPr>
                <w:sz w:val="17"/>
                <w:szCs w:val="17"/>
                <w:color w:val="auto"/>
              </w:rPr>
            </w:pPr>
          </w:p>
        </w:tc>
        <w:tc>
          <w:tcPr>
            <w:tcW w:w="840" w:type="dxa"/>
            <w:vAlign w:val="bottom"/>
            <w:gridSpan w:val="2"/>
          </w:tcPr>
          <w:p>
            <w:pPr>
              <w:jc w:val="right"/>
              <w:spacing w:after="0"/>
              <w:rPr>
                <w:sz w:val="20"/>
                <w:szCs w:val="20"/>
                <w:color w:val="auto"/>
              </w:rPr>
            </w:pPr>
            <w:r>
              <w:rPr>
                <w:rFonts w:ascii="Arial" w:cs="Arial" w:eastAsia="Arial" w:hAnsi="Arial"/>
                <w:sz w:val="16"/>
                <w:szCs w:val="16"/>
                <w:color w:val="auto"/>
                <w:w w:val="92"/>
              </w:rPr>
              <w:t>10,556,299</w:t>
            </w: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2.42 %</w:t>
            </w:r>
          </w:p>
        </w:tc>
        <w:tc>
          <w:tcPr>
            <w:tcW w:w="0" w:type="dxa"/>
            <w:vAlign w:val="bottom"/>
          </w:tcPr>
          <w:p>
            <w:pPr>
              <w:spacing w:after="0"/>
              <w:rPr>
                <w:sz w:val="1"/>
                <w:szCs w:val="1"/>
                <w:color w:val="auto"/>
              </w:rPr>
            </w:pPr>
          </w:p>
        </w:tc>
      </w:tr>
      <w:tr>
        <w:trPr>
          <w:trHeight w:val="219"/>
        </w:trPr>
        <w:tc>
          <w:tcPr>
            <w:tcW w:w="2940" w:type="dxa"/>
            <w:vAlign w:val="bottom"/>
            <w:gridSpan w:val="2"/>
            <w:shd w:val="clear" w:color="auto" w:fill="CCEEFF"/>
          </w:tcPr>
          <w:p>
            <w:pPr>
              <w:ind w:left="140"/>
              <w:spacing w:after="0"/>
              <w:rPr>
                <w:sz w:val="20"/>
                <w:szCs w:val="20"/>
                <w:color w:val="auto"/>
              </w:rPr>
            </w:pPr>
            <w:r>
              <w:rPr>
                <w:rFonts w:ascii="Arial" w:cs="Arial" w:eastAsia="Arial" w:hAnsi="Arial"/>
                <w:sz w:val="16"/>
                <w:szCs w:val="16"/>
                <w:i w:val="1"/>
                <w:iCs w:val="1"/>
                <w:color w:val="auto"/>
              </w:rPr>
              <w:t>Interactive Learning</w:t>
            </w:r>
          </w:p>
        </w:tc>
        <w:tc>
          <w:tcPr>
            <w:tcW w:w="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2940" w:type="dxa"/>
            <w:vAlign w:val="bottom"/>
            <w:gridSpan w:val="2"/>
          </w:tcPr>
          <w:p>
            <w:pPr>
              <w:ind w:left="220"/>
              <w:spacing w:after="0" w:line="162" w:lineRule="exact"/>
              <w:rPr>
                <w:sz w:val="20"/>
                <w:szCs w:val="20"/>
                <w:color w:val="auto"/>
              </w:rPr>
            </w:pPr>
            <w:r>
              <w:rPr>
                <w:rFonts w:ascii="Arial" w:cs="Arial" w:eastAsia="Arial" w:hAnsi="Arial"/>
                <w:sz w:val="16"/>
                <w:szCs w:val="16"/>
                <w:color w:val="auto"/>
              </w:rPr>
              <w:t>StormWind, LLC–Preferred shares,</w:t>
            </w: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329,337</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vMerge w:val="restart"/>
          </w:tcPr>
          <w:p>
            <w:pPr>
              <w:ind w:left="5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440,515</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860" w:type="dxa"/>
            <w:vAlign w:val="bottom"/>
            <w:gridSpan w:val="2"/>
            <w:vMerge w:val="restart"/>
          </w:tcPr>
          <w:p>
            <w:pPr>
              <w:ind w:left="5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20,405</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460,920</w:t>
            </w:r>
          </w:p>
        </w:tc>
        <w:tc>
          <w:tcPr>
            <w:tcW w:w="8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0.11 %</w:t>
            </w:r>
          </w:p>
        </w:tc>
        <w:tc>
          <w:tcPr>
            <w:tcW w:w="0" w:type="dxa"/>
            <w:vAlign w:val="bottom"/>
          </w:tcPr>
          <w:p>
            <w:pPr>
              <w:spacing w:after="0"/>
              <w:rPr>
                <w:sz w:val="1"/>
                <w:szCs w:val="1"/>
                <w:color w:val="auto"/>
              </w:rPr>
            </w:pPr>
          </w:p>
        </w:tc>
      </w:tr>
      <w:tr>
        <w:trPr>
          <w:trHeight w:val="216"/>
        </w:trPr>
        <w:tc>
          <w:tcPr>
            <w:tcW w:w="2940" w:type="dxa"/>
            <w:vAlign w:val="bottom"/>
            <w:gridSpan w:val="2"/>
          </w:tcPr>
          <w:p>
            <w:pPr>
              <w:ind w:left="220"/>
              <w:spacing w:after="0" w:line="216" w:lineRule="exact"/>
              <w:rPr>
                <w:sz w:val="20"/>
                <w:szCs w:val="20"/>
                <w:color w:val="auto"/>
              </w:rPr>
            </w:pPr>
            <w:r>
              <w:rPr>
                <w:rFonts w:ascii="Arial" w:cs="Arial" w:eastAsia="Arial" w:hAnsi="Arial"/>
                <w:sz w:val="16"/>
                <w:szCs w:val="16"/>
                <w:color w:val="auto"/>
              </w:rPr>
              <w:t>Series D 8%</w:t>
            </w:r>
            <w:r>
              <w:rPr>
                <w:rFonts w:ascii="Arial" w:cs="Arial" w:eastAsia="Arial" w:hAnsi="Arial"/>
                <w:sz w:val="21"/>
                <w:szCs w:val="21"/>
                <w:color w:val="auto"/>
                <w:vertAlign w:val="superscript"/>
              </w:rPr>
              <w:t>(5)</w:t>
            </w:r>
          </w:p>
        </w:tc>
        <w:tc>
          <w:tcPr>
            <w:tcW w:w="7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940" w:type="dxa"/>
            <w:vAlign w:val="bottom"/>
            <w:gridSpan w:val="2"/>
            <w:shd w:val="clear" w:color="auto" w:fill="CCEEFF"/>
          </w:tcPr>
          <w:p>
            <w:pPr>
              <w:ind w:left="220"/>
              <w:spacing w:after="0" w:line="162" w:lineRule="exact"/>
              <w:rPr>
                <w:sz w:val="20"/>
                <w:szCs w:val="20"/>
                <w:color w:val="auto"/>
              </w:rPr>
            </w:pPr>
            <w:r>
              <w:rPr>
                <w:rFonts w:ascii="Arial" w:cs="Arial" w:eastAsia="Arial" w:hAnsi="Arial"/>
                <w:sz w:val="16"/>
                <w:szCs w:val="16"/>
                <w:color w:val="auto"/>
              </w:rPr>
              <w:t>StormWind, LLC–Preferred shares,</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2,779,134</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80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4,804,218</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191,254</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7"/>
              </w:rPr>
              <w:t>4,995,472</w:t>
            </w:r>
          </w:p>
        </w:tc>
        <w:tc>
          <w:tcPr>
            <w:tcW w:w="8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1.14 %</w:t>
            </w:r>
          </w:p>
        </w:tc>
        <w:tc>
          <w:tcPr>
            <w:tcW w:w="0" w:type="dxa"/>
            <w:vAlign w:val="bottom"/>
          </w:tcPr>
          <w:p>
            <w:pPr>
              <w:spacing w:after="0"/>
              <w:rPr>
                <w:sz w:val="1"/>
                <w:szCs w:val="1"/>
                <w:color w:val="auto"/>
              </w:rPr>
            </w:pPr>
          </w:p>
        </w:tc>
      </w:tr>
      <w:tr>
        <w:trPr>
          <w:trHeight w:val="216"/>
        </w:trPr>
        <w:tc>
          <w:tcPr>
            <w:tcW w:w="2940" w:type="dxa"/>
            <w:vAlign w:val="bottom"/>
            <w:gridSpan w:val="2"/>
            <w:shd w:val="clear" w:color="auto" w:fill="CCEEFF"/>
          </w:tcPr>
          <w:p>
            <w:pPr>
              <w:ind w:left="220"/>
              <w:spacing w:after="0" w:line="216" w:lineRule="exact"/>
              <w:rPr>
                <w:sz w:val="20"/>
                <w:szCs w:val="20"/>
                <w:color w:val="auto"/>
              </w:rPr>
            </w:pPr>
            <w:r>
              <w:rPr>
                <w:rFonts w:ascii="Arial" w:cs="Arial" w:eastAsia="Arial" w:hAnsi="Arial"/>
                <w:sz w:val="16"/>
                <w:szCs w:val="16"/>
                <w:color w:val="auto"/>
              </w:rPr>
              <w:t>Series C 8%</w:t>
            </w:r>
            <w:r>
              <w:rPr>
                <w:rFonts w:ascii="Arial" w:cs="Arial" w:eastAsia="Arial" w:hAnsi="Arial"/>
                <w:sz w:val="21"/>
                <w:szCs w:val="21"/>
                <w:color w:val="auto"/>
                <w:vertAlign w:val="superscript"/>
              </w:rPr>
              <w:t>(5)</w:t>
            </w:r>
          </w:p>
        </w:tc>
        <w:tc>
          <w:tcPr>
            <w:tcW w:w="7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80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940" w:type="dxa"/>
            <w:vAlign w:val="bottom"/>
            <w:gridSpan w:val="2"/>
          </w:tcPr>
          <w:p>
            <w:pPr>
              <w:ind w:left="220"/>
              <w:spacing w:after="0" w:line="162" w:lineRule="exact"/>
              <w:rPr>
                <w:sz w:val="20"/>
                <w:szCs w:val="20"/>
                <w:color w:val="auto"/>
              </w:rPr>
            </w:pPr>
            <w:r>
              <w:rPr>
                <w:rFonts w:ascii="Arial" w:cs="Arial" w:eastAsia="Arial" w:hAnsi="Arial"/>
                <w:sz w:val="16"/>
                <w:szCs w:val="16"/>
                <w:color w:val="auto"/>
              </w:rPr>
              <w:t>StormWind, LLC–Preferred shares,</w:t>
            </w: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w w:val="89"/>
              </w:rPr>
              <w:t>3,279,629</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vMerge w:val="restart"/>
          </w:tcPr>
          <w:p>
            <w:pPr>
              <w:ind w:left="540"/>
              <w:spacing w:after="0"/>
              <w:rPr>
                <w:sz w:val="20"/>
                <w:szCs w:val="20"/>
                <w:color w:val="auto"/>
              </w:rPr>
            </w:pPr>
            <w:r>
              <w:rPr>
                <w:rFonts w:ascii="Arial" w:cs="Arial" w:eastAsia="Arial" w:hAnsi="Arial"/>
                <w:sz w:val="16"/>
                <w:szCs w:val="16"/>
                <w:color w:val="auto"/>
              </w:rPr>
              <w:t>—</w:t>
            </w:r>
          </w:p>
        </w:tc>
        <w:tc>
          <w:tcPr>
            <w:tcW w:w="800" w:type="dxa"/>
            <w:vAlign w:val="bottom"/>
            <w:gridSpan w:val="2"/>
            <w:vMerge w:val="restart"/>
          </w:tcPr>
          <w:p>
            <w:pPr>
              <w:jc w:val="right"/>
              <w:spacing w:after="0"/>
              <w:rPr>
                <w:sz w:val="20"/>
                <w:szCs w:val="20"/>
                <w:color w:val="auto"/>
              </w:rPr>
            </w:pPr>
            <w:r>
              <w:rPr>
                <w:rFonts w:ascii="Arial" w:cs="Arial" w:eastAsia="Arial" w:hAnsi="Arial"/>
                <w:sz w:val="16"/>
                <w:szCs w:val="16"/>
                <w:color w:val="auto"/>
              </w:rPr>
              <w:t>2,625,365</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860" w:type="dxa"/>
            <w:vAlign w:val="bottom"/>
            <w:gridSpan w:val="2"/>
            <w:vMerge w:val="restart"/>
          </w:tcPr>
          <w:p>
            <w:pPr>
              <w:ind w:left="5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203,201</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w w:val="87"/>
              </w:rPr>
              <w:t>2,828,566</w:t>
            </w:r>
          </w:p>
        </w:tc>
        <w:tc>
          <w:tcPr>
            <w:tcW w:w="8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0.64 %</w:t>
            </w:r>
          </w:p>
        </w:tc>
        <w:tc>
          <w:tcPr>
            <w:tcW w:w="0" w:type="dxa"/>
            <w:vAlign w:val="bottom"/>
          </w:tcPr>
          <w:p>
            <w:pPr>
              <w:spacing w:after="0"/>
              <w:rPr>
                <w:sz w:val="1"/>
                <w:szCs w:val="1"/>
                <w:color w:val="auto"/>
              </w:rPr>
            </w:pPr>
          </w:p>
        </w:tc>
      </w:tr>
      <w:tr>
        <w:trPr>
          <w:trHeight w:val="216"/>
        </w:trPr>
        <w:tc>
          <w:tcPr>
            <w:tcW w:w="2940" w:type="dxa"/>
            <w:vAlign w:val="bottom"/>
            <w:gridSpan w:val="2"/>
          </w:tcPr>
          <w:p>
            <w:pPr>
              <w:ind w:left="220"/>
              <w:spacing w:after="0" w:line="216" w:lineRule="exact"/>
              <w:rPr>
                <w:sz w:val="20"/>
                <w:szCs w:val="20"/>
                <w:color w:val="auto"/>
              </w:rPr>
            </w:pPr>
            <w:r>
              <w:rPr>
                <w:rFonts w:ascii="Arial" w:cs="Arial" w:eastAsia="Arial" w:hAnsi="Arial"/>
                <w:sz w:val="16"/>
                <w:szCs w:val="16"/>
                <w:color w:val="auto"/>
              </w:rPr>
              <w:t>Series B 8%</w:t>
            </w:r>
            <w:r>
              <w:rPr>
                <w:rFonts w:ascii="Arial" w:cs="Arial" w:eastAsia="Arial" w:hAnsi="Arial"/>
                <w:sz w:val="21"/>
                <w:szCs w:val="21"/>
                <w:color w:val="auto"/>
                <w:vertAlign w:val="superscript"/>
              </w:rPr>
              <w:t>(5)</w:t>
            </w:r>
          </w:p>
        </w:tc>
        <w:tc>
          <w:tcPr>
            <w:tcW w:w="7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940" w:type="dxa"/>
            <w:vAlign w:val="bottom"/>
            <w:gridSpan w:val="2"/>
            <w:shd w:val="clear" w:color="auto" w:fill="CCEEFF"/>
          </w:tcPr>
          <w:p>
            <w:pPr>
              <w:ind w:left="220"/>
              <w:spacing w:after="0" w:line="162" w:lineRule="exact"/>
              <w:rPr>
                <w:sz w:val="20"/>
                <w:szCs w:val="20"/>
                <w:color w:val="auto"/>
              </w:rPr>
            </w:pPr>
            <w:r>
              <w:rPr>
                <w:rFonts w:ascii="Arial" w:cs="Arial" w:eastAsia="Arial" w:hAnsi="Arial"/>
                <w:sz w:val="16"/>
                <w:szCs w:val="16"/>
                <w:color w:val="auto"/>
              </w:rPr>
              <w:t>StormWind, LLC–Preferred shares,</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366,666</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80" w:type="dxa"/>
            <w:vAlign w:val="bottom"/>
            <w:vMerge w:val="restart"/>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88,248</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vMerge w:val="restart"/>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80" w:type="dxa"/>
            <w:vAlign w:val="bottom"/>
            <w:vMerge w:val="restart"/>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22,718</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110,966</w:t>
            </w:r>
          </w:p>
        </w:tc>
        <w:tc>
          <w:tcPr>
            <w:tcW w:w="8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0.03 %</w:t>
            </w:r>
          </w:p>
        </w:tc>
        <w:tc>
          <w:tcPr>
            <w:tcW w:w="0" w:type="dxa"/>
            <w:vAlign w:val="bottom"/>
          </w:tcPr>
          <w:p>
            <w:pPr>
              <w:spacing w:after="0"/>
              <w:rPr>
                <w:sz w:val="1"/>
                <w:szCs w:val="1"/>
                <w:color w:val="auto"/>
              </w:rPr>
            </w:pPr>
          </w:p>
        </w:tc>
      </w:tr>
      <w:tr>
        <w:trPr>
          <w:trHeight w:val="216"/>
        </w:trPr>
        <w:tc>
          <w:tcPr>
            <w:tcW w:w="2940" w:type="dxa"/>
            <w:vAlign w:val="bottom"/>
            <w:gridSpan w:val="2"/>
            <w:shd w:val="clear" w:color="auto" w:fill="CCEEFF"/>
          </w:tcPr>
          <w:p>
            <w:pPr>
              <w:ind w:left="220"/>
              <w:spacing w:after="0" w:line="216" w:lineRule="exact"/>
              <w:rPr>
                <w:sz w:val="20"/>
                <w:szCs w:val="20"/>
                <w:color w:val="auto"/>
              </w:rPr>
            </w:pPr>
            <w:r>
              <w:rPr>
                <w:rFonts w:ascii="Arial" w:cs="Arial" w:eastAsia="Arial" w:hAnsi="Arial"/>
                <w:sz w:val="16"/>
                <w:szCs w:val="16"/>
                <w:color w:val="auto"/>
              </w:rPr>
              <w:t>Series A 8%</w:t>
            </w:r>
            <w:r>
              <w:rPr>
                <w:rFonts w:ascii="Arial" w:cs="Arial" w:eastAsia="Arial" w:hAnsi="Arial"/>
                <w:sz w:val="21"/>
                <w:szCs w:val="21"/>
                <w:color w:val="auto"/>
                <w:vertAlign w:val="superscript"/>
              </w:rPr>
              <w:t>(5)</w:t>
            </w:r>
          </w:p>
        </w:tc>
        <w:tc>
          <w:tcPr>
            <w:tcW w:w="7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vMerge w:val="continue"/>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vMerge w:val="continue"/>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vMerge w:val="continue"/>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940" w:type="dxa"/>
            <w:vAlign w:val="bottom"/>
            <w:gridSpan w:val="2"/>
          </w:tcPr>
          <w:p>
            <w:pPr>
              <w:ind w:left="140"/>
              <w:spacing w:after="0"/>
              <w:rPr>
                <w:sz w:val="20"/>
                <w:szCs w:val="20"/>
                <w:color w:val="auto"/>
              </w:rPr>
            </w:pPr>
            <w:r>
              <w:rPr>
                <w:rFonts w:ascii="Arial" w:cs="Arial" w:eastAsia="Arial" w:hAnsi="Arial"/>
                <w:sz w:val="16"/>
                <w:szCs w:val="16"/>
                <w:i w:val="1"/>
                <w:iCs w:val="1"/>
                <w:color w:val="auto"/>
              </w:rPr>
              <w:t>Total Interactive Learning</w:t>
            </w: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tcPr>
          <w:p>
            <w:pPr>
              <w:ind w:left="540"/>
              <w:spacing w:after="0"/>
              <w:rPr>
                <w:sz w:val="20"/>
                <w:szCs w:val="20"/>
                <w:color w:val="auto"/>
              </w:rPr>
            </w:pPr>
            <w:r>
              <w:rPr>
                <w:rFonts w:ascii="Arial" w:cs="Arial" w:eastAsia="Arial" w:hAnsi="Arial"/>
                <w:sz w:val="16"/>
                <w:szCs w:val="16"/>
                <w:color w:val="auto"/>
              </w:rPr>
              <w:t>—</w:t>
            </w:r>
          </w:p>
        </w:tc>
        <w:tc>
          <w:tcPr>
            <w:tcW w:w="800" w:type="dxa"/>
            <w:vAlign w:val="bottom"/>
            <w:gridSpan w:val="2"/>
          </w:tcPr>
          <w:p>
            <w:pPr>
              <w:jc w:val="right"/>
              <w:spacing w:after="0"/>
              <w:rPr>
                <w:sz w:val="20"/>
                <w:szCs w:val="20"/>
                <w:color w:val="auto"/>
              </w:rPr>
            </w:pPr>
            <w:r>
              <w:rPr>
                <w:rFonts w:ascii="Arial" w:cs="Arial" w:eastAsia="Arial" w:hAnsi="Arial"/>
                <w:sz w:val="16"/>
                <w:szCs w:val="16"/>
                <w:color w:val="auto"/>
              </w:rPr>
              <w:t>7,958,346</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60" w:type="dxa"/>
            <w:vAlign w:val="bottom"/>
            <w:gridSpan w:val="2"/>
          </w:tcPr>
          <w:p>
            <w:pPr>
              <w:ind w:left="5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437,578</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w w:val="87"/>
              </w:rPr>
              <w:t>8,395,924</w:t>
            </w: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1.92 %</w:t>
            </w:r>
          </w:p>
        </w:tc>
        <w:tc>
          <w:tcPr>
            <w:tcW w:w="0" w:type="dxa"/>
            <w:vAlign w:val="bottom"/>
          </w:tcPr>
          <w:p>
            <w:pPr>
              <w:spacing w:after="0"/>
              <w:rPr>
                <w:sz w:val="1"/>
                <w:szCs w:val="1"/>
                <w:color w:val="auto"/>
              </w:rPr>
            </w:pPr>
          </w:p>
        </w:tc>
      </w:tr>
      <w:tr>
        <w:trPr>
          <w:trHeight w:val="219"/>
        </w:trPr>
        <w:tc>
          <w:tcPr>
            <w:tcW w:w="294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Total Preferred Stock</w:t>
            </w:r>
          </w:p>
        </w:tc>
        <w:tc>
          <w:tcPr>
            <w:tcW w:w="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w w:val="89"/>
              </w:rPr>
              <w:t>17,368,051</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1,655,965</w:t>
            </w:r>
          </w:p>
        </w:tc>
        <w:tc>
          <w:tcPr>
            <w:tcW w:w="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w w:val="92"/>
              </w:rPr>
              <w:t>19,024,016</w:t>
            </w: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4.36 %</w:t>
            </w:r>
          </w:p>
        </w:tc>
        <w:tc>
          <w:tcPr>
            <w:tcW w:w="0" w:type="dxa"/>
            <w:vAlign w:val="bottom"/>
          </w:tcPr>
          <w:p>
            <w:pPr>
              <w:spacing w:after="0"/>
              <w:rPr>
                <w:sz w:val="1"/>
                <w:szCs w:val="1"/>
                <w:color w:val="auto"/>
              </w:rPr>
            </w:pPr>
          </w:p>
        </w:tc>
      </w:tr>
      <w:tr>
        <w:trPr>
          <w:trHeight w:val="213"/>
        </w:trPr>
        <w:tc>
          <w:tcPr>
            <w:tcW w:w="2940" w:type="dxa"/>
            <w:vAlign w:val="bottom"/>
            <w:gridSpan w:val="2"/>
          </w:tcPr>
          <w:p>
            <w:pPr>
              <w:ind w:left="20"/>
              <w:spacing w:after="0"/>
              <w:rPr>
                <w:sz w:val="20"/>
                <w:szCs w:val="20"/>
                <w:color w:val="auto"/>
              </w:rPr>
            </w:pPr>
            <w:r>
              <w:rPr>
                <w:rFonts w:ascii="Arial" w:cs="Arial" w:eastAsia="Arial" w:hAnsi="Arial"/>
                <w:sz w:val="16"/>
                <w:szCs w:val="16"/>
                <w:b w:val="1"/>
                <w:bCs w:val="1"/>
                <w:color w:val="auto"/>
              </w:rPr>
              <w:t>Options</w:t>
            </w: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2940" w:type="dxa"/>
            <w:vAlign w:val="bottom"/>
            <w:gridSpan w:val="2"/>
            <w:shd w:val="clear" w:color="auto" w:fill="CCEEFF"/>
          </w:tcPr>
          <w:p>
            <w:pPr>
              <w:ind w:left="140"/>
              <w:spacing w:after="0"/>
              <w:rPr>
                <w:sz w:val="20"/>
                <w:szCs w:val="20"/>
                <w:color w:val="auto"/>
              </w:rPr>
            </w:pPr>
            <w:r>
              <w:rPr>
                <w:rFonts w:ascii="Arial" w:cs="Arial" w:eastAsia="Arial" w:hAnsi="Arial"/>
                <w:sz w:val="16"/>
                <w:szCs w:val="16"/>
                <w:i w:val="1"/>
                <w:iCs w:val="1"/>
                <w:color w:val="auto"/>
              </w:rPr>
              <w:t>Digital Media Platform</w:t>
            </w:r>
          </w:p>
        </w:tc>
        <w:tc>
          <w:tcPr>
            <w:tcW w:w="720" w:type="dxa"/>
            <w:vAlign w:val="bottom"/>
            <w:tcBorders>
              <w:bottom w:val="single" w:sz="8" w:color="CCEEFF"/>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59"/>
        </w:trPr>
        <w:tc>
          <w:tcPr>
            <w:tcW w:w="2940" w:type="dxa"/>
            <w:vAlign w:val="bottom"/>
            <w:gridSpan w:val="2"/>
          </w:tcPr>
          <w:p>
            <w:pPr>
              <w:ind w:left="220"/>
              <w:spacing w:after="0" w:line="159" w:lineRule="exact"/>
              <w:rPr>
                <w:sz w:val="20"/>
                <w:szCs w:val="20"/>
                <w:color w:val="auto"/>
              </w:rPr>
            </w:pPr>
            <w:r>
              <w:rPr>
                <w:rFonts w:ascii="Arial" w:cs="Arial" w:eastAsia="Arial" w:hAnsi="Arial"/>
                <w:sz w:val="16"/>
                <w:szCs w:val="16"/>
                <w:color w:val="auto"/>
              </w:rPr>
              <w:t>OzyMedia, Inc.–Common Warrants,</w:t>
            </w: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940" w:type="dxa"/>
            <w:vAlign w:val="bottom"/>
            <w:gridSpan w:val="2"/>
          </w:tcPr>
          <w:p>
            <w:pPr>
              <w:ind w:left="220"/>
              <w:spacing w:after="0" w:line="162" w:lineRule="exact"/>
              <w:rPr>
                <w:sz w:val="20"/>
                <w:szCs w:val="20"/>
                <w:color w:val="auto"/>
              </w:rPr>
            </w:pPr>
            <w:r>
              <w:rPr>
                <w:rFonts w:ascii="Arial" w:cs="Arial" w:eastAsia="Arial" w:hAnsi="Arial"/>
                <w:sz w:val="16"/>
                <w:szCs w:val="16"/>
                <w:color w:val="auto"/>
              </w:rPr>
              <w:t>Strike Price $0.01, Expiration Date</w:t>
            </w: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295,565</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vMerge w:val="restart"/>
          </w:tcPr>
          <w:p>
            <w:pPr>
              <w:ind w:left="5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762,558</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860" w:type="dxa"/>
            <w:vAlign w:val="bottom"/>
            <w:gridSpan w:val="2"/>
            <w:vMerge w:val="restart"/>
          </w:tcPr>
          <w:p>
            <w:pPr>
              <w:ind w:left="5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171,427</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933,985</w:t>
            </w:r>
          </w:p>
        </w:tc>
        <w:tc>
          <w:tcPr>
            <w:tcW w:w="8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0.21 %</w:t>
            </w:r>
          </w:p>
        </w:tc>
        <w:tc>
          <w:tcPr>
            <w:tcW w:w="0" w:type="dxa"/>
            <w:vAlign w:val="bottom"/>
          </w:tcPr>
          <w:p>
            <w:pPr>
              <w:spacing w:after="0"/>
              <w:rPr>
                <w:sz w:val="1"/>
                <w:szCs w:val="1"/>
                <w:color w:val="auto"/>
              </w:rPr>
            </w:pPr>
          </w:p>
        </w:tc>
      </w:tr>
      <w:tr>
        <w:trPr>
          <w:trHeight w:val="209"/>
        </w:trPr>
        <w:tc>
          <w:tcPr>
            <w:tcW w:w="2860" w:type="dxa"/>
            <w:vAlign w:val="bottom"/>
          </w:tcPr>
          <w:p>
            <w:pPr>
              <w:ind w:left="220"/>
              <w:spacing w:after="0"/>
              <w:rPr>
                <w:sz w:val="20"/>
                <w:szCs w:val="20"/>
                <w:color w:val="auto"/>
              </w:rPr>
            </w:pPr>
            <w:r>
              <w:rPr>
                <w:rFonts w:ascii="Arial" w:cs="Arial" w:eastAsia="Arial" w:hAnsi="Arial"/>
                <w:sz w:val="16"/>
                <w:szCs w:val="16"/>
                <w:color w:val="auto"/>
              </w:rPr>
              <w:t>4/9/2028</w:t>
            </w:r>
          </w:p>
        </w:tc>
        <w:tc>
          <w:tcPr>
            <w:tcW w:w="8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2940" w:type="dxa"/>
            <w:vAlign w:val="bottom"/>
            <w:gridSpan w:val="2"/>
            <w:shd w:val="clear" w:color="auto" w:fill="CCEEFF"/>
          </w:tcPr>
          <w:p>
            <w:pPr>
              <w:ind w:left="140"/>
              <w:spacing w:after="0"/>
              <w:rPr>
                <w:sz w:val="20"/>
                <w:szCs w:val="20"/>
                <w:color w:val="auto"/>
              </w:rPr>
            </w:pPr>
            <w:r>
              <w:rPr>
                <w:rFonts w:ascii="Arial" w:cs="Arial" w:eastAsia="Arial" w:hAnsi="Arial"/>
                <w:sz w:val="16"/>
                <w:szCs w:val="16"/>
                <w:i w:val="1"/>
                <w:iCs w:val="1"/>
                <w:color w:val="auto"/>
              </w:rPr>
              <w:t>Global Innovation Platform</w:t>
            </w:r>
          </w:p>
        </w:tc>
        <w:tc>
          <w:tcPr>
            <w:tcW w:w="720" w:type="dxa"/>
            <w:vAlign w:val="bottom"/>
            <w:tcBorders>
              <w:bottom w:val="single" w:sz="8" w:color="CCEEFF"/>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46"/>
        </w:trPr>
        <w:tc>
          <w:tcPr>
            <w:tcW w:w="2940" w:type="dxa"/>
            <w:vAlign w:val="bottom"/>
            <w:gridSpan w:val="2"/>
          </w:tcPr>
          <w:p>
            <w:pPr>
              <w:ind w:left="220"/>
              <w:spacing w:after="0" w:line="146" w:lineRule="exact"/>
              <w:rPr>
                <w:sz w:val="20"/>
                <w:szCs w:val="20"/>
                <w:color w:val="auto"/>
              </w:rPr>
            </w:pPr>
            <w:r>
              <w:rPr>
                <w:rFonts w:ascii="Arial" w:cs="Arial" w:eastAsia="Arial" w:hAnsi="Arial"/>
                <w:sz w:val="16"/>
                <w:szCs w:val="16"/>
                <w:color w:val="auto"/>
                <w:w w:val="98"/>
              </w:rPr>
              <w:t>NestGSV, Inc. (d/b/a OneValley, Inc.)–</w:t>
            </w: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940" w:type="dxa"/>
            <w:vAlign w:val="bottom"/>
            <w:gridSpan w:val="2"/>
          </w:tcPr>
          <w:p>
            <w:pPr>
              <w:ind w:left="220"/>
              <w:spacing w:after="0" w:line="162" w:lineRule="exact"/>
              <w:rPr>
                <w:sz w:val="20"/>
                <w:szCs w:val="20"/>
                <w:color w:val="auto"/>
              </w:rPr>
            </w:pPr>
            <w:r>
              <w:rPr>
                <w:rFonts w:ascii="Arial" w:cs="Arial" w:eastAsia="Arial" w:hAnsi="Arial"/>
                <w:sz w:val="16"/>
                <w:szCs w:val="16"/>
                <w:color w:val="auto"/>
              </w:rPr>
              <w:t>Preferred Warrant Series A-3, Strike</w:t>
            </w: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187,500</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vMerge w:val="restart"/>
          </w:tcPr>
          <w:p>
            <w:pPr>
              <w:ind w:left="5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4,687</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860" w:type="dxa"/>
            <w:vAlign w:val="bottom"/>
            <w:gridSpan w:val="2"/>
            <w:vMerge w:val="restart"/>
          </w:tcPr>
          <w:p>
            <w:pPr>
              <w:ind w:left="5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(4,687)</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209"/>
        </w:trPr>
        <w:tc>
          <w:tcPr>
            <w:tcW w:w="2940" w:type="dxa"/>
            <w:vAlign w:val="bottom"/>
            <w:gridSpan w:val="2"/>
          </w:tcPr>
          <w:p>
            <w:pPr>
              <w:ind w:left="220"/>
              <w:spacing w:after="0"/>
              <w:rPr>
                <w:sz w:val="20"/>
                <w:szCs w:val="20"/>
                <w:color w:val="auto"/>
              </w:rPr>
            </w:pPr>
            <w:r>
              <w:rPr>
                <w:rFonts w:ascii="Arial" w:cs="Arial" w:eastAsia="Arial" w:hAnsi="Arial"/>
                <w:sz w:val="16"/>
                <w:szCs w:val="16"/>
                <w:color w:val="auto"/>
              </w:rPr>
              <w:t>Price $1.33, Expiration Date 4/4/2021</w:t>
            </w:r>
          </w:p>
        </w:tc>
        <w:tc>
          <w:tcPr>
            <w:tcW w:w="7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8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2940" w:type="dxa"/>
            <w:vAlign w:val="bottom"/>
            <w:gridSpan w:val="2"/>
            <w:shd w:val="clear" w:color="auto" w:fill="CCEEFF"/>
          </w:tcPr>
          <w:p>
            <w:pPr>
              <w:ind w:left="220"/>
              <w:spacing w:after="0" w:line="169" w:lineRule="exact"/>
              <w:rPr>
                <w:sz w:val="20"/>
                <w:szCs w:val="20"/>
                <w:color w:val="auto"/>
              </w:rPr>
            </w:pPr>
            <w:r>
              <w:rPr>
                <w:rFonts w:ascii="Arial" w:cs="Arial" w:eastAsia="Arial" w:hAnsi="Arial"/>
                <w:sz w:val="16"/>
                <w:szCs w:val="16"/>
                <w:color w:val="auto"/>
                <w:w w:val="98"/>
              </w:rPr>
              <w:t>NestGSV, Inc. (d/b/a OneValley, Inc.)–</w:t>
            </w: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940" w:type="dxa"/>
            <w:vAlign w:val="bottom"/>
            <w:gridSpan w:val="2"/>
            <w:shd w:val="clear" w:color="auto" w:fill="CCEEFF"/>
          </w:tcPr>
          <w:p>
            <w:pPr>
              <w:ind w:left="220"/>
              <w:spacing w:after="0" w:line="162" w:lineRule="exact"/>
              <w:rPr>
                <w:sz w:val="20"/>
                <w:szCs w:val="20"/>
                <w:color w:val="auto"/>
              </w:rPr>
            </w:pPr>
            <w:r>
              <w:rPr>
                <w:rFonts w:ascii="Arial" w:cs="Arial" w:eastAsia="Arial" w:hAnsi="Arial"/>
                <w:sz w:val="16"/>
                <w:szCs w:val="16"/>
                <w:color w:val="auto"/>
              </w:rPr>
              <w:t>Preferred Warrant Series A-4, Strike</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500,000</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65,000</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(22,500)</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42,500</w:t>
            </w:r>
          </w:p>
        </w:tc>
        <w:tc>
          <w:tcPr>
            <w:tcW w:w="8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0.01 %</w:t>
            </w:r>
          </w:p>
        </w:tc>
        <w:tc>
          <w:tcPr>
            <w:tcW w:w="0" w:type="dxa"/>
            <w:vAlign w:val="bottom"/>
          </w:tcPr>
          <w:p>
            <w:pPr>
              <w:spacing w:after="0"/>
              <w:rPr>
                <w:sz w:val="1"/>
                <w:szCs w:val="1"/>
                <w:color w:val="auto"/>
              </w:rPr>
            </w:pPr>
          </w:p>
        </w:tc>
      </w:tr>
      <w:tr>
        <w:trPr>
          <w:trHeight w:val="217"/>
        </w:trPr>
        <w:tc>
          <w:tcPr>
            <w:tcW w:w="294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w w:val="98"/>
              </w:rPr>
              <w:t>Price $1.33, Expiration Date 10/6/2021</w:t>
            </w:r>
          </w:p>
        </w:tc>
        <w:tc>
          <w:tcPr>
            <w:tcW w:w="720" w:type="dxa"/>
            <w:vAlign w:val="bottom"/>
            <w:tcBorders>
              <w:bottom w:val="single" w:sz="8" w:color="CCEEFF"/>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6"/>
        </w:trPr>
        <w:tc>
          <w:tcPr>
            <w:tcW w:w="2940" w:type="dxa"/>
            <w:vAlign w:val="bottom"/>
            <w:gridSpan w:val="2"/>
          </w:tcPr>
          <w:p>
            <w:pPr>
              <w:ind w:left="220"/>
              <w:spacing w:after="0" w:line="146" w:lineRule="exact"/>
              <w:rPr>
                <w:sz w:val="20"/>
                <w:szCs w:val="20"/>
                <w:color w:val="auto"/>
              </w:rPr>
            </w:pPr>
            <w:r>
              <w:rPr>
                <w:rFonts w:ascii="Arial" w:cs="Arial" w:eastAsia="Arial" w:hAnsi="Arial"/>
                <w:sz w:val="16"/>
                <w:szCs w:val="16"/>
                <w:color w:val="auto"/>
                <w:w w:val="98"/>
              </w:rPr>
              <w:t>NestGSV, Inc. (d/b/a OneValley, Inc.)–</w:t>
            </w: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940" w:type="dxa"/>
            <w:vAlign w:val="bottom"/>
            <w:gridSpan w:val="2"/>
          </w:tcPr>
          <w:p>
            <w:pPr>
              <w:ind w:left="220"/>
              <w:spacing w:after="0" w:line="162" w:lineRule="exact"/>
              <w:rPr>
                <w:sz w:val="20"/>
                <w:szCs w:val="20"/>
                <w:color w:val="auto"/>
              </w:rPr>
            </w:pPr>
            <w:r>
              <w:rPr>
                <w:rFonts w:ascii="Arial" w:cs="Arial" w:eastAsia="Arial" w:hAnsi="Arial"/>
                <w:sz w:val="16"/>
                <w:szCs w:val="16"/>
                <w:color w:val="auto"/>
              </w:rPr>
              <w:t>Preferred Warrant Series A-4, Strike</w:t>
            </w: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250,000</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vMerge w:val="restart"/>
          </w:tcPr>
          <w:p>
            <w:pPr>
              <w:ind w:left="5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27,500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860" w:type="dxa"/>
            <w:vAlign w:val="bottom"/>
            <w:gridSpan w:val="2"/>
            <w:vMerge w:val="restart"/>
          </w:tcPr>
          <w:p>
            <w:pPr>
              <w:ind w:left="5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(11,250)</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16,250</w:t>
            </w:r>
          </w:p>
        </w:tc>
        <w:tc>
          <w:tcPr>
            <w:tcW w:w="8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206"/>
        </w:trPr>
        <w:tc>
          <w:tcPr>
            <w:tcW w:w="2940" w:type="dxa"/>
            <w:vAlign w:val="bottom"/>
            <w:gridSpan w:val="2"/>
          </w:tcPr>
          <w:p>
            <w:pPr>
              <w:ind w:left="220"/>
              <w:spacing w:after="0"/>
              <w:rPr>
                <w:sz w:val="20"/>
                <w:szCs w:val="20"/>
                <w:color w:val="auto"/>
              </w:rPr>
            </w:pPr>
            <w:r>
              <w:rPr>
                <w:rFonts w:ascii="Arial" w:cs="Arial" w:eastAsia="Arial" w:hAnsi="Arial"/>
                <w:sz w:val="16"/>
                <w:szCs w:val="16"/>
                <w:color w:val="auto"/>
                <w:w w:val="98"/>
              </w:rPr>
              <w:t>Price $1.33, Expiration Date 7/18/2021</w:t>
            </w:r>
          </w:p>
        </w:tc>
        <w:tc>
          <w:tcPr>
            <w:tcW w:w="7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-1521460</wp:posOffset>
            </wp:positionV>
            <wp:extent cx="1808480" cy="3600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808480" cy="360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0360"/>
          </w:cols>
          <w:pgMar w:left="320" w:top="121" w:right="1219" w:bottom="1440" w:gutter="0" w:footer="0" w:header="0"/>
        </w:sectPr>
      </w:pPr>
    </w:p>
    <w:bookmarkStart w:id="38" w:name="page39"/>
    <w:bookmarkEnd w:id="3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SURO CAPITAL CORP. AND SUBSIDIARIES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2021</w:t>
      </w: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5"/>
              </w:rPr>
              <w:t>Interest,</w:t>
            </w: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8"/>
              </w:rPr>
              <w:t>Purchases,</w:t>
            </w: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2"/>
          </w:tcPr>
          <w:p>
            <w:pPr>
              <w:jc w:val="center"/>
              <w:ind w:right="180"/>
              <w:spacing w:after="0" w:line="135" w:lineRule="exact"/>
              <w:rPr>
                <w:sz w:val="20"/>
                <w:szCs w:val="20"/>
                <w:color w:val="auto"/>
              </w:rPr>
            </w:pPr>
            <w:r>
              <w:rPr>
                <w:rFonts w:ascii="Arial" w:cs="Arial" w:eastAsia="Arial" w:hAnsi="Arial"/>
                <w:sz w:val="14"/>
                <w:szCs w:val="14"/>
                <w:b w:val="1"/>
                <w:bCs w:val="1"/>
                <w:color w:val="auto"/>
                <w:w w:val="89"/>
              </w:rPr>
              <w:t>Fees, or</w:t>
            </w:r>
          </w:p>
        </w:tc>
        <w:tc>
          <w:tcPr>
            <w:tcW w:w="100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Fair Value at</w:t>
            </w:r>
          </w:p>
        </w:tc>
        <w:tc>
          <w:tcPr>
            <w:tcW w:w="960" w:type="dxa"/>
            <w:vAlign w:val="bottom"/>
            <w:gridSpan w:val="3"/>
          </w:tcPr>
          <w:p>
            <w:pPr>
              <w:jc w:val="center"/>
              <w:ind w:right="100"/>
              <w:spacing w:after="0" w:line="135" w:lineRule="exact"/>
              <w:rPr>
                <w:sz w:val="20"/>
                <w:szCs w:val="20"/>
                <w:color w:val="auto"/>
              </w:rPr>
            </w:pPr>
            <w:r>
              <w:rPr>
                <w:rFonts w:ascii="Arial" w:cs="Arial" w:eastAsia="Arial" w:hAnsi="Arial"/>
                <w:sz w:val="14"/>
                <w:szCs w:val="14"/>
                <w:b w:val="1"/>
                <w:bCs w:val="1"/>
                <w:color w:val="auto"/>
                <w:w w:val="94"/>
              </w:rPr>
              <w:t>Capitalized</w:t>
            </w: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gridSpan w:val="3"/>
            <w:vMerge w:val="restart"/>
          </w:tcPr>
          <w:p>
            <w:pPr>
              <w:jc w:val="center"/>
              <w:ind w:right="80"/>
              <w:spacing w:after="0"/>
              <w:rPr>
                <w:sz w:val="20"/>
                <w:szCs w:val="20"/>
                <w:color w:val="auto"/>
              </w:rPr>
            </w:pPr>
            <w:r>
              <w:rPr>
                <w:rFonts w:ascii="Arial" w:cs="Arial" w:eastAsia="Arial" w:hAnsi="Arial"/>
                <w:sz w:val="14"/>
                <w:szCs w:val="14"/>
                <w:b w:val="1"/>
                <w:bCs w:val="1"/>
                <w:color w:val="auto"/>
                <w:w w:val="96"/>
              </w:rPr>
              <w:t>Fair Value at</w:t>
            </w:r>
          </w:p>
        </w:tc>
        <w:tc>
          <w:tcPr>
            <w:tcW w:w="880" w:type="dxa"/>
            <w:vAlign w:val="bottom"/>
            <w:vMerge w:val="restart"/>
          </w:tcPr>
          <w:p>
            <w:pPr>
              <w:jc w:val="right"/>
              <w:ind w:right="21"/>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135"/>
        </w:trPr>
        <w:tc>
          <w:tcPr>
            <w:tcW w:w="29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Type/Industry/Portfolio</w:t>
            </w:r>
          </w:p>
        </w:tc>
        <w:tc>
          <w:tcPr>
            <w:tcW w:w="8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Principal/</w:t>
            </w:r>
          </w:p>
        </w:tc>
        <w:tc>
          <w:tcPr>
            <w:tcW w:w="100" w:type="dxa"/>
            <w:vAlign w:val="bottom"/>
          </w:tcPr>
          <w:p>
            <w:pPr>
              <w:spacing w:after="0"/>
              <w:rPr>
                <w:sz w:val="11"/>
                <w:szCs w:val="11"/>
                <w:color w:val="auto"/>
              </w:rPr>
            </w:pPr>
          </w:p>
        </w:tc>
        <w:tc>
          <w:tcPr>
            <w:tcW w:w="820" w:type="dxa"/>
            <w:vAlign w:val="bottom"/>
            <w:gridSpan w:val="2"/>
          </w:tcPr>
          <w:p>
            <w:pPr>
              <w:jc w:val="center"/>
              <w:ind w:right="180"/>
              <w:spacing w:after="0" w:line="135" w:lineRule="exact"/>
              <w:rPr>
                <w:sz w:val="20"/>
                <w:szCs w:val="20"/>
                <w:color w:val="auto"/>
              </w:rPr>
            </w:pPr>
            <w:r>
              <w:rPr>
                <w:rFonts w:ascii="Arial" w:cs="Arial" w:eastAsia="Arial" w:hAnsi="Arial"/>
                <w:sz w:val="14"/>
                <w:szCs w:val="14"/>
                <w:b w:val="1"/>
                <w:bCs w:val="1"/>
                <w:color w:val="auto"/>
                <w:w w:val="89"/>
              </w:rPr>
              <w:t>Dividends</w:t>
            </w:r>
          </w:p>
        </w:tc>
        <w:tc>
          <w:tcPr>
            <w:tcW w:w="1000" w:type="dxa"/>
            <w:vAlign w:val="bottom"/>
            <w:gridSpan w:val="3"/>
            <w:vMerge w:val="continue"/>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2"/>
          </w:tcPr>
          <w:p>
            <w:pPr>
              <w:jc w:val="center"/>
              <w:ind w:right="180"/>
              <w:spacing w:after="0" w:line="135" w:lineRule="exact"/>
              <w:rPr>
                <w:sz w:val="20"/>
                <w:szCs w:val="20"/>
                <w:color w:val="auto"/>
              </w:rPr>
            </w:pPr>
            <w:r>
              <w:rPr>
                <w:rFonts w:ascii="Arial" w:cs="Arial" w:eastAsia="Arial" w:hAnsi="Arial"/>
                <w:sz w:val="14"/>
                <w:szCs w:val="14"/>
                <w:b w:val="1"/>
                <w:bCs w:val="1"/>
                <w:color w:val="auto"/>
                <w:w w:val="89"/>
              </w:rPr>
              <w:t>Fees,</w:t>
            </w:r>
          </w:p>
        </w:tc>
        <w:tc>
          <w:tcPr>
            <w:tcW w:w="160" w:type="dxa"/>
            <w:vAlign w:val="bottom"/>
          </w:tcPr>
          <w:p>
            <w:pPr>
              <w:spacing w:after="0"/>
              <w:rPr>
                <w:sz w:val="11"/>
                <w:szCs w:val="11"/>
                <w:color w:val="auto"/>
              </w:rPr>
            </w:pPr>
          </w:p>
        </w:tc>
        <w:tc>
          <w:tcPr>
            <w:tcW w:w="8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Realized</w:t>
            </w:r>
          </w:p>
        </w:tc>
        <w:tc>
          <w:tcPr>
            <w:tcW w:w="120" w:type="dxa"/>
            <w:vAlign w:val="bottom"/>
          </w:tcPr>
          <w:p>
            <w:pPr>
              <w:spacing w:after="0"/>
              <w:rPr>
                <w:sz w:val="11"/>
                <w:szCs w:val="11"/>
                <w:color w:val="auto"/>
              </w:rPr>
            </w:pPr>
          </w:p>
        </w:tc>
        <w:tc>
          <w:tcPr>
            <w:tcW w:w="8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Unrealized</w:t>
            </w:r>
          </w:p>
        </w:tc>
        <w:tc>
          <w:tcPr>
            <w:tcW w:w="1000" w:type="dxa"/>
            <w:vAlign w:val="bottom"/>
            <w:gridSpan w:val="3"/>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20" w:type="dxa"/>
            <w:vAlign w:val="bottom"/>
            <w:gridSpan w:val="2"/>
            <w:vMerge w:val="continue"/>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2"/>
          </w:tcPr>
          <w:p>
            <w:pPr>
              <w:jc w:val="center"/>
              <w:ind w:right="200"/>
              <w:spacing w:after="0" w:line="135" w:lineRule="exact"/>
              <w:rPr>
                <w:sz w:val="20"/>
                <w:szCs w:val="20"/>
                <w:color w:val="auto"/>
              </w:rPr>
            </w:pPr>
            <w:r>
              <w:rPr>
                <w:rFonts w:ascii="Arial" w:cs="Arial" w:eastAsia="Arial" w:hAnsi="Arial"/>
                <w:sz w:val="14"/>
                <w:szCs w:val="14"/>
                <w:b w:val="1"/>
                <w:bCs w:val="1"/>
                <w:color w:val="auto"/>
                <w:w w:val="95"/>
              </w:rPr>
              <w:t>Credited</w:t>
            </w:r>
          </w:p>
        </w:tc>
        <w:tc>
          <w:tcPr>
            <w:tcW w:w="1000" w:type="dxa"/>
            <w:vAlign w:val="bottom"/>
            <w:gridSpan w:val="3"/>
          </w:tcPr>
          <w:p>
            <w:pPr>
              <w:ind w:left="40"/>
              <w:spacing w:after="0" w:line="135" w:lineRule="exact"/>
              <w:rPr>
                <w:sz w:val="20"/>
                <w:szCs w:val="20"/>
                <w:color w:val="auto"/>
              </w:rPr>
            </w:pPr>
            <w:r>
              <w:rPr>
                <w:rFonts w:ascii="Arial" w:cs="Arial" w:eastAsia="Arial" w:hAnsi="Arial"/>
                <w:sz w:val="14"/>
                <w:szCs w:val="14"/>
                <w:b w:val="1"/>
                <w:bCs w:val="1"/>
                <w:color w:val="auto"/>
              </w:rPr>
              <w:t>December 31,</w:t>
            </w:r>
          </w:p>
        </w:tc>
        <w:tc>
          <w:tcPr>
            <w:tcW w:w="960" w:type="dxa"/>
            <w:vAlign w:val="bottom"/>
            <w:gridSpan w:val="3"/>
          </w:tcPr>
          <w:p>
            <w:pPr>
              <w:jc w:val="center"/>
              <w:ind w:right="100"/>
              <w:spacing w:after="0" w:line="135" w:lineRule="exact"/>
              <w:rPr>
                <w:sz w:val="20"/>
                <w:szCs w:val="20"/>
                <w:color w:val="auto"/>
              </w:rPr>
            </w:pPr>
            <w:r>
              <w:rPr>
                <w:rFonts w:ascii="Arial" w:cs="Arial" w:eastAsia="Arial" w:hAnsi="Arial"/>
                <w:sz w:val="14"/>
                <w:szCs w:val="14"/>
                <w:b w:val="1"/>
                <w:bCs w:val="1"/>
                <w:color w:val="auto"/>
                <w:w w:val="93"/>
              </w:rPr>
              <w:t>Interest and</w:t>
            </w:r>
          </w:p>
        </w:tc>
        <w:tc>
          <w:tcPr>
            <w:tcW w:w="160" w:type="dxa"/>
            <w:vAlign w:val="bottom"/>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2"/>
          </w:tcPr>
          <w:p>
            <w:pPr>
              <w:jc w:val="center"/>
              <w:ind w:right="200"/>
              <w:spacing w:after="0" w:line="135" w:lineRule="exact"/>
              <w:rPr>
                <w:sz w:val="20"/>
                <w:szCs w:val="20"/>
                <w:color w:val="auto"/>
              </w:rPr>
            </w:pPr>
            <w:r>
              <w:rPr>
                <w:rFonts w:ascii="Arial" w:cs="Arial" w:eastAsia="Arial" w:hAnsi="Arial"/>
                <w:sz w:val="14"/>
                <w:szCs w:val="14"/>
                <w:b w:val="1"/>
                <w:bCs w:val="1"/>
                <w:color w:val="auto"/>
                <w:w w:val="99"/>
              </w:rPr>
              <w:t>March 31,</w:t>
            </w:r>
          </w:p>
        </w:tc>
        <w:tc>
          <w:tcPr>
            <w:tcW w:w="880" w:type="dxa"/>
            <w:vAlign w:val="bottom"/>
          </w:tcPr>
          <w:p>
            <w:pPr>
              <w:jc w:val="right"/>
              <w:ind w:right="181"/>
              <w:spacing w:after="0" w:line="135" w:lineRule="exact"/>
              <w:rPr>
                <w:sz w:val="20"/>
                <w:szCs w:val="20"/>
                <w:color w:val="auto"/>
              </w:rPr>
            </w:pPr>
            <w:r>
              <w:rPr>
                <w:rFonts w:ascii="Arial" w:cs="Arial" w:eastAsia="Arial" w:hAnsi="Arial"/>
                <w:sz w:val="14"/>
                <w:szCs w:val="14"/>
                <w:b w:val="1"/>
                <w:bCs w:val="1"/>
                <w:color w:val="auto"/>
              </w:rPr>
              <w:t>of Net</w:t>
            </w:r>
          </w:p>
        </w:tc>
        <w:tc>
          <w:tcPr>
            <w:tcW w:w="0" w:type="dxa"/>
            <w:vAlign w:val="bottom"/>
          </w:tcPr>
          <w:p>
            <w:pPr>
              <w:spacing w:after="0"/>
              <w:rPr>
                <w:sz w:val="1"/>
                <w:szCs w:val="1"/>
                <w:color w:val="auto"/>
              </w:rPr>
            </w:pPr>
          </w:p>
        </w:tc>
      </w:tr>
      <w:tr>
        <w:trPr>
          <w:trHeight w:val="188"/>
        </w:trPr>
        <w:tc>
          <w:tcPr>
            <w:tcW w:w="28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Company/Investment</w:t>
            </w:r>
          </w:p>
        </w:tc>
        <w:tc>
          <w:tcPr>
            <w:tcW w:w="80" w:type="dxa"/>
            <w:vAlign w:val="bottom"/>
            <w:tcBorders>
              <w:bottom w:val="single" w:sz="8" w:color="CCEEFF"/>
            </w:tcBorders>
          </w:tcPr>
          <w:p>
            <w:pPr>
              <w:spacing w:after="0"/>
              <w:rPr>
                <w:sz w:val="16"/>
                <w:szCs w:val="16"/>
                <w:color w:val="auto"/>
              </w:rPr>
            </w:pPr>
          </w:p>
        </w:tc>
        <w:tc>
          <w:tcPr>
            <w:tcW w:w="740" w:type="dxa"/>
            <w:vAlign w:val="bottom"/>
            <w:tcBorders>
              <w:bottom w:val="single" w:sz="8" w:color="auto"/>
            </w:tcBorders>
          </w:tcPr>
          <w:p>
            <w:pPr>
              <w:jc w:val="right"/>
              <w:ind w:right="21"/>
              <w:spacing w:after="0"/>
              <w:rPr>
                <w:sz w:val="20"/>
                <w:szCs w:val="20"/>
                <w:color w:val="auto"/>
              </w:rPr>
            </w:pPr>
            <w:r>
              <w:rPr>
                <w:rFonts w:ascii="Arial" w:cs="Arial" w:eastAsia="Arial" w:hAnsi="Arial"/>
                <w:sz w:val="14"/>
                <w:szCs w:val="14"/>
                <w:b w:val="1"/>
                <w:bCs w:val="1"/>
                <w:color w:val="auto"/>
              </w:rPr>
              <w:t>Quantity</w:t>
            </w: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center"/>
              <w:ind w:right="22"/>
              <w:spacing w:after="0"/>
              <w:rPr>
                <w:sz w:val="20"/>
                <w:szCs w:val="20"/>
                <w:color w:val="auto"/>
              </w:rPr>
            </w:pPr>
            <w:r>
              <w:rPr>
                <w:rFonts w:ascii="Arial" w:cs="Arial" w:eastAsia="Arial" w:hAnsi="Arial"/>
                <w:sz w:val="14"/>
                <w:szCs w:val="14"/>
                <w:b w:val="1"/>
                <w:bCs w:val="1"/>
                <w:color w:val="auto"/>
                <w:w w:val="91"/>
              </w:rPr>
              <w:t>in Income</w:t>
            </w: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20"/>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5"/>
              </w:rPr>
              <w:t>Amortization</w:t>
            </w:r>
          </w:p>
        </w:tc>
        <w:tc>
          <w:tcPr>
            <w:tcW w:w="8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89"/>
              </w:rPr>
              <w:t>Gains/(Losses)</w:t>
            </w:r>
          </w:p>
        </w:tc>
        <w:tc>
          <w:tcPr>
            <w:tcW w:w="8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87"/>
              </w:rPr>
              <w:t>Gains/(Losses)</w:t>
            </w: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center"/>
              <w:ind w:right="41"/>
              <w:spacing w:after="0"/>
              <w:rPr>
                <w:sz w:val="20"/>
                <w:szCs w:val="20"/>
                <w:color w:val="auto"/>
              </w:rPr>
            </w:pPr>
            <w:r>
              <w:rPr>
                <w:rFonts w:ascii="Arial" w:cs="Arial" w:eastAsia="Arial" w:hAnsi="Arial"/>
                <w:sz w:val="14"/>
                <w:szCs w:val="14"/>
                <w:b w:val="1"/>
                <w:bCs w:val="1"/>
                <w:color w:val="auto"/>
                <w:w w:val="89"/>
              </w:rPr>
              <w:t>2021</w:t>
            </w:r>
          </w:p>
        </w:tc>
        <w:tc>
          <w:tcPr>
            <w:tcW w:w="8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right"/>
              <w:ind w:right="181"/>
              <w:spacing w:after="0"/>
              <w:rPr>
                <w:sz w:val="20"/>
                <w:szCs w:val="20"/>
                <w:color w:val="auto"/>
              </w:rPr>
            </w:pPr>
            <w:r>
              <w:rPr>
                <w:rFonts w:ascii="Arial" w:cs="Arial" w:eastAsia="Arial" w:hAnsi="Arial"/>
                <w:sz w:val="14"/>
                <w:szCs w:val="14"/>
                <w:b w:val="1"/>
                <w:bCs w:val="1"/>
                <w:color w:val="auto"/>
              </w:rPr>
              <w:t>Assets</w:t>
            </w:r>
          </w:p>
        </w:tc>
        <w:tc>
          <w:tcPr>
            <w:tcW w:w="0" w:type="dxa"/>
            <w:vAlign w:val="bottom"/>
          </w:tcPr>
          <w:p>
            <w:pPr>
              <w:spacing w:after="0"/>
              <w:rPr>
                <w:sz w:val="1"/>
                <w:szCs w:val="1"/>
                <w:color w:val="auto"/>
              </w:rPr>
            </w:pPr>
          </w:p>
        </w:tc>
      </w:tr>
      <w:tr>
        <w:trPr>
          <w:trHeight w:val="161"/>
        </w:trPr>
        <w:tc>
          <w:tcPr>
            <w:tcW w:w="2920" w:type="dxa"/>
            <w:vAlign w:val="bottom"/>
            <w:gridSpan w:val="2"/>
            <w:shd w:val="clear" w:color="auto" w:fill="CCEEFF"/>
          </w:tcPr>
          <w:p>
            <w:pPr>
              <w:ind w:left="220"/>
              <w:spacing w:after="0" w:line="161" w:lineRule="exact"/>
              <w:rPr>
                <w:sz w:val="20"/>
                <w:szCs w:val="20"/>
                <w:color w:val="auto"/>
              </w:rPr>
            </w:pPr>
            <w:r>
              <w:rPr>
                <w:rFonts w:ascii="Arial" w:cs="Arial" w:eastAsia="Arial" w:hAnsi="Arial"/>
                <w:sz w:val="16"/>
                <w:szCs w:val="16"/>
                <w:color w:val="auto"/>
                <w:w w:val="97"/>
              </w:rPr>
              <w:t>NestGSV, Inc. (d/b/a OneValley, Inc.)–</w:t>
            </w: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920" w:type="dxa"/>
            <w:vAlign w:val="bottom"/>
            <w:gridSpan w:val="2"/>
            <w:shd w:val="clear" w:color="auto" w:fill="CCEEFF"/>
          </w:tcPr>
          <w:p>
            <w:pPr>
              <w:ind w:left="220"/>
              <w:spacing w:after="0" w:line="162" w:lineRule="exact"/>
              <w:rPr>
                <w:sz w:val="20"/>
                <w:szCs w:val="20"/>
                <w:color w:val="auto"/>
              </w:rPr>
            </w:pPr>
            <w:r>
              <w:rPr>
                <w:rFonts w:ascii="Arial" w:cs="Arial" w:eastAsia="Arial" w:hAnsi="Arial"/>
                <w:sz w:val="16"/>
                <w:szCs w:val="16"/>
                <w:color w:val="auto"/>
                <w:w w:val="94"/>
              </w:rPr>
              <w:t>Preferred Warrant Series B, Strike Price</w:t>
            </w:r>
          </w:p>
        </w:tc>
        <w:tc>
          <w:tcPr>
            <w:tcW w:w="74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100,000</w:t>
            </w:r>
          </w:p>
        </w:tc>
        <w:tc>
          <w:tcPr>
            <w:tcW w:w="80" w:type="dxa"/>
            <w:vAlign w:val="bottom"/>
            <w:shd w:val="clear" w:color="auto" w:fill="CCEEFF"/>
          </w:tcPr>
          <w:p>
            <w:pPr>
              <w:spacing w:after="0"/>
              <w:rPr>
                <w:sz w:val="14"/>
                <w:szCs w:val="14"/>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vMerge w:val="restart"/>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9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vMerge w:val="restart"/>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60" w:type="dxa"/>
            <w:vAlign w:val="bottom"/>
            <w:gridSpan w:val="2"/>
            <w:vMerge w:val="restart"/>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120" w:type="dxa"/>
            <w:vAlign w:val="bottom"/>
            <w:vMerge w:val="restart"/>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8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212"/>
        </w:trPr>
        <w:tc>
          <w:tcPr>
            <w:tcW w:w="292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$2.31, Expiration Date 11/29/2021</w:t>
            </w:r>
          </w:p>
        </w:tc>
        <w:tc>
          <w:tcPr>
            <w:tcW w:w="7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820" w:type="dxa"/>
            <w:vAlign w:val="bottom"/>
            <w:gridSpan w:val="2"/>
            <w:vMerge w:val="continue"/>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2920" w:type="dxa"/>
            <w:vAlign w:val="bottom"/>
            <w:gridSpan w:val="2"/>
          </w:tcPr>
          <w:p>
            <w:pPr>
              <w:ind w:left="220"/>
              <w:spacing w:after="0" w:line="166" w:lineRule="exact"/>
              <w:rPr>
                <w:sz w:val="20"/>
                <w:szCs w:val="20"/>
                <w:color w:val="auto"/>
              </w:rPr>
            </w:pPr>
            <w:r>
              <w:rPr>
                <w:rFonts w:ascii="Arial" w:cs="Arial" w:eastAsia="Arial" w:hAnsi="Arial"/>
                <w:sz w:val="16"/>
                <w:szCs w:val="16"/>
                <w:color w:val="auto"/>
                <w:w w:val="97"/>
              </w:rPr>
              <w:t>NestGSV, Inc. (d/b/a OneValley, Inc.)–</w:t>
            </w: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920" w:type="dxa"/>
            <w:vAlign w:val="bottom"/>
            <w:gridSpan w:val="2"/>
          </w:tcPr>
          <w:p>
            <w:pPr>
              <w:ind w:left="220"/>
              <w:spacing w:after="0" w:line="162" w:lineRule="exact"/>
              <w:rPr>
                <w:sz w:val="20"/>
                <w:szCs w:val="20"/>
                <w:color w:val="auto"/>
              </w:rPr>
            </w:pPr>
            <w:r>
              <w:rPr>
                <w:rFonts w:ascii="Arial" w:cs="Arial" w:eastAsia="Arial" w:hAnsi="Arial"/>
                <w:sz w:val="16"/>
                <w:szCs w:val="16"/>
                <w:color w:val="auto"/>
                <w:w w:val="94"/>
              </w:rPr>
              <w:t>Preferred Warrant Series B, Strike Price</w:t>
            </w:r>
          </w:p>
        </w:tc>
        <w:tc>
          <w:tcPr>
            <w:tcW w:w="740" w:type="dxa"/>
            <w:vAlign w:val="bottom"/>
            <w:vMerge w:val="restart"/>
          </w:tcPr>
          <w:p>
            <w:pPr>
              <w:jc w:val="right"/>
              <w:ind w:right="1"/>
              <w:spacing w:after="0"/>
              <w:rPr>
                <w:sz w:val="20"/>
                <w:szCs w:val="20"/>
                <w:color w:val="auto"/>
              </w:rPr>
            </w:pPr>
            <w:r>
              <w:rPr>
                <w:rFonts w:ascii="Arial" w:cs="Arial" w:eastAsia="Arial" w:hAnsi="Arial"/>
                <w:sz w:val="16"/>
                <w:szCs w:val="16"/>
                <w:color w:val="auto"/>
              </w:rPr>
              <w:t>125,000</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90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860" w:type="dxa"/>
            <w:vAlign w:val="bottom"/>
            <w:gridSpan w:val="2"/>
            <w:vMerge w:val="restart"/>
          </w:tcPr>
          <w:p>
            <w:pPr>
              <w:ind w:left="5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88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209"/>
        </w:trPr>
        <w:tc>
          <w:tcPr>
            <w:tcW w:w="2920" w:type="dxa"/>
            <w:vAlign w:val="bottom"/>
            <w:gridSpan w:val="2"/>
          </w:tcPr>
          <w:p>
            <w:pPr>
              <w:ind w:left="220"/>
              <w:spacing w:after="0"/>
              <w:rPr>
                <w:sz w:val="20"/>
                <w:szCs w:val="20"/>
                <w:color w:val="auto"/>
              </w:rPr>
            </w:pPr>
            <w:r>
              <w:rPr>
                <w:rFonts w:ascii="Arial" w:cs="Arial" w:eastAsia="Arial" w:hAnsi="Arial"/>
                <w:sz w:val="16"/>
                <w:szCs w:val="16"/>
                <w:color w:val="auto"/>
              </w:rPr>
              <w:t>$2.31, Expiration Date 5/29/2022</w:t>
            </w:r>
          </w:p>
        </w:tc>
        <w:tc>
          <w:tcPr>
            <w:tcW w:w="7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8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2920" w:type="dxa"/>
            <w:vAlign w:val="bottom"/>
            <w:gridSpan w:val="2"/>
            <w:shd w:val="clear" w:color="auto" w:fill="CCEEFF"/>
          </w:tcPr>
          <w:p>
            <w:pPr>
              <w:ind w:left="220"/>
              <w:spacing w:after="0" w:line="169" w:lineRule="exact"/>
              <w:rPr>
                <w:sz w:val="20"/>
                <w:szCs w:val="20"/>
                <w:color w:val="auto"/>
              </w:rPr>
            </w:pPr>
            <w:r>
              <w:rPr>
                <w:rFonts w:ascii="Arial" w:cs="Arial" w:eastAsia="Arial" w:hAnsi="Arial"/>
                <w:sz w:val="16"/>
                <w:szCs w:val="16"/>
                <w:color w:val="auto"/>
                <w:w w:val="97"/>
              </w:rPr>
              <w:t>NestGSV, Inc. (d/b/a OneValley, Inc.)–</w:t>
            </w: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920" w:type="dxa"/>
            <w:vAlign w:val="bottom"/>
            <w:gridSpan w:val="2"/>
            <w:shd w:val="clear" w:color="auto" w:fill="CCEEFF"/>
          </w:tcPr>
          <w:p>
            <w:pPr>
              <w:ind w:left="220"/>
              <w:spacing w:after="0" w:line="162" w:lineRule="exact"/>
              <w:rPr>
                <w:sz w:val="20"/>
                <w:szCs w:val="20"/>
                <w:color w:val="auto"/>
              </w:rPr>
            </w:pPr>
            <w:r>
              <w:rPr>
                <w:rFonts w:ascii="Arial" w:cs="Arial" w:eastAsia="Arial" w:hAnsi="Arial"/>
                <w:sz w:val="16"/>
                <w:szCs w:val="16"/>
                <w:color w:val="auto"/>
                <w:w w:val="94"/>
              </w:rPr>
              <w:t>Preferred Warrant Series B, Strike Price</w:t>
            </w:r>
          </w:p>
        </w:tc>
        <w:tc>
          <w:tcPr>
            <w:tcW w:w="74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250,000</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9,250</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(4,250)</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5,000</w:t>
            </w:r>
          </w:p>
        </w:tc>
        <w:tc>
          <w:tcPr>
            <w:tcW w:w="8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217"/>
        </w:trPr>
        <w:tc>
          <w:tcPr>
            <w:tcW w:w="292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$2.31, Expiration Date 12/31/2023</w:t>
            </w:r>
          </w:p>
        </w:tc>
        <w:tc>
          <w:tcPr>
            <w:tcW w:w="740" w:type="dxa"/>
            <w:vAlign w:val="bottom"/>
            <w:tcBorders>
              <w:bottom w:val="single" w:sz="8" w:color="CCEEFF"/>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2920" w:type="dxa"/>
            <w:vAlign w:val="bottom"/>
            <w:gridSpan w:val="2"/>
          </w:tcPr>
          <w:p>
            <w:pPr>
              <w:ind w:left="220"/>
              <w:spacing w:after="0" w:line="142" w:lineRule="exact"/>
              <w:rPr>
                <w:sz w:val="20"/>
                <w:szCs w:val="20"/>
                <w:color w:val="auto"/>
              </w:rPr>
            </w:pPr>
            <w:r>
              <w:rPr>
                <w:rFonts w:ascii="Arial" w:cs="Arial" w:eastAsia="Arial" w:hAnsi="Arial"/>
                <w:sz w:val="16"/>
                <w:szCs w:val="16"/>
                <w:color w:val="auto"/>
              </w:rPr>
              <w:t>Derivative Security, Expiration Date</w:t>
            </w:r>
          </w:p>
        </w:tc>
        <w:tc>
          <w:tcPr>
            <w:tcW w:w="740" w:type="dxa"/>
            <w:vAlign w:val="bottom"/>
            <w:vMerge w:val="restart"/>
          </w:tcPr>
          <w:p>
            <w:pPr>
              <w:jc w:val="right"/>
              <w:ind w:right="1"/>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2,173,148</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vMerge w:val="restart"/>
          </w:tcPr>
          <w:p>
            <w:pPr>
              <w:ind w:left="540"/>
              <w:spacing w:after="0"/>
              <w:rPr>
                <w:sz w:val="20"/>
                <w:szCs w:val="20"/>
                <w:color w:val="auto"/>
              </w:rPr>
            </w:pPr>
            <w:r>
              <w:rPr>
                <w:rFonts w:ascii="Arial" w:cs="Arial" w:eastAsia="Arial" w:hAnsi="Arial"/>
                <w:sz w:val="16"/>
                <w:szCs w:val="16"/>
                <w:color w:val="auto"/>
              </w:rPr>
              <w:t>—</w:t>
            </w:r>
          </w:p>
        </w:tc>
        <w:tc>
          <w:tcPr>
            <w:tcW w:w="8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62,450</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vMerge w:val="restart"/>
          </w:tcPr>
          <w:p>
            <w:pPr>
              <w:jc w:val="right"/>
              <w:ind w:right="1"/>
              <w:spacing w:after="0"/>
              <w:rPr>
                <w:sz w:val="20"/>
                <w:szCs w:val="20"/>
                <w:color w:val="auto"/>
              </w:rPr>
            </w:pPr>
            <w:r>
              <w:rPr>
                <w:rFonts w:ascii="Arial" w:cs="Arial" w:eastAsia="Arial" w:hAnsi="Arial"/>
                <w:sz w:val="16"/>
                <w:szCs w:val="16"/>
                <w:color w:val="auto"/>
                <w:w w:val="98"/>
              </w:rPr>
              <w:t>2,235,598</w:t>
            </w:r>
          </w:p>
        </w:tc>
        <w:tc>
          <w:tcPr>
            <w:tcW w:w="80" w:type="dxa"/>
            <w:vAlign w:val="bottom"/>
          </w:tcPr>
          <w:p>
            <w:pPr>
              <w:spacing w:after="0"/>
              <w:rPr>
                <w:sz w:val="12"/>
                <w:szCs w:val="12"/>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0.51 %</w:t>
            </w:r>
          </w:p>
        </w:tc>
        <w:tc>
          <w:tcPr>
            <w:tcW w:w="0" w:type="dxa"/>
            <w:vAlign w:val="bottom"/>
          </w:tcPr>
          <w:p>
            <w:pPr>
              <w:spacing w:after="0"/>
              <w:rPr>
                <w:sz w:val="1"/>
                <w:szCs w:val="1"/>
                <w:color w:val="auto"/>
              </w:rPr>
            </w:pPr>
          </w:p>
        </w:tc>
      </w:tr>
      <w:tr>
        <w:trPr>
          <w:trHeight w:val="216"/>
        </w:trPr>
        <w:tc>
          <w:tcPr>
            <w:tcW w:w="2840" w:type="dxa"/>
            <w:vAlign w:val="bottom"/>
            <w:tcBorders>
              <w:bottom w:val="single" w:sz="8" w:color="CCEEFF"/>
            </w:tcBorders>
          </w:tcPr>
          <w:p>
            <w:pPr>
              <w:ind w:left="220"/>
              <w:spacing w:after="0" w:line="216" w:lineRule="exact"/>
              <w:rPr>
                <w:sz w:val="20"/>
                <w:szCs w:val="20"/>
                <w:color w:val="auto"/>
              </w:rPr>
            </w:pPr>
            <w:r>
              <w:rPr>
                <w:rFonts w:ascii="Arial" w:cs="Arial" w:eastAsia="Arial" w:hAnsi="Arial"/>
                <w:sz w:val="16"/>
                <w:szCs w:val="16"/>
                <w:color w:val="auto"/>
              </w:rPr>
              <w:t>8/23/2024</w:t>
            </w:r>
            <w:r>
              <w:rPr>
                <w:rFonts w:ascii="Arial" w:cs="Arial" w:eastAsia="Arial" w:hAnsi="Arial"/>
                <w:sz w:val="21"/>
                <w:szCs w:val="21"/>
                <w:color w:val="auto"/>
                <w:vertAlign w:val="superscript"/>
              </w:rPr>
              <w:t>(6)</w:t>
            </w:r>
          </w:p>
        </w:tc>
        <w:tc>
          <w:tcPr>
            <w:tcW w:w="80" w:type="dxa"/>
            <w:vAlign w:val="bottom"/>
            <w:tcBorders>
              <w:bottom w:val="single" w:sz="8" w:color="CCEEFF"/>
            </w:tcBorders>
          </w:tcPr>
          <w:p>
            <w:pPr>
              <w:spacing w:after="0"/>
              <w:rPr>
                <w:sz w:val="18"/>
                <w:szCs w:val="18"/>
                <w:color w:val="auto"/>
              </w:rPr>
            </w:pPr>
          </w:p>
        </w:tc>
        <w:tc>
          <w:tcPr>
            <w:tcW w:w="740" w:type="dxa"/>
            <w:vAlign w:val="bottom"/>
            <w:tcBorders>
              <w:bottom w:val="single" w:sz="8" w:color="CCEEFF"/>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920" w:type="dxa"/>
            <w:vAlign w:val="bottom"/>
            <w:gridSpan w:val="2"/>
            <w:shd w:val="clear" w:color="auto" w:fill="CCEEFF"/>
          </w:tcPr>
          <w:p>
            <w:pPr>
              <w:ind w:left="140"/>
              <w:spacing w:after="0"/>
              <w:rPr>
                <w:sz w:val="20"/>
                <w:szCs w:val="20"/>
                <w:color w:val="auto"/>
              </w:rPr>
            </w:pPr>
            <w:r>
              <w:rPr>
                <w:rFonts w:ascii="Arial" w:cs="Arial" w:eastAsia="Arial" w:hAnsi="Arial"/>
                <w:sz w:val="16"/>
                <w:szCs w:val="16"/>
                <w:i w:val="1"/>
                <w:iCs w:val="1"/>
                <w:color w:val="auto"/>
              </w:rPr>
              <w:t>Total Global Innovation Platform</w:t>
            </w: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2,279,585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19,763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98"/>
              </w:rPr>
              <w:t>2,299,348</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0.52 %</w:t>
            </w:r>
          </w:p>
        </w:tc>
        <w:tc>
          <w:tcPr>
            <w:tcW w:w="0" w:type="dxa"/>
            <w:vAlign w:val="bottom"/>
          </w:tcPr>
          <w:p>
            <w:pPr>
              <w:spacing w:after="0"/>
              <w:rPr>
                <w:sz w:val="1"/>
                <w:szCs w:val="1"/>
                <w:color w:val="auto"/>
              </w:rPr>
            </w:pPr>
          </w:p>
        </w:tc>
      </w:tr>
      <w:tr>
        <w:trPr>
          <w:trHeight w:val="213"/>
        </w:trPr>
        <w:tc>
          <w:tcPr>
            <w:tcW w:w="2920" w:type="dxa"/>
            <w:vAlign w:val="bottom"/>
            <w:gridSpan w:val="2"/>
          </w:tcPr>
          <w:p>
            <w:pPr>
              <w:ind w:left="20"/>
              <w:spacing w:after="0"/>
              <w:rPr>
                <w:sz w:val="20"/>
                <w:szCs w:val="20"/>
                <w:color w:val="auto"/>
              </w:rPr>
            </w:pPr>
            <w:r>
              <w:rPr>
                <w:rFonts w:ascii="Arial" w:cs="Arial" w:eastAsia="Arial" w:hAnsi="Arial"/>
                <w:sz w:val="16"/>
                <w:szCs w:val="16"/>
                <w:b w:val="1"/>
                <w:bCs w:val="1"/>
                <w:color w:val="auto"/>
              </w:rPr>
              <w:t>Total Options</w:t>
            </w: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3,042,143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60" w:type="dxa"/>
            <w:vAlign w:val="bottom"/>
            <w:gridSpan w:val="2"/>
          </w:tcPr>
          <w:p>
            <w:pPr>
              <w:ind w:left="5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191,190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ind w:right="1"/>
              <w:spacing w:after="0"/>
              <w:rPr>
                <w:sz w:val="20"/>
                <w:szCs w:val="20"/>
                <w:color w:val="auto"/>
              </w:rPr>
            </w:pPr>
            <w:r>
              <w:rPr>
                <w:rFonts w:ascii="Arial" w:cs="Arial" w:eastAsia="Arial" w:hAnsi="Arial"/>
                <w:sz w:val="16"/>
                <w:szCs w:val="16"/>
                <w:color w:val="auto"/>
                <w:w w:val="98"/>
              </w:rPr>
              <w:t>3,233,333</w:t>
            </w: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0.73 %</w:t>
            </w:r>
          </w:p>
        </w:tc>
        <w:tc>
          <w:tcPr>
            <w:tcW w:w="0" w:type="dxa"/>
            <w:vAlign w:val="bottom"/>
          </w:tcPr>
          <w:p>
            <w:pPr>
              <w:spacing w:after="0"/>
              <w:rPr>
                <w:sz w:val="1"/>
                <w:szCs w:val="1"/>
                <w:color w:val="auto"/>
              </w:rPr>
            </w:pPr>
          </w:p>
        </w:tc>
      </w:tr>
      <w:tr>
        <w:trPr>
          <w:trHeight w:val="232"/>
        </w:trPr>
        <w:tc>
          <w:tcPr>
            <w:tcW w:w="292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Common Stock</w:t>
            </w:r>
          </w:p>
        </w:tc>
        <w:tc>
          <w:tcPr>
            <w:tcW w:w="740" w:type="dxa"/>
            <w:vAlign w:val="bottom"/>
            <w:tcBorders>
              <w:bottom w:val="single" w:sz="8" w:color="CCEEFF"/>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3"/>
        </w:trPr>
        <w:tc>
          <w:tcPr>
            <w:tcW w:w="2920" w:type="dxa"/>
            <w:vAlign w:val="bottom"/>
            <w:gridSpan w:val="2"/>
          </w:tcPr>
          <w:p>
            <w:pPr>
              <w:ind w:left="140"/>
              <w:spacing w:after="0"/>
              <w:rPr>
                <w:sz w:val="20"/>
                <w:szCs w:val="20"/>
                <w:color w:val="auto"/>
              </w:rPr>
            </w:pPr>
            <w:r>
              <w:rPr>
                <w:rFonts w:ascii="Arial" w:cs="Arial" w:eastAsia="Arial" w:hAnsi="Arial"/>
                <w:sz w:val="16"/>
                <w:szCs w:val="16"/>
                <w:i w:val="1"/>
                <w:iCs w:val="1"/>
                <w:color w:val="auto"/>
              </w:rPr>
              <w:t>Online Education</w:t>
            </w: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292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Curious.com, Inc.–Common shares</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2"/>
              </w:rPr>
              <w:t>1,135,944</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193"/>
        </w:trPr>
        <w:tc>
          <w:tcPr>
            <w:tcW w:w="2920" w:type="dxa"/>
            <w:vAlign w:val="bottom"/>
            <w:gridSpan w:val="2"/>
          </w:tcPr>
          <w:p>
            <w:pPr>
              <w:ind w:left="140"/>
              <w:spacing w:after="0"/>
              <w:rPr>
                <w:sz w:val="20"/>
                <w:szCs w:val="20"/>
                <w:color w:val="auto"/>
              </w:rPr>
            </w:pPr>
            <w:r>
              <w:rPr>
                <w:rFonts w:ascii="Arial" w:cs="Arial" w:eastAsia="Arial" w:hAnsi="Arial"/>
                <w:sz w:val="16"/>
                <w:szCs w:val="16"/>
                <w:i w:val="1"/>
                <w:iCs w:val="1"/>
                <w:color w:val="auto"/>
              </w:rPr>
              <w:t>Cannabis REIT</w:t>
            </w: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2920" w:type="dxa"/>
            <w:vAlign w:val="bottom"/>
            <w:gridSpan w:val="2"/>
            <w:shd w:val="clear" w:color="auto" w:fill="CCEEFF"/>
          </w:tcPr>
          <w:p>
            <w:pPr>
              <w:ind w:left="220"/>
              <w:spacing w:after="0" w:line="169" w:lineRule="exact"/>
              <w:rPr>
                <w:sz w:val="20"/>
                <w:szCs w:val="20"/>
                <w:color w:val="auto"/>
              </w:rPr>
            </w:pPr>
            <w:r>
              <w:rPr>
                <w:rFonts w:ascii="Arial" w:cs="Arial" w:eastAsia="Arial" w:hAnsi="Arial"/>
                <w:sz w:val="16"/>
                <w:szCs w:val="16"/>
                <w:color w:val="auto"/>
              </w:rPr>
              <w:t>NewLake Capital Partners, Inc. (f/k/a</w:t>
            </w: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2920" w:type="dxa"/>
            <w:vAlign w:val="bottom"/>
            <w:gridSpan w:val="2"/>
            <w:shd w:val="clear" w:color="auto" w:fill="CCEEFF"/>
          </w:tcPr>
          <w:p>
            <w:pPr>
              <w:ind w:left="220"/>
              <w:spacing w:after="0" w:line="158" w:lineRule="exact"/>
              <w:rPr>
                <w:sz w:val="20"/>
                <w:szCs w:val="20"/>
                <w:color w:val="auto"/>
              </w:rPr>
            </w:pPr>
            <w:r>
              <w:rPr>
                <w:rFonts w:ascii="Arial" w:cs="Arial" w:eastAsia="Arial" w:hAnsi="Arial"/>
                <w:sz w:val="16"/>
                <w:szCs w:val="16"/>
                <w:color w:val="auto"/>
              </w:rPr>
              <w:t>GreenAcreage Real Estate Corp.)–</w:t>
            </w:r>
          </w:p>
        </w:tc>
        <w:tc>
          <w:tcPr>
            <w:tcW w:w="74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446,226</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102,632</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8,937,690</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500,319</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60" w:type="dxa"/>
            <w:vAlign w:val="bottom"/>
            <w:gridSpan w:val="2"/>
            <w:vMerge w:val="restart"/>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(2,685)</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w w:val="98"/>
              </w:rPr>
              <w:t>9,435,324</w:t>
            </w:r>
          </w:p>
        </w:tc>
        <w:tc>
          <w:tcPr>
            <w:tcW w:w="80" w:type="dxa"/>
            <w:vAlign w:val="bottom"/>
            <w:shd w:val="clear" w:color="auto" w:fill="CCEEFF"/>
          </w:tcPr>
          <w:p>
            <w:pPr>
              <w:spacing w:after="0"/>
              <w:rPr>
                <w:sz w:val="13"/>
                <w:szCs w:val="13"/>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2.16 %</w:t>
            </w:r>
          </w:p>
        </w:tc>
        <w:tc>
          <w:tcPr>
            <w:tcW w:w="0" w:type="dxa"/>
            <w:vAlign w:val="bottom"/>
          </w:tcPr>
          <w:p>
            <w:pPr>
              <w:spacing w:after="0"/>
              <w:rPr>
                <w:sz w:val="1"/>
                <w:szCs w:val="1"/>
                <w:color w:val="auto"/>
              </w:rPr>
            </w:pPr>
          </w:p>
        </w:tc>
      </w:tr>
      <w:tr>
        <w:trPr>
          <w:trHeight w:val="221"/>
        </w:trPr>
        <w:tc>
          <w:tcPr>
            <w:tcW w:w="2920" w:type="dxa"/>
            <w:vAlign w:val="bottom"/>
            <w:gridSpan w:val="2"/>
            <w:shd w:val="clear" w:color="auto" w:fill="CCEEFF"/>
          </w:tcPr>
          <w:p>
            <w:pPr>
              <w:ind w:left="220"/>
              <w:spacing w:after="0" w:line="216" w:lineRule="exact"/>
              <w:rPr>
                <w:sz w:val="20"/>
                <w:szCs w:val="20"/>
                <w:color w:val="auto"/>
              </w:rPr>
            </w:pPr>
            <w:r>
              <w:rPr>
                <w:rFonts w:ascii="Arial" w:cs="Arial" w:eastAsia="Arial" w:hAnsi="Arial"/>
                <w:sz w:val="16"/>
                <w:szCs w:val="16"/>
                <w:color w:val="auto"/>
              </w:rPr>
              <w:t>Common shares***</w:t>
            </w:r>
            <w:r>
              <w:rPr>
                <w:rFonts w:ascii="Arial" w:cs="Arial" w:eastAsia="Arial" w:hAnsi="Arial"/>
                <w:sz w:val="21"/>
                <w:szCs w:val="21"/>
                <w:color w:val="auto"/>
                <w:vertAlign w:val="superscript"/>
              </w:rPr>
              <w:t>(8)</w:t>
            </w:r>
          </w:p>
        </w:tc>
        <w:tc>
          <w:tcPr>
            <w:tcW w:w="740" w:type="dxa"/>
            <w:vAlign w:val="bottom"/>
            <w:tcBorders>
              <w:bottom w:val="single" w:sz="8" w:color="CCEEFF"/>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920" w:type="dxa"/>
            <w:vAlign w:val="bottom"/>
            <w:gridSpan w:val="2"/>
          </w:tcPr>
          <w:p>
            <w:pPr>
              <w:ind w:left="20"/>
              <w:spacing w:after="0"/>
              <w:rPr>
                <w:sz w:val="20"/>
                <w:szCs w:val="20"/>
                <w:color w:val="auto"/>
              </w:rPr>
            </w:pPr>
            <w:r>
              <w:rPr>
                <w:rFonts w:ascii="Arial" w:cs="Arial" w:eastAsia="Arial" w:hAnsi="Arial"/>
                <w:sz w:val="16"/>
                <w:szCs w:val="16"/>
                <w:b w:val="1"/>
                <w:bCs w:val="1"/>
                <w:color w:val="auto"/>
              </w:rPr>
              <w:t>Total Common Stock</w:t>
            </w: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102,632</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8,937,690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500,319</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gridSpan w:val="2"/>
          </w:tcPr>
          <w:p>
            <w:pPr>
              <w:ind w:left="5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(2,685)</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ind w:right="1"/>
              <w:spacing w:after="0"/>
              <w:rPr>
                <w:sz w:val="20"/>
                <w:szCs w:val="20"/>
                <w:color w:val="auto"/>
              </w:rPr>
            </w:pPr>
            <w:r>
              <w:rPr>
                <w:rFonts w:ascii="Arial" w:cs="Arial" w:eastAsia="Arial" w:hAnsi="Arial"/>
                <w:sz w:val="16"/>
                <w:szCs w:val="16"/>
                <w:color w:val="auto"/>
                <w:w w:val="98"/>
              </w:rPr>
              <w:t>9,435,324</w:t>
            </w:r>
          </w:p>
        </w:tc>
        <w:tc>
          <w:tcPr>
            <w:tcW w:w="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2.16 %</w:t>
            </w:r>
          </w:p>
        </w:tc>
        <w:tc>
          <w:tcPr>
            <w:tcW w:w="0" w:type="dxa"/>
            <w:vAlign w:val="bottom"/>
          </w:tcPr>
          <w:p>
            <w:pPr>
              <w:spacing w:after="0"/>
              <w:rPr>
                <w:sz w:val="1"/>
                <w:szCs w:val="1"/>
                <w:color w:val="auto"/>
              </w:rPr>
            </w:pPr>
          </w:p>
        </w:tc>
      </w:tr>
      <w:tr>
        <w:trPr>
          <w:trHeight w:val="158"/>
        </w:trPr>
        <w:tc>
          <w:tcPr>
            <w:tcW w:w="2840" w:type="dxa"/>
            <w:vAlign w:val="bottom"/>
            <w:tcBorders>
              <w:top w:val="single" w:sz="8" w:color="CCEEFF"/>
            </w:tcBorders>
            <w:shd w:val="clear" w:color="auto" w:fill="CCEEFF"/>
          </w:tcPr>
          <w:p>
            <w:pPr>
              <w:ind w:left="20"/>
              <w:spacing w:after="0" w:line="158" w:lineRule="exact"/>
              <w:rPr>
                <w:sz w:val="20"/>
                <w:szCs w:val="20"/>
                <w:color w:val="auto"/>
              </w:rPr>
            </w:pPr>
            <w:r>
              <w:rPr>
                <w:rFonts w:ascii="Arial" w:cs="Arial" w:eastAsia="Arial" w:hAnsi="Arial"/>
                <w:sz w:val="16"/>
                <w:szCs w:val="16"/>
                <w:b w:val="1"/>
                <w:bCs w:val="1"/>
                <w:color w:val="auto"/>
              </w:rPr>
              <w:t>TOTAL NON-</w:t>
            </w:r>
          </w:p>
        </w:tc>
        <w:tc>
          <w:tcPr>
            <w:tcW w:w="80" w:type="dxa"/>
            <w:vAlign w:val="bottom"/>
            <w:tcBorders>
              <w:top w:val="single" w:sz="8" w:color="CCEEFF"/>
            </w:tcBorders>
            <w:shd w:val="clear" w:color="auto" w:fill="CCEEFF"/>
          </w:tcPr>
          <w:p>
            <w:pPr>
              <w:spacing w:after="0"/>
              <w:rPr>
                <w:sz w:val="13"/>
                <w:szCs w:val="13"/>
                <w:color w:val="auto"/>
              </w:rPr>
            </w:pPr>
          </w:p>
        </w:tc>
        <w:tc>
          <w:tcPr>
            <w:tcW w:w="7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840" w:type="dxa"/>
            <w:vAlign w:val="bottom"/>
            <w:shd w:val="clear" w:color="auto" w:fill="CCEEFF"/>
          </w:tcPr>
          <w:p>
            <w:pPr>
              <w:ind w:left="20"/>
              <w:spacing w:after="0" w:line="162" w:lineRule="exact"/>
              <w:rPr>
                <w:sz w:val="20"/>
                <w:szCs w:val="20"/>
                <w:color w:val="auto"/>
              </w:rPr>
            </w:pPr>
            <w:r>
              <w:rPr>
                <w:rFonts w:ascii="Arial" w:cs="Arial" w:eastAsia="Arial" w:hAnsi="Arial"/>
                <w:sz w:val="16"/>
                <w:szCs w:val="16"/>
                <w:b w:val="1"/>
                <w:bCs w:val="1"/>
                <w:color w:val="auto"/>
              </w:rPr>
              <w:t>CONTROLLED/AFFILIATE</w:t>
            </w: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102,632</w:t>
            </w:r>
          </w:p>
        </w:tc>
        <w:tc>
          <w:tcPr>
            <w:tcW w:w="80" w:type="dxa"/>
            <w:vAlign w:val="bottom"/>
            <w:shd w:val="clear" w:color="auto" w:fill="CCEEFF"/>
          </w:tcPr>
          <w:p>
            <w:pPr>
              <w:spacing w:after="0"/>
              <w:rPr>
                <w:sz w:val="14"/>
                <w:szCs w:val="14"/>
                <w:color w:val="auto"/>
              </w:rPr>
            </w:pPr>
          </w:p>
        </w:tc>
        <w:tc>
          <w:tcPr>
            <w:tcW w:w="100" w:type="dxa"/>
            <w:vAlign w:val="bottom"/>
            <w:vMerge w:val="restart"/>
            <w:shd w:val="clear" w:color="auto" w:fill="CCEEFF"/>
          </w:tcPr>
          <w:p>
            <w:pPr>
              <w:ind w:left="20"/>
              <w:spacing w:after="0"/>
              <w:rPr>
                <w:sz w:val="20"/>
                <w:szCs w:val="20"/>
                <w:color w:val="auto"/>
              </w:rPr>
            </w:pPr>
            <w:r>
              <w:rPr>
                <w:rFonts w:ascii="Arial" w:cs="Arial" w:eastAsia="Arial" w:hAnsi="Arial"/>
                <w:sz w:val="15"/>
                <w:szCs w:val="15"/>
                <w:b w:val="1"/>
                <w:bCs w:val="1"/>
                <w:u w:val="single" w:color="auto"/>
                <w:color w:val="auto"/>
                <w:w w:val="71"/>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30,165,773</w:t>
            </w:r>
          </w:p>
        </w:tc>
        <w:tc>
          <w:tcPr>
            <w:tcW w:w="100" w:type="dxa"/>
            <w:vAlign w:val="bottom"/>
            <w:shd w:val="clear" w:color="auto" w:fill="CCEEFF"/>
          </w:tcPr>
          <w:p>
            <w:pPr>
              <w:spacing w:after="0"/>
              <w:rPr>
                <w:sz w:val="14"/>
                <w:szCs w:val="14"/>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500,319</w:t>
            </w:r>
          </w:p>
        </w:tc>
        <w:tc>
          <w:tcPr>
            <w:tcW w:w="80" w:type="dxa"/>
            <w:vAlign w:val="bottom"/>
            <w:shd w:val="clear" w:color="auto" w:fill="CCEEFF"/>
          </w:tcPr>
          <w:p>
            <w:pPr>
              <w:spacing w:after="0"/>
              <w:rPr>
                <w:sz w:val="14"/>
                <w:szCs w:val="14"/>
                <w:color w:val="auto"/>
              </w:rPr>
            </w:pPr>
          </w:p>
        </w:tc>
        <w:tc>
          <w:tcPr>
            <w:tcW w:w="160" w:type="dxa"/>
            <w:vAlign w:val="bottom"/>
            <w:vMerge w:val="restart"/>
            <w:shd w:val="clear" w:color="auto" w:fill="CCEEFF"/>
          </w:tcPr>
          <w:p>
            <w:pPr>
              <w:ind w:left="20"/>
              <w:spacing w:after="0"/>
              <w:rPr>
                <w:sz w:val="20"/>
                <w:szCs w:val="20"/>
                <w:color w:val="auto"/>
              </w:rPr>
            </w:pPr>
            <w:r>
              <w:rPr>
                <w:rFonts w:ascii="Arial" w:cs="Arial" w:eastAsia="Arial" w:hAnsi="Arial"/>
                <w:sz w:val="16"/>
                <w:szCs w:val="16"/>
                <w:b w:val="1"/>
                <w:bCs w:val="1"/>
                <w:color w:val="auto"/>
              </w:rPr>
              <w:t>$</w:t>
            </w:r>
          </w:p>
        </w:tc>
        <w:tc>
          <w:tcPr>
            <w:tcW w:w="780" w:type="dxa"/>
            <w:vAlign w:val="bottom"/>
            <w:vMerge w:val="restart"/>
            <w:shd w:val="clear" w:color="auto" w:fill="CCEEFF"/>
          </w:tcPr>
          <w:p>
            <w:pPr>
              <w:ind w:left="540"/>
              <w:spacing w:after="0"/>
              <w:rPr>
                <w:sz w:val="20"/>
                <w:szCs w:val="20"/>
                <w:color w:val="auto"/>
              </w:rPr>
            </w:pPr>
            <w:r>
              <w:rPr>
                <w:rFonts w:ascii="Arial" w:cs="Arial" w:eastAsia="Arial" w:hAnsi="Arial"/>
                <w:sz w:val="16"/>
                <w:szCs w:val="16"/>
                <w:b w:val="1"/>
                <w:bCs w:val="1"/>
                <w:color w:val="auto"/>
              </w:rPr>
              <w:t>—</w:t>
            </w:r>
          </w:p>
        </w:tc>
        <w:tc>
          <w:tcPr>
            <w:tcW w:w="80" w:type="dxa"/>
            <w:vAlign w:val="bottom"/>
            <w:vMerge w:val="restart"/>
            <w:shd w:val="clear" w:color="auto" w:fill="CCEEFF"/>
          </w:tcPr>
          <w:p>
            <w:pPr>
              <w:spacing w:after="0"/>
              <w:rPr>
                <w:sz w:val="14"/>
                <w:szCs w:val="14"/>
                <w:color w:val="auto"/>
              </w:rPr>
            </w:pPr>
          </w:p>
        </w:tc>
        <w:tc>
          <w:tcPr>
            <w:tcW w:w="120" w:type="dxa"/>
            <w:vAlign w:val="bottom"/>
            <w:vMerge w:val="restart"/>
            <w:shd w:val="clear" w:color="auto" w:fill="CCEEFF"/>
          </w:tcPr>
          <w:p>
            <w:pPr>
              <w:ind w:left="20"/>
              <w:spacing w:after="0"/>
              <w:rPr>
                <w:sz w:val="20"/>
                <w:szCs w:val="20"/>
                <w:color w:val="auto"/>
              </w:rPr>
            </w:pPr>
            <w:r>
              <w:rPr>
                <w:rFonts w:ascii="Arial" w:cs="Arial" w:eastAsia="Arial" w:hAnsi="Arial"/>
                <w:sz w:val="16"/>
                <w:szCs w:val="16"/>
                <w:b w:val="1"/>
                <w:bCs w:val="1"/>
                <w:color w:val="auto"/>
                <w:w w:val="89"/>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1,844,470</w:t>
            </w:r>
          </w:p>
        </w:tc>
        <w:tc>
          <w:tcPr>
            <w:tcW w:w="80" w:type="dxa"/>
            <w:vAlign w:val="bottom"/>
            <w:shd w:val="clear" w:color="auto" w:fill="CCEEFF"/>
          </w:tcPr>
          <w:p>
            <w:pPr>
              <w:spacing w:after="0"/>
              <w:rPr>
                <w:sz w:val="14"/>
                <w:szCs w:val="14"/>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u w:val="single" w:color="auto"/>
                <w:color w:val="auto"/>
                <w:w w:val="89"/>
              </w:rPr>
              <w:t>$</w:t>
            </w:r>
          </w:p>
        </w:tc>
        <w:tc>
          <w:tcPr>
            <w:tcW w:w="80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b w:val="1"/>
                <w:bCs w:val="1"/>
                <w:color w:val="auto"/>
                <w:w w:val="87"/>
              </w:rPr>
              <w:t>32,510,562</w:t>
            </w:r>
          </w:p>
        </w:tc>
        <w:tc>
          <w:tcPr>
            <w:tcW w:w="8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7.46 %</w:t>
            </w:r>
          </w:p>
        </w:tc>
        <w:tc>
          <w:tcPr>
            <w:tcW w:w="0" w:type="dxa"/>
            <w:vAlign w:val="bottom"/>
          </w:tcPr>
          <w:p>
            <w:pPr>
              <w:spacing w:after="0"/>
              <w:rPr>
                <w:sz w:val="1"/>
                <w:szCs w:val="1"/>
                <w:color w:val="auto"/>
              </w:rPr>
            </w:pPr>
          </w:p>
        </w:tc>
      </w:tr>
      <w:tr>
        <w:trPr>
          <w:trHeight w:val="249"/>
        </w:trPr>
        <w:tc>
          <w:tcPr>
            <w:tcW w:w="2840" w:type="dxa"/>
            <w:vAlign w:val="bottom"/>
            <w:tcBorders>
              <w:bottom w:val="single" w:sz="8" w:color="CCEEFF"/>
            </w:tcBorders>
            <w:shd w:val="clear" w:color="auto" w:fill="CCEEFF"/>
          </w:tcPr>
          <w:p>
            <w:pPr>
              <w:ind w:left="20"/>
              <w:spacing w:after="0" w:line="189" w:lineRule="exact"/>
              <w:rPr>
                <w:sz w:val="20"/>
                <w:szCs w:val="20"/>
                <w:color w:val="auto"/>
              </w:rPr>
            </w:pPr>
            <w:r>
              <w:rPr>
                <w:rFonts w:ascii="Arial" w:cs="Arial" w:eastAsia="Arial" w:hAnsi="Arial"/>
                <w:sz w:val="16"/>
                <w:szCs w:val="16"/>
                <w:b w:val="1"/>
                <w:bCs w:val="1"/>
                <w:color w:val="auto"/>
              </w:rPr>
              <w:t>INVESTMENTS*</w:t>
            </w:r>
            <w:r>
              <w:rPr>
                <w:rFonts w:ascii="Arial" w:cs="Arial" w:eastAsia="Arial" w:hAnsi="Arial"/>
                <w:sz w:val="21"/>
                <w:szCs w:val="21"/>
                <w:b w:val="1"/>
                <w:bCs w:val="1"/>
                <w:color w:val="auto"/>
                <w:vertAlign w:val="superscript"/>
              </w:rPr>
              <w:t>(1)</w:t>
            </w:r>
          </w:p>
        </w:tc>
        <w:tc>
          <w:tcPr>
            <w:tcW w:w="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vMerge w:val="continue"/>
            <w:shd w:val="clear" w:color="auto" w:fill="CCEEFF"/>
          </w:tcPr>
          <w:p>
            <w:pPr>
              <w:spacing w:after="0"/>
              <w:rPr>
                <w:sz w:val="21"/>
                <w:szCs w:val="21"/>
                <w:color w:val="auto"/>
              </w:rPr>
            </w:pPr>
          </w:p>
        </w:tc>
        <w:tc>
          <w:tcPr>
            <w:tcW w:w="740" w:type="dxa"/>
            <w:vAlign w:val="bottom"/>
            <w:tcBorders>
              <w:bottom w:val="single" w:sz="8" w:color="auto"/>
            </w:tcBorders>
            <w:vMerge w:val="continue"/>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vMerge w:val="continue"/>
            <w:shd w:val="clear" w:color="auto" w:fill="CCEEFF"/>
          </w:tcPr>
          <w:p>
            <w:pPr>
              <w:spacing w:after="0"/>
              <w:rPr>
                <w:sz w:val="21"/>
                <w:szCs w:val="21"/>
                <w:color w:val="auto"/>
              </w:rPr>
            </w:pPr>
          </w:p>
        </w:tc>
        <w:tc>
          <w:tcPr>
            <w:tcW w:w="80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vMerge w:val="continue"/>
            <w:shd w:val="clear" w:color="auto" w:fill="CCEEFF"/>
          </w:tcPr>
          <w:p>
            <w:pPr>
              <w:spacing w:after="0"/>
              <w:rPr>
                <w:sz w:val="21"/>
                <w:szCs w:val="21"/>
                <w:color w:val="auto"/>
              </w:rPr>
            </w:pPr>
          </w:p>
        </w:tc>
        <w:tc>
          <w:tcPr>
            <w:tcW w:w="780" w:type="dxa"/>
            <w:vAlign w:val="bottom"/>
            <w:tcBorders>
              <w:bottom w:val="single" w:sz="8" w:color="auto"/>
            </w:tcBorders>
            <w:vMerge w:val="continue"/>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vMerge w:val="continue"/>
            <w:shd w:val="clear" w:color="auto" w:fill="CCEEFF"/>
          </w:tcPr>
          <w:p>
            <w:pPr>
              <w:spacing w:after="0"/>
              <w:rPr>
                <w:sz w:val="21"/>
                <w:szCs w:val="21"/>
                <w:color w:val="auto"/>
              </w:rPr>
            </w:pPr>
          </w:p>
        </w:tc>
        <w:tc>
          <w:tcPr>
            <w:tcW w:w="780" w:type="dxa"/>
            <w:vAlign w:val="bottom"/>
            <w:tcBorders>
              <w:bottom w:val="single" w:sz="8" w:color="auto"/>
            </w:tcBorders>
            <w:vMerge w:val="continue"/>
            <w:shd w:val="clear" w:color="auto" w:fill="CCEEFF"/>
          </w:tcPr>
          <w:p>
            <w:pPr>
              <w:spacing w:after="0"/>
              <w:rPr>
                <w:sz w:val="21"/>
                <w:szCs w:val="21"/>
                <w:color w:val="auto"/>
              </w:rPr>
            </w:pPr>
          </w:p>
        </w:tc>
        <w:tc>
          <w:tcPr>
            <w:tcW w:w="80" w:type="dxa"/>
            <w:vAlign w:val="bottom"/>
            <w:tcBorders>
              <w:bottom w:val="single" w:sz="8" w:color="CCEEFF"/>
            </w:tcBorders>
            <w:vMerge w:val="continue"/>
            <w:shd w:val="clear" w:color="auto" w:fill="CCEEFF"/>
          </w:tcPr>
          <w:p>
            <w:pPr>
              <w:spacing w:after="0"/>
              <w:rPr>
                <w:sz w:val="21"/>
                <w:szCs w:val="21"/>
                <w:color w:val="auto"/>
              </w:rPr>
            </w:pPr>
          </w:p>
        </w:tc>
        <w:tc>
          <w:tcPr>
            <w:tcW w:w="120" w:type="dxa"/>
            <w:vAlign w:val="bottom"/>
            <w:tcBorders>
              <w:bottom w:val="single" w:sz="8" w:color="auto"/>
            </w:tcBorders>
            <w:vMerge w:val="continue"/>
            <w:shd w:val="clear" w:color="auto" w:fill="CCEEFF"/>
          </w:tcPr>
          <w:p>
            <w:pPr>
              <w:spacing w:after="0"/>
              <w:rPr>
                <w:sz w:val="21"/>
                <w:szCs w:val="21"/>
                <w:color w:val="auto"/>
              </w:rPr>
            </w:pPr>
          </w:p>
        </w:tc>
        <w:tc>
          <w:tcPr>
            <w:tcW w:w="800" w:type="dxa"/>
            <w:vAlign w:val="bottom"/>
            <w:tcBorders>
              <w:bottom w:val="single" w:sz="8" w:color="auto"/>
            </w:tcBorders>
            <w:vMerge w:val="continue"/>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vMerge w:val="continue"/>
            <w:shd w:val="clear" w:color="auto" w:fill="CCEEFF"/>
          </w:tcPr>
          <w:p>
            <w:pPr>
              <w:spacing w:after="0"/>
              <w:rPr>
                <w:sz w:val="21"/>
                <w:szCs w:val="21"/>
                <w:color w:val="auto"/>
              </w:rPr>
            </w:pPr>
          </w:p>
        </w:tc>
        <w:tc>
          <w:tcPr>
            <w:tcW w:w="800" w:type="dxa"/>
            <w:vAlign w:val="bottom"/>
            <w:tcBorders>
              <w:bottom w:val="single" w:sz="8" w:color="auto"/>
            </w:tcBorders>
            <w:vMerge w:val="continue"/>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auto"/>
            </w:tcBorders>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6065520</wp:posOffset>
            </wp:positionH>
            <wp:positionV relativeFrom="paragraph">
              <wp:posOffset>-1696720</wp:posOffset>
            </wp:positionV>
            <wp:extent cx="5143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-1696720</wp:posOffset>
            </wp:positionV>
            <wp:extent cx="5143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1856740</wp:posOffset>
            </wp:positionH>
            <wp:positionV relativeFrom="paragraph">
              <wp:posOffset>-1696720</wp:posOffset>
            </wp:positionV>
            <wp:extent cx="51435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14350" cy="8255"/>
                    </a:xfrm>
                    <a:prstGeom prst="rect">
                      <a:avLst/>
                    </a:prstGeom>
                    <a:noFill/>
                  </pic:spPr>
                </pic:pic>
              </a:graphicData>
            </a:graphic>
          </wp:anchor>
        </w:drawing>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____________________</w:t>
      </w:r>
    </w:p>
    <w:p>
      <w:pPr>
        <w:spacing w:after="0" w:line="31" w:lineRule="exact"/>
        <w:rPr>
          <w:sz w:val="20"/>
          <w:szCs w:val="20"/>
          <w:color w:val="auto"/>
        </w:rPr>
      </w:pPr>
    </w:p>
    <w:p>
      <w:pPr>
        <w:jc w:val="both"/>
        <w:ind w:left="340" w:hanging="332"/>
        <w:spacing w:after="0" w:line="249" w:lineRule="auto"/>
        <w:tabs>
          <w:tab w:leader="none" w:pos="380" w:val="left"/>
        </w:tabs>
        <w:numPr>
          <w:ilvl w:val="0"/>
          <w:numId w:val="21"/>
        </w:numPr>
        <w:rPr>
          <w:rFonts w:ascii="Arial" w:cs="Arial" w:eastAsia="Arial" w:hAnsi="Arial"/>
          <w:sz w:val="18"/>
          <w:szCs w:val="18"/>
          <w:color w:val="auto"/>
        </w:rPr>
      </w:pPr>
      <w:r>
        <w:rPr>
          <w:rFonts w:ascii="Arial" w:cs="Arial" w:eastAsia="Arial" w:hAnsi="Arial"/>
          <w:sz w:val="16"/>
          <w:szCs w:val="16"/>
          <w:color w:val="auto"/>
        </w:rPr>
        <w:t>All portfolio investments are non-income-producing, unless otherwise identified. Equity investments are subject to lock-up restrictions upon their IPO. Preferred dividends are generally only payable when declared and paid by the portfolio company's board of directors. The Company’s directors, officers, employees and staff, as applicable, may serve on the board of directors of the Company’s portfolio investments. (Refer to “Note 3—Related-Party Arrangements”). All portfolio investments are considered Level 3 and valued using significant unobservable inputs, unless otherwise noted. (Refer to “Note 4—Investments at Fair Value”). All portfolio investments are considered Level 3 and valued using unobservable inputs, unless otherwise noted. All of the Company's portfolio investments are restricted as to resale, unless otherwise noted, and were valued at fair value as determined in good faith by the Company’s Board of Directors. (Refer to "Note 2—Significant Accounting Policies—Investments at Fair Value").</w:t>
      </w:r>
    </w:p>
    <w:p>
      <w:pPr>
        <w:spacing w:after="0" w:line="219" w:lineRule="exact"/>
        <w:rPr>
          <w:sz w:val="20"/>
          <w:szCs w:val="20"/>
          <w:color w:val="auto"/>
        </w:rPr>
      </w:pPr>
    </w:p>
    <w:p>
      <w:pPr>
        <w:ind w:left="340" w:hanging="332"/>
        <w:spacing w:after="0" w:line="275" w:lineRule="auto"/>
        <w:tabs>
          <w:tab w:leader="none" w:pos="232" w:val="left"/>
        </w:tabs>
        <w:numPr>
          <w:ilvl w:val="0"/>
          <w:numId w:val="22"/>
        </w:numPr>
        <w:rPr>
          <w:rFonts w:ascii="Arial" w:cs="Arial" w:eastAsia="Arial" w:hAnsi="Arial"/>
          <w:sz w:val="16"/>
          <w:szCs w:val="16"/>
          <w:color w:val="auto"/>
        </w:rPr>
      </w:pPr>
      <w:r>
        <w:rPr>
          <w:rFonts w:ascii="Arial" w:cs="Arial" w:eastAsia="Arial" w:hAnsi="Arial"/>
          <w:sz w:val="16"/>
          <w:szCs w:val="16"/>
          <w:color w:val="auto"/>
        </w:rPr>
        <w:t>Indicates assets that SuRo Capital Corp. believes do not represent “qualifying assets” under Section 55(a) of the Investment Company Act of 1940, as amended (the “1940 Act”). Of the Company’s total investments as of March 31, 2021, 46.70% of its total investments are non-qualifying assets.</w:t>
      </w:r>
    </w:p>
    <w:p>
      <w:pPr>
        <w:spacing w:after="0" w:line="199" w:lineRule="exact"/>
        <w:rPr>
          <w:rFonts w:ascii="Arial" w:cs="Arial" w:eastAsia="Arial" w:hAnsi="Arial"/>
          <w:sz w:val="16"/>
          <w:szCs w:val="16"/>
          <w:color w:val="auto"/>
        </w:rPr>
      </w:pPr>
    </w:p>
    <w:p>
      <w:pPr>
        <w:ind w:left="420" w:hanging="412"/>
        <w:spacing w:after="0"/>
        <w:tabs>
          <w:tab w:leader="none" w:pos="420" w:val="left"/>
        </w:tabs>
        <w:numPr>
          <w:ilvl w:val="0"/>
          <w:numId w:val="23"/>
        </w:numPr>
        <w:rPr>
          <w:rFonts w:ascii="Arial" w:cs="Arial" w:eastAsia="Arial" w:hAnsi="Arial"/>
          <w:sz w:val="16"/>
          <w:szCs w:val="16"/>
          <w:color w:val="auto"/>
        </w:rPr>
      </w:pPr>
      <w:r>
        <w:rPr>
          <w:rFonts w:ascii="Arial" w:cs="Arial" w:eastAsia="Arial" w:hAnsi="Arial"/>
          <w:sz w:val="16"/>
          <w:szCs w:val="16"/>
          <w:color w:val="auto"/>
        </w:rPr>
        <w:t>Investment is income-producing.</w:t>
      </w:r>
    </w:p>
    <w:p>
      <w:pPr>
        <w:spacing w:after="0" w:line="248" w:lineRule="exact"/>
        <w:rPr>
          <w:sz w:val="20"/>
          <w:szCs w:val="20"/>
          <w:color w:val="auto"/>
        </w:rPr>
      </w:pPr>
    </w:p>
    <w:p>
      <w:pPr>
        <w:ind w:left="500" w:hanging="492"/>
        <w:spacing w:after="0" w:line="261" w:lineRule="auto"/>
        <w:tabs>
          <w:tab w:leader="none" w:pos="384" w:val="left"/>
        </w:tabs>
        <w:numPr>
          <w:ilvl w:val="0"/>
          <w:numId w:val="24"/>
        </w:numPr>
        <w:rPr>
          <w:rFonts w:ascii="Arial" w:cs="Arial" w:eastAsia="Arial" w:hAnsi="Arial"/>
          <w:sz w:val="16"/>
          <w:szCs w:val="16"/>
          <w:color w:val="auto"/>
        </w:rPr>
      </w:pPr>
      <w:r>
        <w:rPr>
          <w:rFonts w:ascii="Arial" w:cs="Arial" w:eastAsia="Arial" w:hAnsi="Arial"/>
          <w:sz w:val="16"/>
          <w:szCs w:val="16"/>
          <w:color w:val="auto"/>
        </w:rPr>
        <w:t>“Affiliate Investments” are investments in those companies that are “Affiliated Companies” of SuRo Capital Corp., as defined in the 1940 Act. In general, a company is deemed to be an “Affiliate” of SuRo Capital Corp. if SuRo Capital Corp. owns 5% or more of the voting securities (</w:t>
      </w:r>
      <w:r>
        <w:rPr>
          <w:rFonts w:ascii="Arial" w:cs="Arial" w:eastAsia="Arial" w:hAnsi="Arial"/>
          <w:sz w:val="16"/>
          <w:szCs w:val="16"/>
          <w:i w:val="1"/>
          <w:iCs w:val="1"/>
          <w:color w:val="auto"/>
        </w:rPr>
        <w:t>i.e.</w:t>
      </w:r>
      <w:r>
        <w:rPr>
          <w:rFonts w:ascii="Arial" w:cs="Arial" w:eastAsia="Arial" w:hAnsi="Arial"/>
          <w:sz w:val="16"/>
          <w:szCs w:val="16"/>
          <w:color w:val="auto"/>
        </w:rPr>
        <w:t>, securities with the right to elect directors) of such company.</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240"/>
          </w:cols>
          <w:pgMar w:left="320" w:top="122" w:right="339" w:bottom="1440" w:gutter="0" w:footer="0" w:header="0"/>
        </w:sectPr>
      </w:pPr>
    </w:p>
    <w:bookmarkStart w:id="39" w:name="page40"/>
    <w:bookmarkEnd w:id="3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SURO CAPITAL CORP. AND SUBSIDIARIES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2021</w:t>
      </w:r>
    </w:p>
    <w:p>
      <w:pPr>
        <w:spacing w:after="0" w:line="242" w:lineRule="exact"/>
        <w:rPr>
          <w:sz w:val="20"/>
          <w:szCs w:val="20"/>
          <w:color w:val="auto"/>
        </w:rPr>
      </w:pPr>
    </w:p>
    <w:p>
      <w:pPr>
        <w:ind w:left="500" w:hanging="492"/>
        <w:spacing w:after="0" w:line="261" w:lineRule="auto"/>
        <w:tabs>
          <w:tab w:leader="none" w:pos="396" w:val="left"/>
        </w:tabs>
        <w:numPr>
          <w:ilvl w:val="0"/>
          <w:numId w:val="25"/>
        </w:numPr>
        <w:rPr>
          <w:rFonts w:ascii="Arial" w:cs="Arial" w:eastAsia="Arial" w:hAnsi="Arial"/>
          <w:sz w:val="16"/>
          <w:szCs w:val="16"/>
          <w:color w:val="auto"/>
        </w:rPr>
      </w:pPr>
      <w:r>
        <w:rPr>
          <w:rFonts w:ascii="Arial" w:cs="Arial" w:eastAsia="Arial" w:hAnsi="Arial"/>
          <w:sz w:val="16"/>
          <w:szCs w:val="16"/>
          <w:color w:val="auto"/>
        </w:rPr>
        <w:t>“Control Investments” are investments in those companies that are “Controlled Companies” of SuRo Capital Corp., as defined in the 1940 Act. In general, under the 1940 Act, the Company would “Control” a portfolio company if the Company owned more than 25% of its outstanding voting securities (i.e., securities with the right to elect directors) and/or had the power to exercise control over the management or policies of such portfolio company.</w:t>
      </w:r>
    </w:p>
    <w:p>
      <w:pPr>
        <w:spacing w:after="0" w:line="209" w:lineRule="exact"/>
        <w:rPr>
          <w:rFonts w:ascii="Arial" w:cs="Arial" w:eastAsia="Arial" w:hAnsi="Arial"/>
          <w:sz w:val="16"/>
          <w:szCs w:val="16"/>
          <w:color w:val="auto"/>
        </w:rPr>
      </w:pPr>
    </w:p>
    <w:p>
      <w:pPr>
        <w:ind w:left="360" w:hanging="352"/>
        <w:spacing w:after="0"/>
        <w:tabs>
          <w:tab w:leader="none" w:pos="3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As of March 31, 2021, the investments noted had been placed on non-accrual status.</w:t>
      </w:r>
    </w:p>
    <w:p>
      <w:pPr>
        <w:spacing w:after="0" w:line="248" w:lineRule="exact"/>
        <w:rPr>
          <w:rFonts w:ascii="Arial" w:cs="Arial" w:eastAsia="Arial" w:hAnsi="Arial"/>
          <w:sz w:val="16"/>
          <w:szCs w:val="16"/>
          <w:color w:val="auto"/>
        </w:rPr>
      </w:pPr>
    </w:p>
    <w:p>
      <w:pPr>
        <w:ind w:left="500" w:hanging="492"/>
        <w:spacing w:after="0" w:line="349" w:lineRule="auto"/>
        <w:tabs>
          <w:tab w:leader="none" w:pos="371" w:val="left"/>
        </w:tabs>
        <w:numPr>
          <w:ilvl w:val="0"/>
          <w:numId w:val="25"/>
        </w:numPr>
        <w:rPr>
          <w:rFonts w:ascii="Arial" w:cs="Arial" w:eastAsia="Arial" w:hAnsi="Arial"/>
          <w:sz w:val="14"/>
          <w:szCs w:val="14"/>
          <w:color w:val="auto"/>
        </w:rPr>
      </w:pPr>
      <w:r>
        <w:rPr>
          <w:rFonts w:ascii="Arial" w:cs="Arial" w:eastAsia="Arial" w:hAnsi="Arial"/>
          <w:sz w:val="14"/>
          <w:szCs w:val="14"/>
          <w:color w:val="auto"/>
        </w:rPr>
        <w:t>The SPBRX, INC. (f/k/a GSV Sustainability Partners, Inc.) preferred shares held by SuRo Capital Corp. do not entitle SuRo Capital Corp. to a preferred dividend rate. SuRo Capital Corp. does not anticipate that SPBRX, INC. will pay distributions on a quarterly or regular basis or become a predictable distributor of distributions.</w:t>
      </w:r>
    </w:p>
    <w:p>
      <w:pPr>
        <w:spacing w:after="0" w:line="152" w:lineRule="exact"/>
        <w:rPr>
          <w:rFonts w:ascii="Arial" w:cs="Arial" w:eastAsia="Arial" w:hAnsi="Arial"/>
          <w:sz w:val="14"/>
          <w:szCs w:val="14"/>
          <w:color w:val="auto"/>
        </w:rPr>
      </w:pPr>
    </w:p>
    <w:p>
      <w:pPr>
        <w:ind w:left="360" w:hanging="352"/>
        <w:spacing w:after="0"/>
        <w:tabs>
          <w:tab w:leader="none" w:pos="3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SuRo Capital Corp.’s investments in StormWind, LLC are held through SuRo Capital Corp.'s wholly owned subsidiary, GSVC SW Holdings, Inc.</w:t>
      </w:r>
    </w:p>
    <w:p>
      <w:pPr>
        <w:spacing w:after="0" w:line="248" w:lineRule="exact"/>
        <w:rPr>
          <w:rFonts w:ascii="Arial" w:cs="Arial" w:eastAsia="Arial" w:hAnsi="Arial"/>
          <w:sz w:val="16"/>
          <w:szCs w:val="16"/>
          <w:color w:val="auto"/>
        </w:rPr>
      </w:pPr>
    </w:p>
    <w:p>
      <w:pPr>
        <w:ind w:left="500" w:hanging="492"/>
        <w:spacing w:after="0" w:line="315" w:lineRule="auto"/>
        <w:tabs>
          <w:tab w:leader="none" w:pos="411" w:val="left"/>
        </w:tabs>
        <w:numPr>
          <w:ilvl w:val="0"/>
          <w:numId w:val="25"/>
        </w:numPr>
        <w:rPr>
          <w:rFonts w:ascii="Arial" w:cs="Arial" w:eastAsia="Arial" w:hAnsi="Arial"/>
          <w:sz w:val="14"/>
          <w:szCs w:val="14"/>
          <w:color w:val="auto"/>
        </w:rPr>
      </w:pPr>
      <w:r>
        <w:rPr>
          <w:rFonts w:ascii="Arial" w:cs="Arial" w:eastAsia="Arial" w:hAnsi="Arial"/>
          <w:sz w:val="14"/>
          <w:szCs w:val="14"/>
          <w:color w:val="auto"/>
        </w:rPr>
        <w:t>On August 23, 2019, SuRo Capital Corp. amended the structure of its investment in NestGSV, Inc. (d/b/a OneValley, Inc.). As part of the agreement, SuRo Capital Corp.’s equity holdings (warrants notwithstanding) were restructured into a derivative security. NestGSV, Inc. (d/b/a OneValley,Inc.) has the right to call the position at any time over a five year period, while SuRo Capital Corp. can put the shares to NestGSV, Inc. (d/b/a OneValley, Inc.) at the end of the five year period.</w:t>
      </w:r>
    </w:p>
    <w:p>
      <w:pPr>
        <w:spacing w:after="0" w:line="176" w:lineRule="exact"/>
        <w:rPr>
          <w:rFonts w:ascii="Arial" w:cs="Arial" w:eastAsia="Arial" w:hAnsi="Arial"/>
          <w:sz w:val="14"/>
          <w:szCs w:val="14"/>
          <w:color w:val="auto"/>
        </w:rPr>
      </w:pPr>
    </w:p>
    <w:p>
      <w:pPr>
        <w:ind w:left="500" w:hanging="492"/>
        <w:spacing w:after="0" w:line="275" w:lineRule="auto"/>
        <w:tabs>
          <w:tab w:leader="none" w:pos="441" w:val="left"/>
        </w:tabs>
        <w:numPr>
          <w:ilvl w:val="0"/>
          <w:numId w:val="25"/>
        </w:numPr>
        <w:rPr>
          <w:rFonts w:ascii="Arial" w:cs="Arial" w:eastAsia="Arial" w:hAnsi="Arial"/>
          <w:sz w:val="16"/>
          <w:szCs w:val="16"/>
          <w:color w:val="auto"/>
        </w:rPr>
      </w:pPr>
      <w:r>
        <w:rPr>
          <w:rFonts w:ascii="Arial" w:cs="Arial" w:eastAsia="Arial" w:hAnsi="Arial"/>
          <w:sz w:val="16"/>
          <w:szCs w:val="16"/>
          <w:color w:val="auto"/>
        </w:rPr>
        <w:t>As of March 31, 2021, $0.5 million of the $10.0 million capital commitment representing our Membership Interest in Architect Capital PayJoy SPV, LLC had been called and funded.</w:t>
      </w:r>
    </w:p>
    <w:p>
      <w:pPr>
        <w:spacing w:after="0" w:line="199" w:lineRule="exact"/>
        <w:rPr>
          <w:rFonts w:ascii="Arial" w:cs="Arial" w:eastAsia="Arial" w:hAnsi="Arial"/>
          <w:sz w:val="16"/>
          <w:szCs w:val="16"/>
          <w:color w:val="auto"/>
        </w:rPr>
      </w:pPr>
    </w:p>
    <w:p>
      <w:pPr>
        <w:ind w:left="500" w:hanging="492"/>
        <w:spacing w:after="0" w:line="261" w:lineRule="auto"/>
        <w:tabs>
          <w:tab w:leader="none" w:pos="425" w:val="left"/>
        </w:tabs>
        <w:numPr>
          <w:ilvl w:val="0"/>
          <w:numId w:val="25"/>
        </w:numPr>
        <w:rPr>
          <w:rFonts w:ascii="Arial" w:cs="Arial" w:eastAsia="Arial" w:hAnsi="Arial"/>
          <w:sz w:val="16"/>
          <w:szCs w:val="16"/>
          <w:color w:val="auto"/>
        </w:rPr>
      </w:pPr>
      <w:r>
        <w:rPr>
          <w:rFonts w:ascii="Arial" w:cs="Arial" w:eastAsia="Arial" w:hAnsi="Arial"/>
          <w:sz w:val="16"/>
          <w:szCs w:val="16"/>
          <w:color w:val="auto"/>
        </w:rPr>
        <w:t>During the three months ended March 31, 2021, NewLake Capital Partners, Inc. (f/k/a GreenAcreage Real Estate Corp.) declared an aggregate of approximately $0.1 million in dividend distributions. SuRo Capital Corp. does not anticipate that NewLake Capital Partners, Inc. (f/k/a GreenAcreage Real Estate Corp.) will pay distributions on a recurring or regular basis or become a predictable distributor of distributions.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240"/>
          </w:cols>
          <w:pgMar w:left="320" w:top="122" w:right="339" w:bottom="1440" w:gutter="0" w:footer="0" w:header="0"/>
        </w:sectPr>
      </w:pPr>
    </w:p>
    <w:bookmarkStart w:id="40" w:name="page41"/>
    <w:bookmarkEnd w:id="4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SURO CAPITAL CORP. AND SUBSIDIARIES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2021</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Schedule of Investments In, and Advances to, Affiliates</w:t>
      </w:r>
    </w:p>
    <w:p>
      <w:pPr>
        <w:spacing w:after="0" w:line="256" w:lineRule="exact"/>
        <w:rPr>
          <w:sz w:val="20"/>
          <w:szCs w:val="20"/>
          <w:color w:val="auto"/>
        </w:rPr>
      </w:pPr>
    </w:p>
    <w:p>
      <w:pPr>
        <w:ind w:right="20" w:firstLine="364"/>
        <w:spacing w:after="0" w:line="277" w:lineRule="auto"/>
        <w:rPr>
          <w:sz w:val="20"/>
          <w:szCs w:val="20"/>
          <w:color w:val="auto"/>
        </w:rPr>
      </w:pPr>
      <w:r>
        <w:rPr>
          <w:rFonts w:ascii="Arial" w:cs="Arial" w:eastAsia="Arial" w:hAnsi="Arial"/>
          <w:sz w:val="18"/>
          <w:szCs w:val="18"/>
          <w:color w:val="auto"/>
        </w:rPr>
        <w:t>Transactions during the year ended December 31, 2020 involving the Company’s controlled investments and non-controlled/affiliate investments were as follows: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89"/>
              </w:rPr>
              <w:t>Interest, Fees,</w:t>
            </w: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5"/>
              </w:rPr>
              <w:t>Purchases,</w:t>
            </w: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85"/>
              </w:rPr>
              <w:t>or</w:t>
            </w:r>
          </w:p>
        </w:tc>
        <w:tc>
          <w:tcPr>
            <w:tcW w:w="9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Fair Value at</w:t>
            </w:r>
          </w:p>
        </w:tc>
        <w:tc>
          <w:tcPr>
            <w:tcW w:w="100" w:type="dxa"/>
            <w:vAlign w:val="bottom"/>
          </w:tcPr>
          <w:p>
            <w:pPr>
              <w:spacing w:after="0"/>
              <w:rPr>
                <w:sz w:val="11"/>
                <w:szCs w:val="11"/>
                <w:color w:val="auto"/>
              </w:rPr>
            </w:pPr>
          </w:p>
        </w:tc>
        <w:tc>
          <w:tcPr>
            <w:tcW w:w="940" w:type="dxa"/>
            <w:vAlign w:val="bottom"/>
            <w:gridSpan w:val="2"/>
          </w:tcPr>
          <w:p>
            <w:pPr>
              <w:jc w:val="center"/>
              <w:ind w:right="180"/>
              <w:spacing w:after="0" w:line="135" w:lineRule="exact"/>
              <w:rPr>
                <w:sz w:val="20"/>
                <w:szCs w:val="20"/>
                <w:color w:val="auto"/>
              </w:rPr>
            </w:pPr>
            <w:r>
              <w:rPr>
                <w:rFonts w:ascii="Arial" w:cs="Arial" w:eastAsia="Arial" w:hAnsi="Arial"/>
                <w:sz w:val="14"/>
                <w:szCs w:val="14"/>
                <w:b w:val="1"/>
                <w:bCs w:val="1"/>
                <w:color w:val="auto"/>
                <w:w w:val="97"/>
              </w:rPr>
              <w:t>Capitalized</w:t>
            </w: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Fair Value at</w:t>
            </w:r>
          </w:p>
        </w:tc>
        <w:tc>
          <w:tcPr>
            <w:tcW w:w="900" w:type="dxa"/>
            <w:vAlign w:val="bottom"/>
            <w:vMerge w:val="restart"/>
          </w:tcPr>
          <w:p>
            <w:pPr>
              <w:jc w:val="right"/>
              <w:ind w:right="21"/>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5"/>
              </w:rPr>
              <w:t>Principal/</w:t>
            </w:r>
          </w:p>
        </w:tc>
        <w:tc>
          <w:tcPr>
            <w:tcW w:w="140" w:type="dxa"/>
            <w:vAlign w:val="bottom"/>
          </w:tcPr>
          <w:p>
            <w:pPr>
              <w:spacing w:after="0"/>
              <w:rPr>
                <w:sz w:val="11"/>
                <w:szCs w:val="11"/>
                <w:color w:val="auto"/>
              </w:rPr>
            </w:pPr>
          </w:p>
        </w:tc>
        <w:tc>
          <w:tcPr>
            <w:tcW w:w="90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89"/>
              </w:rPr>
              <w:t>Dividends</w:t>
            </w:r>
          </w:p>
        </w:tc>
        <w:tc>
          <w:tcPr>
            <w:tcW w:w="960" w:type="dxa"/>
            <w:vAlign w:val="bottom"/>
            <w:gridSpan w:val="3"/>
            <w:vMerge w:val="continue"/>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2"/>
          </w:tcPr>
          <w:p>
            <w:pPr>
              <w:jc w:val="center"/>
              <w:ind w:right="180"/>
              <w:spacing w:after="0" w:line="135" w:lineRule="exact"/>
              <w:rPr>
                <w:sz w:val="20"/>
                <w:szCs w:val="20"/>
                <w:color w:val="auto"/>
              </w:rPr>
            </w:pPr>
            <w:r>
              <w:rPr>
                <w:rFonts w:ascii="Arial" w:cs="Arial" w:eastAsia="Arial" w:hAnsi="Arial"/>
                <w:sz w:val="14"/>
                <w:szCs w:val="14"/>
                <w:b w:val="1"/>
                <w:bCs w:val="1"/>
                <w:color w:val="auto"/>
                <w:w w:val="89"/>
              </w:rPr>
              <w:t>Fees,</w:t>
            </w:r>
          </w:p>
        </w:tc>
        <w:tc>
          <w:tcPr>
            <w:tcW w:w="160" w:type="dxa"/>
            <w:vAlign w:val="bottom"/>
          </w:tcPr>
          <w:p>
            <w:pPr>
              <w:spacing w:after="0"/>
              <w:rPr>
                <w:sz w:val="11"/>
                <w:szCs w:val="11"/>
                <w:color w:val="auto"/>
              </w:rPr>
            </w:pPr>
          </w:p>
        </w:tc>
        <w:tc>
          <w:tcPr>
            <w:tcW w:w="8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Realized</w:t>
            </w:r>
          </w:p>
        </w:tc>
        <w:tc>
          <w:tcPr>
            <w:tcW w:w="120" w:type="dxa"/>
            <w:vAlign w:val="bottom"/>
          </w:tcPr>
          <w:p>
            <w:pPr>
              <w:spacing w:after="0"/>
              <w:rPr>
                <w:sz w:val="11"/>
                <w:szCs w:val="11"/>
                <w:color w:val="auto"/>
              </w:rPr>
            </w:pPr>
          </w:p>
        </w:tc>
        <w:tc>
          <w:tcPr>
            <w:tcW w:w="9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Unrealized</w:t>
            </w:r>
          </w:p>
        </w:tc>
        <w:tc>
          <w:tcPr>
            <w:tcW w:w="940" w:type="dxa"/>
            <w:vAlign w:val="bottom"/>
            <w:gridSpan w:val="3"/>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30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Type/Industry/Portfolio Company/Investment</w:t>
            </w:r>
          </w:p>
        </w:tc>
        <w:tc>
          <w:tcPr>
            <w:tcW w:w="80" w:type="dxa"/>
            <w:vAlign w:val="bottom"/>
          </w:tcPr>
          <w:p>
            <w:pPr>
              <w:spacing w:after="0"/>
              <w:rPr>
                <w:sz w:val="11"/>
                <w:szCs w:val="11"/>
                <w:color w:val="auto"/>
              </w:rPr>
            </w:pPr>
          </w:p>
        </w:tc>
        <w:tc>
          <w:tcPr>
            <w:tcW w:w="92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gridSpan w:val="2"/>
          </w:tcPr>
          <w:p>
            <w:pPr>
              <w:jc w:val="center"/>
              <w:ind w:right="200"/>
              <w:spacing w:after="0" w:line="135" w:lineRule="exact"/>
              <w:rPr>
                <w:sz w:val="20"/>
                <w:szCs w:val="20"/>
                <w:color w:val="auto"/>
              </w:rPr>
            </w:pPr>
            <w:r>
              <w:rPr>
                <w:rFonts w:ascii="Arial" w:cs="Arial" w:eastAsia="Arial" w:hAnsi="Arial"/>
                <w:sz w:val="14"/>
                <w:szCs w:val="14"/>
                <w:b w:val="1"/>
                <w:bCs w:val="1"/>
                <w:color w:val="auto"/>
                <w:w w:val="95"/>
              </w:rPr>
              <w:t>Credited</w:t>
            </w:r>
          </w:p>
        </w:tc>
        <w:tc>
          <w:tcPr>
            <w:tcW w:w="120" w:type="dxa"/>
            <w:vAlign w:val="bottom"/>
          </w:tcPr>
          <w:p>
            <w:pPr>
              <w:spacing w:after="0"/>
              <w:rPr>
                <w:sz w:val="11"/>
                <w:szCs w:val="11"/>
                <w:color w:val="auto"/>
              </w:rPr>
            </w:pPr>
          </w:p>
        </w:tc>
        <w:tc>
          <w:tcPr>
            <w:tcW w:w="840" w:type="dxa"/>
            <w:vAlign w:val="bottom"/>
            <w:gridSpan w:val="2"/>
          </w:tcPr>
          <w:p>
            <w:pPr>
              <w:spacing w:after="0" w:line="135" w:lineRule="exact"/>
              <w:rPr>
                <w:sz w:val="20"/>
                <w:szCs w:val="20"/>
                <w:color w:val="auto"/>
              </w:rPr>
            </w:pPr>
            <w:r>
              <w:rPr>
                <w:rFonts w:ascii="Arial" w:cs="Arial" w:eastAsia="Arial" w:hAnsi="Arial"/>
                <w:sz w:val="14"/>
                <w:szCs w:val="14"/>
                <w:b w:val="1"/>
                <w:bCs w:val="1"/>
                <w:color w:val="auto"/>
              </w:rPr>
              <w:t>December</w:t>
            </w:r>
          </w:p>
        </w:tc>
        <w:tc>
          <w:tcPr>
            <w:tcW w:w="100" w:type="dxa"/>
            <w:vAlign w:val="bottom"/>
          </w:tcPr>
          <w:p>
            <w:pPr>
              <w:spacing w:after="0"/>
              <w:rPr>
                <w:sz w:val="11"/>
                <w:szCs w:val="11"/>
                <w:color w:val="auto"/>
              </w:rPr>
            </w:pPr>
          </w:p>
        </w:tc>
        <w:tc>
          <w:tcPr>
            <w:tcW w:w="940" w:type="dxa"/>
            <w:vAlign w:val="bottom"/>
            <w:gridSpan w:val="2"/>
          </w:tcPr>
          <w:p>
            <w:pPr>
              <w:jc w:val="center"/>
              <w:ind w:right="180"/>
              <w:spacing w:after="0" w:line="135" w:lineRule="exact"/>
              <w:rPr>
                <w:sz w:val="20"/>
                <w:szCs w:val="20"/>
                <w:color w:val="auto"/>
              </w:rPr>
            </w:pPr>
            <w:r>
              <w:rPr>
                <w:rFonts w:ascii="Arial" w:cs="Arial" w:eastAsia="Arial" w:hAnsi="Arial"/>
                <w:sz w:val="14"/>
                <w:szCs w:val="14"/>
                <w:b w:val="1"/>
                <w:bCs w:val="1"/>
                <w:color w:val="auto"/>
                <w:w w:val="95"/>
              </w:rPr>
              <w:t>Interest and</w:t>
            </w:r>
          </w:p>
        </w:tc>
        <w:tc>
          <w:tcPr>
            <w:tcW w:w="160" w:type="dxa"/>
            <w:vAlign w:val="bottom"/>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940" w:type="dxa"/>
            <w:vAlign w:val="bottom"/>
            <w:gridSpan w:val="3"/>
          </w:tcPr>
          <w:p>
            <w:pPr>
              <w:ind w:left="20"/>
              <w:spacing w:after="0" w:line="135" w:lineRule="exact"/>
              <w:rPr>
                <w:sz w:val="20"/>
                <w:szCs w:val="20"/>
                <w:color w:val="auto"/>
              </w:rPr>
            </w:pPr>
            <w:r>
              <w:rPr>
                <w:rFonts w:ascii="Arial" w:cs="Arial" w:eastAsia="Arial" w:hAnsi="Arial"/>
                <w:sz w:val="14"/>
                <w:szCs w:val="14"/>
                <w:b w:val="1"/>
                <w:bCs w:val="1"/>
                <w:color w:val="auto"/>
                <w:w w:val="98"/>
              </w:rPr>
              <w:t>December 31,</w:t>
            </w:r>
          </w:p>
        </w:tc>
        <w:tc>
          <w:tcPr>
            <w:tcW w:w="900" w:type="dxa"/>
            <w:vAlign w:val="bottom"/>
          </w:tcPr>
          <w:p>
            <w:pPr>
              <w:jc w:val="right"/>
              <w:ind w:right="181"/>
              <w:spacing w:after="0" w:line="135" w:lineRule="exact"/>
              <w:rPr>
                <w:sz w:val="20"/>
                <w:szCs w:val="20"/>
                <w:color w:val="auto"/>
              </w:rPr>
            </w:pPr>
            <w:r>
              <w:rPr>
                <w:rFonts w:ascii="Arial" w:cs="Arial" w:eastAsia="Arial" w:hAnsi="Arial"/>
                <w:sz w:val="14"/>
                <w:szCs w:val="14"/>
                <w:b w:val="1"/>
                <w:bCs w:val="1"/>
                <w:color w:val="auto"/>
              </w:rPr>
              <w:t>of Net</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300" w:type="dxa"/>
            <w:vAlign w:val="bottom"/>
            <w:gridSpan w:val="4"/>
            <w:vMerge w:val="continue"/>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8"/>
              </w:rPr>
              <w:t>Quantity</w:t>
            </w:r>
          </w:p>
        </w:tc>
        <w:tc>
          <w:tcPr>
            <w:tcW w:w="140" w:type="dxa"/>
            <w:vAlign w:val="bottom"/>
          </w:tcPr>
          <w:p>
            <w:pPr>
              <w:spacing w:after="0"/>
              <w:rPr>
                <w:sz w:val="16"/>
                <w:szCs w:val="16"/>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in Income</w:t>
            </w:r>
          </w:p>
        </w:tc>
        <w:tc>
          <w:tcPr>
            <w:tcW w:w="120" w:type="dxa"/>
            <w:vAlign w:val="bottom"/>
          </w:tcPr>
          <w:p>
            <w:pPr>
              <w:spacing w:after="0"/>
              <w:rPr>
                <w:sz w:val="16"/>
                <w:szCs w:val="16"/>
                <w:color w:val="auto"/>
              </w:rPr>
            </w:pPr>
          </w:p>
        </w:tc>
        <w:tc>
          <w:tcPr>
            <w:tcW w:w="760" w:type="dxa"/>
            <w:vAlign w:val="bottom"/>
          </w:tcPr>
          <w:p>
            <w:pPr>
              <w:jc w:val="right"/>
              <w:ind w:right="100"/>
              <w:spacing w:after="0"/>
              <w:rPr>
                <w:sz w:val="20"/>
                <w:szCs w:val="20"/>
                <w:color w:val="auto"/>
              </w:rPr>
            </w:pPr>
            <w:r>
              <w:rPr>
                <w:rFonts w:ascii="Arial" w:cs="Arial" w:eastAsia="Arial" w:hAnsi="Arial"/>
                <w:sz w:val="14"/>
                <w:szCs w:val="14"/>
                <w:b w:val="1"/>
                <w:bCs w:val="1"/>
                <w:color w:val="auto"/>
              </w:rPr>
              <w:t>31, 2019</w:t>
            </w:r>
          </w:p>
        </w:tc>
        <w:tc>
          <w:tcPr>
            <w:tcW w:w="80" w:type="dxa"/>
            <w:vAlign w:val="bottom"/>
          </w:tcPr>
          <w:p>
            <w:pPr>
              <w:spacing w:after="0"/>
              <w:rPr>
                <w:sz w:val="16"/>
                <w:szCs w:val="16"/>
                <w:color w:val="auto"/>
              </w:rPr>
            </w:pPr>
          </w:p>
        </w:tc>
        <w:tc>
          <w:tcPr>
            <w:tcW w:w="104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8"/>
              </w:rPr>
              <w:t>Amortization</w:t>
            </w:r>
          </w:p>
        </w:tc>
        <w:tc>
          <w:tcPr>
            <w:tcW w:w="1020" w:type="dxa"/>
            <w:vAlign w:val="bottom"/>
            <w:gridSpan w:val="3"/>
          </w:tcPr>
          <w:p>
            <w:pPr>
              <w:ind w:left="20"/>
              <w:spacing w:after="0"/>
              <w:rPr>
                <w:sz w:val="20"/>
                <w:szCs w:val="20"/>
                <w:color w:val="auto"/>
              </w:rPr>
            </w:pPr>
            <w:r>
              <w:rPr>
                <w:rFonts w:ascii="Arial" w:cs="Arial" w:eastAsia="Arial" w:hAnsi="Arial"/>
                <w:sz w:val="14"/>
                <w:szCs w:val="14"/>
                <w:b w:val="1"/>
                <w:bCs w:val="1"/>
                <w:color w:val="auto"/>
                <w:w w:val="97"/>
              </w:rPr>
              <w:t>Gains/(Losses)</w:t>
            </w:r>
          </w:p>
        </w:tc>
        <w:tc>
          <w:tcPr>
            <w:tcW w:w="1020" w:type="dxa"/>
            <w:vAlign w:val="bottom"/>
            <w:gridSpan w:val="3"/>
          </w:tcPr>
          <w:p>
            <w:pPr>
              <w:ind w:left="20"/>
              <w:spacing w:after="0"/>
              <w:rPr>
                <w:sz w:val="20"/>
                <w:szCs w:val="20"/>
                <w:color w:val="auto"/>
              </w:rPr>
            </w:pPr>
            <w:r>
              <w:rPr>
                <w:rFonts w:ascii="Arial" w:cs="Arial" w:eastAsia="Arial" w:hAnsi="Arial"/>
                <w:sz w:val="14"/>
                <w:szCs w:val="14"/>
                <w:b w:val="1"/>
                <w:bCs w:val="1"/>
                <w:color w:val="auto"/>
                <w:w w:val="97"/>
              </w:rPr>
              <w:t>Gains/(Losses)</w:t>
            </w:r>
          </w:p>
        </w:tc>
        <w:tc>
          <w:tcPr>
            <w:tcW w:w="180" w:type="dxa"/>
            <w:vAlign w:val="bottom"/>
          </w:tcPr>
          <w:p>
            <w:pPr>
              <w:spacing w:after="0"/>
              <w:rPr>
                <w:sz w:val="16"/>
                <w:szCs w:val="16"/>
                <w:color w:val="auto"/>
              </w:rPr>
            </w:pPr>
          </w:p>
        </w:tc>
        <w:tc>
          <w:tcPr>
            <w:tcW w:w="680" w:type="dxa"/>
            <w:vAlign w:val="bottom"/>
          </w:tcPr>
          <w:p>
            <w:pPr>
              <w:jc w:val="right"/>
              <w:ind w:right="200"/>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6"/>
                <w:szCs w:val="16"/>
                <w:color w:val="auto"/>
              </w:rPr>
            </w:pPr>
          </w:p>
        </w:tc>
        <w:tc>
          <w:tcPr>
            <w:tcW w:w="900" w:type="dxa"/>
            <w:vAlign w:val="bottom"/>
          </w:tcPr>
          <w:p>
            <w:pPr>
              <w:jc w:val="right"/>
              <w:ind w:right="181"/>
              <w:spacing w:after="0"/>
              <w:rPr>
                <w:sz w:val="20"/>
                <w:szCs w:val="20"/>
                <w:color w:val="auto"/>
              </w:rPr>
            </w:pPr>
            <w:r>
              <w:rPr>
                <w:rFonts w:ascii="Arial" w:cs="Arial" w:eastAsia="Arial" w:hAnsi="Arial"/>
                <w:sz w:val="14"/>
                <w:szCs w:val="14"/>
                <w:b w:val="1"/>
                <w:bCs w:val="1"/>
                <w:color w:val="auto"/>
              </w:rPr>
              <w:t>Assets</w:t>
            </w:r>
          </w:p>
        </w:tc>
        <w:tc>
          <w:tcPr>
            <w:tcW w:w="0" w:type="dxa"/>
            <w:vAlign w:val="bottom"/>
          </w:tcPr>
          <w:p>
            <w:pPr>
              <w:spacing w:after="0"/>
              <w:rPr>
                <w:sz w:val="1"/>
                <w:szCs w:val="1"/>
                <w:color w:val="auto"/>
              </w:rPr>
            </w:pPr>
          </w:p>
        </w:tc>
      </w:tr>
      <w:tr>
        <w:trPr>
          <w:trHeight w:val="191"/>
        </w:trPr>
        <w:tc>
          <w:tcPr>
            <w:tcW w:w="20" w:type="dxa"/>
            <w:vAlign w:val="bottom"/>
            <w:tcBorders>
              <w:top w:val="single" w:sz="8" w:color="auto"/>
            </w:tcBorders>
            <w:shd w:val="clear" w:color="auto" w:fill="CCEEFF"/>
          </w:tcPr>
          <w:p>
            <w:pPr>
              <w:spacing w:after="0"/>
              <w:rPr>
                <w:sz w:val="16"/>
                <w:szCs w:val="16"/>
                <w:color w:val="auto"/>
              </w:rPr>
            </w:pPr>
          </w:p>
        </w:tc>
        <w:tc>
          <w:tcPr>
            <w:tcW w:w="3300" w:type="dxa"/>
            <w:vAlign w:val="bottom"/>
            <w:tcBorders>
              <w:top w:val="single" w:sz="8" w:color="auto"/>
            </w:tcBorders>
            <w:gridSpan w:val="4"/>
            <w:shd w:val="clear" w:color="auto" w:fill="CCEEFF"/>
          </w:tcPr>
          <w:p>
            <w:pPr>
              <w:spacing w:after="0" w:line="171" w:lineRule="exact"/>
              <w:rPr>
                <w:sz w:val="20"/>
                <w:szCs w:val="20"/>
                <w:color w:val="auto"/>
              </w:rPr>
            </w:pPr>
            <w:r>
              <w:rPr>
                <w:rFonts w:ascii="Arial" w:cs="Arial" w:eastAsia="Arial" w:hAnsi="Arial"/>
                <w:sz w:val="15"/>
                <w:szCs w:val="15"/>
                <w:b w:val="1"/>
                <w:bCs w:val="1"/>
                <w:color w:val="auto"/>
              </w:rPr>
              <w:t>CONTROLLED INVESTMENTS*</w:t>
            </w:r>
            <w:r>
              <w:rPr>
                <w:rFonts w:ascii="Arial" w:cs="Arial" w:eastAsia="Arial" w:hAnsi="Arial"/>
                <w:sz w:val="19"/>
                <w:szCs w:val="19"/>
                <w:b w:val="1"/>
                <w:bCs w:val="1"/>
                <w:color w:val="auto"/>
                <w:vertAlign w:val="superscript"/>
              </w:rPr>
              <w:t>(2)</w:t>
            </w:r>
          </w:p>
        </w:tc>
        <w:tc>
          <w:tcPr>
            <w:tcW w:w="80" w:type="dxa"/>
            <w:vAlign w:val="bottom"/>
            <w:tcBorders>
              <w:top w:val="single" w:sz="8" w:color="CCEEFF"/>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0" w:type="dxa"/>
            <w:vAlign w:val="bottom"/>
            <w:tcBorders>
              <w:top w:val="single" w:sz="8" w:color="CCEEFF"/>
            </w:tcBorders>
          </w:tcPr>
          <w:p>
            <w:pPr>
              <w:spacing w:after="0"/>
              <w:rPr>
                <w:sz w:val="18"/>
                <w:szCs w:val="18"/>
                <w:color w:val="auto"/>
              </w:rPr>
            </w:pPr>
          </w:p>
        </w:tc>
        <w:tc>
          <w:tcPr>
            <w:tcW w:w="2380" w:type="dxa"/>
            <w:vAlign w:val="bottom"/>
            <w:tcBorders>
              <w:top w:val="single" w:sz="8" w:color="auto"/>
            </w:tcBorders>
            <w:gridSpan w:val="2"/>
          </w:tcPr>
          <w:p>
            <w:pPr>
              <w:spacing w:after="0"/>
              <w:rPr>
                <w:sz w:val="20"/>
                <w:szCs w:val="20"/>
                <w:color w:val="auto"/>
              </w:rPr>
            </w:pPr>
            <w:r>
              <w:rPr>
                <w:rFonts w:ascii="Arial" w:cs="Arial" w:eastAsia="Arial" w:hAnsi="Arial"/>
                <w:sz w:val="16"/>
                <w:szCs w:val="16"/>
                <w:b w:val="1"/>
                <w:bCs w:val="1"/>
                <w:color w:val="auto"/>
              </w:rPr>
              <w:t>Preferred Stock</w:t>
            </w:r>
          </w:p>
        </w:tc>
        <w:tc>
          <w:tcPr>
            <w:tcW w:w="920" w:type="dxa"/>
            <w:vAlign w:val="bottom"/>
            <w:tcBorders>
              <w:top w:val="single" w:sz="8" w:color="CCEEFF"/>
            </w:tcBorders>
            <w:gridSpan w:val="2"/>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300" w:type="dxa"/>
            <w:vAlign w:val="bottom"/>
            <w:gridSpan w:val="4"/>
            <w:shd w:val="clear" w:color="auto" w:fill="CCEEFF"/>
          </w:tcPr>
          <w:p>
            <w:pPr>
              <w:ind w:left="120"/>
              <w:spacing w:after="0"/>
              <w:rPr>
                <w:sz w:val="20"/>
                <w:szCs w:val="20"/>
                <w:color w:val="auto"/>
              </w:rPr>
            </w:pPr>
            <w:r>
              <w:rPr>
                <w:rFonts w:ascii="Arial" w:cs="Arial" w:eastAsia="Arial" w:hAnsi="Arial"/>
                <w:sz w:val="16"/>
                <w:szCs w:val="16"/>
                <w:i w:val="1"/>
                <w:iCs w:val="1"/>
                <w:color w:val="auto"/>
              </w:rPr>
              <w:t>Clean Technology</w:t>
            </w: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300" w:type="dxa"/>
            <w:vAlign w:val="bottom"/>
            <w:gridSpan w:val="4"/>
          </w:tcPr>
          <w:p>
            <w:pPr>
              <w:ind w:left="200"/>
              <w:spacing w:after="0" w:line="162" w:lineRule="exact"/>
              <w:rPr>
                <w:sz w:val="20"/>
                <w:szCs w:val="20"/>
                <w:color w:val="auto"/>
              </w:rPr>
            </w:pPr>
            <w:r>
              <w:rPr>
                <w:rFonts w:ascii="Arial" w:cs="Arial" w:eastAsia="Arial" w:hAnsi="Arial"/>
                <w:sz w:val="16"/>
                <w:szCs w:val="16"/>
                <w:color w:val="auto"/>
              </w:rPr>
              <w:t>SPBRX, INC. (f/k/a GSV Sustainability</w:t>
            </w:r>
          </w:p>
        </w:tc>
        <w:tc>
          <w:tcPr>
            <w:tcW w:w="920" w:type="dxa"/>
            <w:vAlign w:val="bottom"/>
            <w:gridSpan w:val="2"/>
            <w:vMerge w:val="restart"/>
          </w:tcPr>
          <w:p>
            <w:pPr>
              <w:jc w:val="right"/>
              <w:ind w:right="8"/>
              <w:spacing w:after="0"/>
              <w:rPr>
                <w:sz w:val="20"/>
                <w:szCs w:val="20"/>
                <w:color w:val="auto"/>
              </w:rPr>
            </w:pPr>
            <w:r>
              <w:rPr>
                <w:rFonts w:ascii="Arial" w:cs="Arial" w:eastAsia="Arial" w:hAnsi="Arial"/>
                <w:sz w:val="16"/>
                <w:szCs w:val="16"/>
                <w:color w:val="auto"/>
              </w:rPr>
              <w:t>14,300,000</w:t>
            </w:r>
          </w:p>
        </w:tc>
        <w:tc>
          <w:tcPr>
            <w:tcW w:w="80" w:type="dxa"/>
            <w:vAlign w:val="bottom"/>
          </w:tcPr>
          <w:p>
            <w:pPr>
              <w:spacing w:after="0"/>
              <w:rPr>
                <w:sz w:val="14"/>
                <w:szCs w:val="14"/>
                <w:color w:val="auto"/>
              </w:rPr>
            </w:pP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450,000</w:t>
            </w:r>
          </w:p>
        </w:tc>
        <w:tc>
          <w:tcPr>
            <w:tcW w:w="80" w:type="dxa"/>
            <w:vAlign w:val="bottom"/>
          </w:tcPr>
          <w:p>
            <w:pPr>
              <w:spacing w:after="0"/>
              <w:rPr>
                <w:sz w:val="14"/>
                <w:szCs w:val="14"/>
                <w:color w:val="auto"/>
              </w:rPr>
            </w:pPr>
          </w:p>
        </w:tc>
        <w:tc>
          <w:tcPr>
            <w:tcW w:w="120" w:type="dxa"/>
            <w:vAlign w:val="bottom"/>
            <w:vMerge w:val="restart"/>
          </w:tcPr>
          <w:p>
            <w:pPr>
              <w:ind w:left="20"/>
              <w:spacing w:after="0"/>
              <w:rPr>
                <w:sz w:val="20"/>
                <w:szCs w:val="20"/>
                <w:color w:val="auto"/>
              </w:rPr>
            </w:pPr>
            <w:r>
              <w:rPr>
                <w:rFonts w:ascii="Arial" w:cs="Arial" w:eastAsia="Arial" w:hAnsi="Arial"/>
                <w:sz w:val="16"/>
                <w:szCs w:val="16"/>
                <w:color w:val="auto"/>
                <w:w w:val="89"/>
              </w:rPr>
              <w:t>$</w:t>
            </w: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775,198</w:t>
            </w:r>
          </w:p>
        </w:tc>
        <w:tc>
          <w:tcPr>
            <w:tcW w:w="80" w:type="dxa"/>
            <w:vAlign w:val="bottom"/>
          </w:tcPr>
          <w:p>
            <w:pPr>
              <w:spacing w:after="0"/>
              <w:rPr>
                <w:sz w:val="14"/>
                <w:szCs w:val="14"/>
                <w:color w:val="auto"/>
              </w:rPr>
            </w:pPr>
          </w:p>
        </w:tc>
        <w:tc>
          <w:tcPr>
            <w:tcW w:w="10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gridSpan w:val="2"/>
            <w:vMerge w:val="restart"/>
          </w:tcPr>
          <w:p>
            <w:pPr>
              <w:ind w:left="640"/>
              <w:spacing w:after="0"/>
              <w:rPr>
                <w:sz w:val="20"/>
                <w:szCs w:val="20"/>
                <w:color w:val="auto"/>
              </w:rPr>
            </w:pPr>
            <w:r>
              <w:rPr>
                <w:rFonts w:ascii="Arial" w:cs="Arial" w:eastAsia="Arial" w:hAnsi="Arial"/>
                <w:sz w:val="16"/>
                <w:szCs w:val="16"/>
                <w:color w:val="auto"/>
              </w:rPr>
              <w:t>—</w:t>
            </w:r>
          </w:p>
        </w:tc>
        <w:tc>
          <w:tcPr>
            <w:tcW w:w="160" w:type="dxa"/>
            <w:vAlign w:val="bottom"/>
            <w:vMerge w:val="restart"/>
          </w:tcPr>
          <w:p>
            <w:pPr>
              <w:ind w:left="20"/>
              <w:spacing w:after="0"/>
              <w:rPr>
                <w:sz w:val="20"/>
                <w:szCs w:val="20"/>
                <w:color w:val="auto"/>
              </w:rPr>
            </w:pPr>
            <w:r>
              <w:rPr>
                <w:rFonts w:ascii="Arial" w:cs="Arial" w:eastAsia="Arial" w:hAnsi="Arial"/>
                <w:sz w:val="16"/>
                <w:szCs w:val="16"/>
                <w:color w:val="auto"/>
              </w:rPr>
              <w:t>$</w:t>
            </w:r>
          </w:p>
        </w:tc>
        <w:tc>
          <w:tcPr>
            <w:tcW w:w="860" w:type="dxa"/>
            <w:vAlign w:val="bottom"/>
            <w:gridSpan w:val="2"/>
            <w:vMerge w:val="restart"/>
          </w:tcPr>
          <w:p>
            <w:pPr>
              <w:ind w:left="540"/>
              <w:spacing w:after="0"/>
              <w:rPr>
                <w:sz w:val="20"/>
                <w:szCs w:val="20"/>
                <w:color w:val="auto"/>
              </w:rPr>
            </w:pPr>
            <w:r>
              <w:rPr>
                <w:rFonts w:ascii="Arial" w:cs="Arial" w:eastAsia="Arial" w:hAnsi="Arial"/>
                <w:sz w:val="16"/>
                <w:szCs w:val="16"/>
                <w:color w:val="auto"/>
              </w:rPr>
              <w:t>—</w:t>
            </w:r>
          </w:p>
        </w:tc>
        <w:tc>
          <w:tcPr>
            <w:tcW w:w="120" w:type="dxa"/>
            <w:vAlign w:val="bottom"/>
            <w:vMerge w:val="restart"/>
          </w:tcPr>
          <w:p>
            <w:pPr>
              <w:ind w:left="20"/>
              <w:spacing w:after="0"/>
              <w:rPr>
                <w:sz w:val="20"/>
                <w:szCs w:val="20"/>
                <w:color w:val="auto"/>
              </w:rPr>
            </w:pPr>
            <w:r>
              <w:rPr>
                <w:rFonts w:ascii="Arial" w:cs="Arial" w:eastAsia="Arial" w:hAnsi="Arial"/>
                <w:sz w:val="16"/>
                <w:szCs w:val="16"/>
                <w:color w:val="auto"/>
                <w:w w:val="89"/>
              </w:rPr>
              <w:t>$</w:t>
            </w: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34,000</w:t>
            </w:r>
          </w:p>
        </w:tc>
        <w:tc>
          <w:tcPr>
            <w:tcW w:w="100" w:type="dxa"/>
            <w:vAlign w:val="bottom"/>
          </w:tcPr>
          <w:p>
            <w:pPr>
              <w:spacing w:after="0"/>
              <w:rPr>
                <w:sz w:val="14"/>
                <w:szCs w:val="14"/>
                <w:color w:val="auto"/>
              </w:rPr>
            </w:pPr>
          </w:p>
        </w:tc>
        <w:tc>
          <w:tcPr>
            <w:tcW w:w="180" w:type="dxa"/>
            <w:vAlign w:val="bottom"/>
            <w:vMerge w:val="restart"/>
          </w:tcPr>
          <w:p>
            <w:pPr>
              <w:spacing w:after="0"/>
              <w:rPr>
                <w:sz w:val="20"/>
                <w:szCs w:val="20"/>
                <w:color w:val="auto"/>
              </w:rPr>
            </w:pPr>
            <w:r>
              <w:rPr>
                <w:rFonts w:ascii="Arial" w:cs="Arial" w:eastAsia="Arial" w:hAnsi="Arial"/>
                <w:sz w:val="16"/>
                <w:szCs w:val="16"/>
                <w:color w:val="auto"/>
              </w:rPr>
              <w:t>$</w:t>
            </w: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809,198</w:t>
            </w:r>
          </w:p>
        </w:tc>
        <w:tc>
          <w:tcPr>
            <w:tcW w:w="8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0.27 %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gridSpan w:val="4"/>
          </w:tcPr>
          <w:p>
            <w:pPr>
              <w:ind w:left="200"/>
              <w:spacing w:after="0" w:line="216" w:lineRule="exact"/>
              <w:rPr>
                <w:sz w:val="20"/>
                <w:szCs w:val="20"/>
                <w:color w:val="auto"/>
              </w:rPr>
            </w:pPr>
            <w:r>
              <w:rPr>
                <w:rFonts w:ascii="Arial" w:cs="Arial" w:eastAsia="Arial" w:hAnsi="Arial"/>
                <w:sz w:val="16"/>
                <w:szCs w:val="16"/>
                <w:color w:val="auto"/>
                <w:w w:val="93"/>
              </w:rPr>
              <w:t>Partners, Inc.)–Preferred shares, Class A***</w:t>
            </w:r>
            <w:r>
              <w:rPr>
                <w:rFonts w:ascii="Arial" w:cs="Arial" w:eastAsia="Arial" w:hAnsi="Arial"/>
                <w:sz w:val="21"/>
                <w:szCs w:val="21"/>
                <w:color w:val="auto"/>
                <w:w w:val="93"/>
                <w:vertAlign w:val="superscript"/>
              </w:rPr>
              <w:t>(4)</w:t>
            </w:r>
          </w:p>
        </w:tc>
        <w:tc>
          <w:tcPr>
            <w:tcW w:w="92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vMerge w:val="continue"/>
          </w:tcPr>
          <w:p>
            <w:pPr>
              <w:spacing w:after="0"/>
              <w:rPr>
                <w:sz w:val="18"/>
                <w:szCs w:val="18"/>
                <w:color w:val="auto"/>
              </w:rPr>
            </w:pPr>
          </w:p>
        </w:tc>
        <w:tc>
          <w:tcPr>
            <w:tcW w:w="7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vMerge w:val="continue"/>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160" w:type="dxa"/>
            <w:vAlign w:val="bottom"/>
            <w:vMerge w:val="continue"/>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8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vMerge w:val="continue"/>
          </w:tcPr>
          <w:p>
            <w:pPr>
              <w:spacing w:after="0"/>
              <w:rPr>
                <w:sz w:val="18"/>
                <w:szCs w:val="18"/>
                <w:color w:val="auto"/>
              </w:rPr>
            </w:pPr>
          </w:p>
        </w:tc>
        <w:tc>
          <w:tcPr>
            <w:tcW w:w="6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3300" w:type="dxa"/>
            <w:vAlign w:val="bottom"/>
            <w:gridSpan w:val="4"/>
            <w:shd w:val="clear" w:color="auto" w:fill="CCEEFF"/>
          </w:tcPr>
          <w:p>
            <w:pPr>
              <w:spacing w:after="0"/>
              <w:rPr>
                <w:sz w:val="20"/>
                <w:szCs w:val="20"/>
                <w:color w:val="auto"/>
              </w:rPr>
            </w:pPr>
            <w:r>
              <w:rPr>
                <w:rFonts w:ascii="Arial" w:cs="Arial" w:eastAsia="Arial" w:hAnsi="Arial"/>
                <w:sz w:val="16"/>
                <w:szCs w:val="16"/>
                <w:b w:val="1"/>
                <w:bCs w:val="1"/>
                <w:color w:val="auto"/>
              </w:rPr>
              <w:t>Total Preferred Stock</w:t>
            </w: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450,000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775,198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6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34,000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809,198</w:t>
            </w: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0.27 %</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300" w:type="dxa"/>
            <w:vAlign w:val="bottom"/>
            <w:gridSpan w:val="4"/>
          </w:tcPr>
          <w:p>
            <w:pPr>
              <w:spacing w:after="0"/>
              <w:rPr>
                <w:sz w:val="20"/>
                <w:szCs w:val="20"/>
                <w:color w:val="auto"/>
              </w:rPr>
            </w:pPr>
            <w:r>
              <w:rPr>
                <w:rFonts w:ascii="Arial" w:cs="Arial" w:eastAsia="Arial" w:hAnsi="Arial"/>
                <w:sz w:val="16"/>
                <w:szCs w:val="16"/>
                <w:b w:val="1"/>
                <w:bCs w:val="1"/>
                <w:color w:val="auto"/>
              </w:rPr>
              <w:t>Common Stock</w:t>
            </w: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300" w:type="dxa"/>
            <w:vAlign w:val="bottom"/>
            <w:gridSpan w:val="4"/>
            <w:shd w:val="clear" w:color="auto" w:fill="CCEEFF"/>
          </w:tcPr>
          <w:p>
            <w:pPr>
              <w:ind w:left="120"/>
              <w:spacing w:after="0"/>
              <w:rPr>
                <w:sz w:val="20"/>
                <w:szCs w:val="20"/>
                <w:color w:val="auto"/>
              </w:rPr>
            </w:pPr>
            <w:r>
              <w:rPr>
                <w:rFonts w:ascii="Arial" w:cs="Arial" w:eastAsia="Arial" w:hAnsi="Arial"/>
                <w:sz w:val="16"/>
                <w:szCs w:val="16"/>
                <w:i w:val="1"/>
                <w:iCs w:val="1"/>
                <w:color w:val="auto"/>
              </w:rPr>
              <w:t>Clean Technology</w:t>
            </w: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3300" w:type="dxa"/>
            <w:vAlign w:val="bottom"/>
            <w:gridSpan w:val="4"/>
          </w:tcPr>
          <w:p>
            <w:pPr>
              <w:ind w:left="200"/>
              <w:spacing w:after="0" w:line="166" w:lineRule="exact"/>
              <w:rPr>
                <w:sz w:val="20"/>
                <w:szCs w:val="20"/>
                <w:color w:val="auto"/>
              </w:rPr>
            </w:pPr>
            <w:r>
              <w:rPr>
                <w:rFonts w:ascii="Arial" w:cs="Arial" w:eastAsia="Arial" w:hAnsi="Arial"/>
                <w:sz w:val="16"/>
                <w:szCs w:val="16"/>
                <w:color w:val="auto"/>
              </w:rPr>
              <w:t>SPBRX, INC. (f/k/a GSV Sustainability</w:t>
            </w:r>
          </w:p>
        </w:tc>
        <w:tc>
          <w:tcPr>
            <w:tcW w:w="920" w:type="dxa"/>
            <w:vAlign w:val="bottom"/>
            <w:gridSpan w:val="2"/>
            <w:vMerge w:val="restart"/>
          </w:tcPr>
          <w:p>
            <w:pPr>
              <w:jc w:val="right"/>
              <w:ind w:right="8"/>
              <w:spacing w:after="0"/>
              <w:rPr>
                <w:sz w:val="20"/>
                <w:szCs w:val="20"/>
                <w:color w:val="auto"/>
              </w:rPr>
            </w:pPr>
            <w:r>
              <w:rPr>
                <w:rFonts w:ascii="Arial" w:cs="Arial" w:eastAsia="Arial" w:hAnsi="Arial"/>
                <w:sz w:val="16"/>
                <w:szCs w:val="16"/>
                <w:color w:val="auto"/>
              </w:rPr>
              <w:t>100,000</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84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940" w:type="dxa"/>
            <w:vAlign w:val="bottom"/>
            <w:gridSpan w:val="2"/>
            <w:vMerge w:val="restart"/>
          </w:tcPr>
          <w:p>
            <w:pPr>
              <w:ind w:left="6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860" w:type="dxa"/>
            <w:vAlign w:val="bottom"/>
            <w:gridSpan w:val="2"/>
            <w:vMerge w:val="restart"/>
          </w:tcPr>
          <w:p>
            <w:pPr>
              <w:ind w:left="5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90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4"/>
                <w:szCs w:val="14"/>
                <w:color w:val="auto"/>
              </w:rPr>
            </w:pPr>
          </w:p>
        </w:tc>
        <w:tc>
          <w:tcPr>
            <w:tcW w:w="76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300" w:type="dxa"/>
            <w:vAlign w:val="bottom"/>
            <w:gridSpan w:val="4"/>
          </w:tcPr>
          <w:p>
            <w:pPr>
              <w:ind w:left="200"/>
              <w:spacing w:after="0"/>
              <w:rPr>
                <w:sz w:val="20"/>
                <w:szCs w:val="20"/>
                <w:color w:val="auto"/>
              </w:rPr>
            </w:pPr>
            <w:r>
              <w:rPr>
                <w:rFonts w:ascii="Arial" w:cs="Arial" w:eastAsia="Arial" w:hAnsi="Arial"/>
                <w:sz w:val="16"/>
                <w:szCs w:val="16"/>
                <w:color w:val="auto"/>
              </w:rPr>
              <w:t>Partners, Inc.)–Common shares</w:t>
            </w:r>
          </w:p>
        </w:tc>
        <w:tc>
          <w:tcPr>
            <w:tcW w:w="92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9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3300" w:type="dxa"/>
            <w:vAlign w:val="bottom"/>
            <w:gridSpan w:val="4"/>
            <w:shd w:val="clear" w:color="auto" w:fill="CCEEFF"/>
          </w:tcPr>
          <w:p>
            <w:pPr>
              <w:spacing w:after="0"/>
              <w:rPr>
                <w:sz w:val="20"/>
                <w:szCs w:val="20"/>
                <w:color w:val="auto"/>
              </w:rPr>
            </w:pPr>
            <w:r>
              <w:rPr>
                <w:rFonts w:ascii="Arial" w:cs="Arial" w:eastAsia="Arial" w:hAnsi="Arial"/>
                <w:sz w:val="16"/>
                <w:szCs w:val="16"/>
                <w:b w:val="1"/>
                <w:bCs w:val="1"/>
                <w:color w:val="auto"/>
              </w:rPr>
              <w:t>Total Common Stock</w:t>
            </w: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6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212"/>
        </w:trPr>
        <w:tc>
          <w:tcPr>
            <w:tcW w:w="20" w:type="dxa"/>
            <w:vAlign w:val="bottom"/>
            <w:tcBorders>
              <w:top w:val="single" w:sz="8" w:color="CCEEFF"/>
            </w:tcBorders>
          </w:tcPr>
          <w:p>
            <w:pPr>
              <w:spacing w:after="0"/>
              <w:rPr>
                <w:sz w:val="18"/>
                <w:szCs w:val="18"/>
                <w:color w:val="auto"/>
              </w:rPr>
            </w:pPr>
          </w:p>
        </w:tc>
        <w:tc>
          <w:tcPr>
            <w:tcW w:w="3300" w:type="dxa"/>
            <w:vAlign w:val="bottom"/>
            <w:tcBorders>
              <w:top w:val="single" w:sz="8" w:color="CCEEFF"/>
            </w:tcBorders>
            <w:gridSpan w:val="4"/>
          </w:tcPr>
          <w:p>
            <w:pPr>
              <w:spacing w:after="0" w:line="213" w:lineRule="exact"/>
              <w:rPr>
                <w:sz w:val="20"/>
                <w:szCs w:val="20"/>
                <w:color w:val="auto"/>
              </w:rPr>
            </w:pPr>
            <w:r>
              <w:rPr>
                <w:rFonts w:ascii="Arial" w:cs="Arial" w:eastAsia="Arial" w:hAnsi="Arial"/>
                <w:sz w:val="16"/>
                <w:szCs w:val="16"/>
                <w:b w:val="1"/>
                <w:bCs w:val="1"/>
                <w:color w:val="auto"/>
              </w:rPr>
              <w:t>TOTAL CONTROLLED INVESTMENTS*</w:t>
            </w:r>
            <w:r>
              <w:rPr>
                <w:rFonts w:ascii="Arial" w:cs="Arial" w:eastAsia="Arial" w:hAnsi="Arial"/>
                <w:sz w:val="21"/>
                <w:szCs w:val="21"/>
                <w:b w:val="1"/>
                <w:bCs w:val="1"/>
                <w:color w:val="auto"/>
                <w:vertAlign w:val="superscript"/>
              </w:rPr>
              <w:t>(2)</w:t>
            </w:r>
          </w:p>
        </w:tc>
        <w:tc>
          <w:tcPr>
            <w:tcW w:w="8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450,000</w:t>
            </w: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b w:val="1"/>
                <w:bCs w:val="1"/>
                <w:color w:val="auto"/>
                <w:w w:val="8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775,198</w:t>
            </w: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860" w:type="dxa"/>
            <w:vAlign w:val="bottom"/>
            <w:tcBorders>
              <w:top w:val="single" w:sz="8" w:color="auto"/>
              <w:bottom w:val="single" w:sz="8" w:color="auto"/>
            </w:tcBorders>
          </w:tcPr>
          <w:p>
            <w:pPr>
              <w:ind w:left="640"/>
              <w:spacing w:after="0"/>
              <w:rPr>
                <w:sz w:val="20"/>
                <w:szCs w:val="20"/>
                <w:color w:val="auto"/>
              </w:rPr>
            </w:pPr>
            <w:r>
              <w:rPr>
                <w:rFonts w:ascii="Arial" w:cs="Arial" w:eastAsia="Arial" w:hAnsi="Arial"/>
                <w:sz w:val="16"/>
                <w:szCs w:val="16"/>
                <w:b w:val="1"/>
                <w:bCs w:val="1"/>
                <w:color w:val="auto"/>
              </w:rPr>
              <w:t>—</w:t>
            </w: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b w:val="1"/>
                <w:bCs w:val="1"/>
                <w:color w:val="auto"/>
              </w:rPr>
              <w:t>$</w:t>
            </w:r>
          </w:p>
        </w:tc>
        <w:tc>
          <w:tcPr>
            <w:tcW w:w="780" w:type="dxa"/>
            <w:vAlign w:val="bottom"/>
            <w:tcBorders>
              <w:top w:val="single" w:sz="8" w:color="auto"/>
              <w:bottom w:val="single" w:sz="8" w:color="auto"/>
            </w:tcBorders>
          </w:tcPr>
          <w:p>
            <w:pPr>
              <w:ind w:left="540"/>
              <w:spacing w:after="0"/>
              <w:rPr>
                <w:sz w:val="20"/>
                <w:szCs w:val="20"/>
                <w:color w:val="auto"/>
              </w:rPr>
            </w:pPr>
            <w:r>
              <w:rPr>
                <w:rFonts w:ascii="Arial" w:cs="Arial" w:eastAsia="Arial" w:hAnsi="Arial"/>
                <w:sz w:val="16"/>
                <w:szCs w:val="16"/>
                <w:b w:val="1"/>
                <w:bCs w:val="1"/>
                <w:color w:val="auto"/>
              </w:rPr>
              <w:t>—</w:t>
            </w: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b w:val="1"/>
                <w:bCs w:val="1"/>
                <w:color w:val="auto"/>
                <w:w w:val="8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34,000</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b w:val="1"/>
                <w:bCs w:val="1"/>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809,198</w:t>
            </w:r>
          </w:p>
        </w:tc>
        <w:tc>
          <w:tcPr>
            <w:tcW w:w="80" w:type="dxa"/>
            <w:vAlign w:val="bottom"/>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0.27 %</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shd w:val="clear" w:color="auto" w:fill="CCEEFF"/>
          </w:tcPr>
          <w:p>
            <w:pPr>
              <w:spacing w:after="0"/>
              <w:rPr>
                <w:sz w:val="12"/>
                <w:szCs w:val="12"/>
                <w:color w:val="auto"/>
              </w:rPr>
            </w:pPr>
          </w:p>
        </w:tc>
        <w:tc>
          <w:tcPr>
            <w:tcW w:w="3300" w:type="dxa"/>
            <w:vAlign w:val="bottom"/>
            <w:gridSpan w:val="4"/>
            <w:shd w:val="clear" w:color="auto" w:fill="CCEEFF"/>
          </w:tcPr>
          <w:p>
            <w:pPr>
              <w:spacing w:after="0" w:line="142" w:lineRule="exact"/>
              <w:rPr>
                <w:sz w:val="20"/>
                <w:szCs w:val="20"/>
                <w:color w:val="auto"/>
              </w:rPr>
            </w:pPr>
            <w:r>
              <w:rPr>
                <w:rFonts w:ascii="Arial" w:cs="Arial" w:eastAsia="Arial" w:hAnsi="Arial"/>
                <w:sz w:val="16"/>
                <w:szCs w:val="16"/>
                <w:b w:val="1"/>
                <w:bCs w:val="1"/>
                <w:color w:val="auto"/>
              </w:rPr>
              <w:t>NON-CONTROLLED/AFFILIATE</w:t>
            </w: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Borders>
              <w:top w:val="single" w:sz="8" w:color="CCEEFF"/>
            </w:tcBorders>
            <w:shd w:val="clear" w:color="auto" w:fill="CCEEFF"/>
          </w:tcPr>
          <w:p>
            <w:pPr>
              <w:spacing w:after="0"/>
              <w:rPr>
                <w:sz w:val="12"/>
                <w:szCs w:val="12"/>
                <w:color w:val="auto"/>
              </w:rPr>
            </w:pPr>
          </w:p>
        </w:tc>
        <w:tc>
          <w:tcPr>
            <w:tcW w:w="2480" w:type="dxa"/>
            <w:vAlign w:val="bottom"/>
            <w:tcBorders>
              <w:top w:val="single" w:sz="8" w:color="auto"/>
            </w:tcBorders>
            <w:gridSpan w:val="3"/>
            <w:shd w:val="clear" w:color="auto" w:fill="CCEEFF"/>
          </w:tcPr>
          <w:p>
            <w:pPr>
              <w:spacing w:after="0" w:line="142" w:lineRule="exact"/>
              <w:rPr>
                <w:sz w:val="20"/>
                <w:szCs w:val="20"/>
                <w:color w:val="auto"/>
              </w:rPr>
            </w:pPr>
            <w:r>
              <w:rPr>
                <w:rFonts w:ascii="Arial" w:cs="Arial" w:eastAsia="Arial" w:hAnsi="Arial"/>
                <w:sz w:val="13"/>
                <w:szCs w:val="13"/>
                <w:b w:val="1"/>
                <w:bCs w:val="1"/>
                <w:color w:val="auto"/>
              </w:rPr>
              <w:t>INVESTMENTS*</w:t>
            </w:r>
            <w:r>
              <w:rPr>
                <w:rFonts w:ascii="Arial" w:cs="Arial" w:eastAsia="Arial" w:hAnsi="Arial"/>
                <w:sz w:val="16"/>
                <w:szCs w:val="16"/>
                <w:b w:val="1"/>
                <w:bCs w:val="1"/>
                <w:color w:val="auto"/>
                <w:vertAlign w:val="superscript"/>
              </w:rPr>
              <w:t>(1)</w:t>
            </w:r>
          </w:p>
        </w:tc>
        <w:tc>
          <w:tcPr>
            <w:tcW w:w="8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8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8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8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9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auto"/>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3300" w:type="dxa"/>
            <w:vAlign w:val="bottom"/>
            <w:gridSpan w:val="4"/>
          </w:tcPr>
          <w:p>
            <w:pPr>
              <w:spacing w:after="0"/>
              <w:rPr>
                <w:sz w:val="20"/>
                <w:szCs w:val="20"/>
                <w:color w:val="auto"/>
              </w:rPr>
            </w:pPr>
            <w:r>
              <w:rPr>
                <w:rFonts w:ascii="Arial" w:cs="Arial" w:eastAsia="Arial" w:hAnsi="Arial"/>
                <w:sz w:val="16"/>
                <w:szCs w:val="16"/>
                <w:b w:val="1"/>
                <w:bCs w:val="1"/>
                <w:color w:val="auto"/>
              </w:rPr>
              <w:t>Debt Investments</w:t>
            </w: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300" w:type="dxa"/>
            <w:vAlign w:val="bottom"/>
            <w:gridSpan w:val="4"/>
            <w:shd w:val="clear" w:color="auto" w:fill="CCEEFF"/>
          </w:tcPr>
          <w:p>
            <w:pPr>
              <w:ind w:left="120"/>
              <w:spacing w:after="0"/>
              <w:rPr>
                <w:sz w:val="20"/>
                <w:szCs w:val="20"/>
                <w:color w:val="auto"/>
              </w:rPr>
            </w:pPr>
            <w:r>
              <w:rPr>
                <w:rFonts w:ascii="Arial" w:cs="Arial" w:eastAsia="Arial" w:hAnsi="Arial"/>
                <w:sz w:val="16"/>
                <w:szCs w:val="16"/>
                <w:i w:val="1"/>
                <w:iCs w:val="1"/>
                <w:color w:val="auto"/>
              </w:rPr>
              <w:t>Corporate Education</w:t>
            </w: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3300" w:type="dxa"/>
            <w:vAlign w:val="bottom"/>
            <w:gridSpan w:val="4"/>
          </w:tcPr>
          <w:p>
            <w:pPr>
              <w:ind w:left="200"/>
              <w:spacing w:after="0" w:line="166" w:lineRule="exact"/>
              <w:rPr>
                <w:sz w:val="20"/>
                <w:szCs w:val="20"/>
                <w:color w:val="auto"/>
              </w:rPr>
            </w:pPr>
            <w:r>
              <w:rPr>
                <w:rFonts w:ascii="Arial" w:cs="Arial" w:eastAsia="Arial" w:hAnsi="Arial"/>
                <w:sz w:val="16"/>
                <w:szCs w:val="16"/>
                <w:color w:val="auto"/>
                <w:w w:val="94"/>
              </w:rPr>
              <w:t>CUX, Inc. (d/b/a CorpU)–Senior Subordinated</w:t>
            </w: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3300" w:type="dxa"/>
            <w:vAlign w:val="bottom"/>
            <w:gridSpan w:val="4"/>
          </w:tcPr>
          <w:p>
            <w:pPr>
              <w:ind w:left="200"/>
              <w:spacing w:after="0" w:line="158" w:lineRule="exact"/>
              <w:rPr>
                <w:sz w:val="20"/>
                <w:szCs w:val="20"/>
                <w:color w:val="auto"/>
              </w:rPr>
            </w:pPr>
            <w:r>
              <w:rPr>
                <w:rFonts w:ascii="Arial" w:cs="Arial" w:eastAsia="Arial" w:hAnsi="Arial"/>
                <w:sz w:val="16"/>
                <w:szCs w:val="16"/>
                <w:color w:val="auto"/>
              </w:rPr>
              <w:t>Convertible Promissory Note 4% Due</w:t>
            </w:r>
          </w:p>
        </w:tc>
        <w:tc>
          <w:tcPr>
            <w:tcW w:w="920" w:type="dxa"/>
            <w:vAlign w:val="bottom"/>
            <w:gridSpan w:val="2"/>
            <w:vMerge w:val="restart"/>
          </w:tcPr>
          <w:p>
            <w:pPr>
              <w:jc w:val="right"/>
              <w:ind w:right="8"/>
              <w:spacing w:after="0"/>
              <w:rPr>
                <w:sz w:val="20"/>
                <w:szCs w:val="20"/>
                <w:color w:val="auto"/>
              </w:rPr>
            </w:pPr>
            <w:r>
              <w:rPr>
                <w:rFonts w:ascii="Arial" w:cs="Arial" w:eastAsia="Arial" w:hAnsi="Arial"/>
                <w:sz w:val="16"/>
                <w:szCs w:val="16"/>
                <w:color w:val="auto"/>
              </w:rPr>
              <w:t>$1,251,158</w:t>
            </w:r>
          </w:p>
        </w:tc>
        <w:tc>
          <w:tcPr>
            <w:tcW w:w="80" w:type="dxa"/>
            <w:vAlign w:val="bottom"/>
          </w:tcPr>
          <w:p>
            <w:pPr>
              <w:spacing w:after="0"/>
              <w:rPr>
                <w:sz w:val="13"/>
                <w:szCs w:val="13"/>
                <w:color w:val="auto"/>
              </w:rPr>
            </w:pP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vMerge w:val="restart"/>
          </w:tcPr>
          <w:p>
            <w:pPr>
              <w:ind w:left="20"/>
              <w:spacing w:after="0"/>
              <w:rPr>
                <w:sz w:val="20"/>
                <w:szCs w:val="20"/>
                <w:color w:val="auto"/>
              </w:rPr>
            </w:pPr>
            <w:r>
              <w:rPr>
                <w:rFonts w:ascii="Arial" w:cs="Arial" w:eastAsia="Arial" w:hAnsi="Arial"/>
                <w:sz w:val="16"/>
                <w:szCs w:val="16"/>
                <w:color w:val="auto"/>
                <w:w w:val="89"/>
              </w:rPr>
              <w:t>$</w:t>
            </w: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312,789</w:t>
            </w:r>
          </w:p>
        </w:tc>
        <w:tc>
          <w:tcPr>
            <w:tcW w:w="80" w:type="dxa"/>
            <w:vAlign w:val="bottom"/>
          </w:tcPr>
          <w:p>
            <w:pPr>
              <w:spacing w:after="0"/>
              <w:rPr>
                <w:sz w:val="13"/>
                <w:szCs w:val="13"/>
                <w:color w:val="auto"/>
              </w:rPr>
            </w:pPr>
          </w:p>
        </w:tc>
        <w:tc>
          <w:tcPr>
            <w:tcW w:w="10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gridSpan w:val="2"/>
            <w:vMerge w:val="restart"/>
          </w:tcPr>
          <w:p>
            <w:pPr>
              <w:ind w:left="640"/>
              <w:spacing w:after="0"/>
              <w:rPr>
                <w:sz w:val="20"/>
                <w:szCs w:val="20"/>
                <w:color w:val="auto"/>
              </w:rPr>
            </w:pPr>
            <w:r>
              <w:rPr>
                <w:rFonts w:ascii="Arial" w:cs="Arial" w:eastAsia="Arial" w:hAnsi="Arial"/>
                <w:sz w:val="16"/>
                <w:szCs w:val="16"/>
                <w:color w:val="auto"/>
              </w:rPr>
              <w:t>—</w:t>
            </w:r>
          </w:p>
        </w:tc>
        <w:tc>
          <w:tcPr>
            <w:tcW w:w="160" w:type="dxa"/>
            <w:vAlign w:val="bottom"/>
            <w:vMerge w:val="restart"/>
          </w:tcPr>
          <w:p>
            <w:pPr>
              <w:ind w:left="20"/>
              <w:spacing w:after="0"/>
              <w:rPr>
                <w:sz w:val="20"/>
                <w:szCs w:val="20"/>
                <w:color w:val="auto"/>
              </w:rPr>
            </w:pPr>
            <w:r>
              <w:rPr>
                <w:rFonts w:ascii="Arial" w:cs="Arial" w:eastAsia="Arial" w:hAnsi="Arial"/>
                <w:sz w:val="16"/>
                <w:szCs w:val="16"/>
                <w:color w:val="auto"/>
              </w:rPr>
              <w:t>$</w:t>
            </w:r>
          </w:p>
        </w:tc>
        <w:tc>
          <w:tcPr>
            <w:tcW w:w="860" w:type="dxa"/>
            <w:vAlign w:val="bottom"/>
            <w:gridSpan w:val="2"/>
            <w:vMerge w:val="restart"/>
          </w:tcPr>
          <w:p>
            <w:pPr>
              <w:ind w:left="540"/>
              <w:spacing w:after="0"/>
              <w:rPr>
                <w:sz w:val="20"/>
                <w:szCs w:val="20"/>
                <w:color w:val="auto"/>
              </w:rPr>
            </w:pPr>
            <w:r>
              <w:rPr>
                <w:rFonts w:ascii="Arial" w:cs="Arial" w:eastAsia="Arial" w:hAnsi="Arial"/>
                <w:sz w:val="16"/>
                <w:szCs w:val="16"/>
                <w:color w:val="auto"/>
              </w:rPr>
              <w:t>—</w:t>
            </w:r>
          </w:p>
        </w:tc>
        <w:tc>
          <w:tcPr>
            <w:tcW w:w="120" w:type="dxa"/>
            <w:vAlign w:val="bottom"/>
            <w:vMerge w:val="restart"/>
          </w:tcPr>
          <w:p>
            <w:pPr>
              <w:ind w:left="20"/>
              <w:spacing w:after="0"/>
              <w:rPr>
                <w:sz w:val="20"/>
                <w:szCs w:val="20"/>
                <w:color w:val="auto"/>
              </w:rPr>
            </w:pPr>
            <w:r>
              <w:rPr>
                <w:rFonts w:ascii="Arial" w:cs="Arial" w:eastAsia="Arial" w:hAnsi="Arial"/>
                <w:sz w:val="16"/>
                <w:szCs w:val="16"/>
                <w:color w:val="auto"/>
                <w:w w:val="89"/>
              </w:rPr>
              <w:t>$</w:t>
            </w: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3"/>
                <w:szCs w:val="13"/>
                <w:color w:val="auto"/>
              </w:rPr>
            </w:pPr>
          </w:p>
        </w:tc>
        <w:tc>
          <w:tcPr>
            <w:tcW w:w="180" w:type="dxa"/>
            <w:vAlign w:val="bottom"/>
            <w:vMerge w:val="restart"/>
          </w:tcPr>
          <w:p>
            <w:pPr>
              <w:spacing w:after="0"/>
              <w:rPr>
                <w:sz w:val="20"/>
                <w:szCs w:val="20"/>
                <w:color w:val="auto"/>
              </w:rPr>
            </w:pPr>
            <w:r>
              <w:rPr>
                <w:rFonts w:ascii="Arial" w:cs="Arial" w:eastAsia="Arial" w:hAnsi="Arial"/>
                <w:sz w:val="16"/>
                <w:szCs w:val="16"/>
                <w:color w:val="auto"/>
              </w:rPr>
              <w:t>$</w:t>
            </w: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312,790</w:t>
            </w:r>
          </w:p>
        </w:tc>
        <w:tc>
          <w:tcPr>
            <w:tcW w:w="80" w:type="dxa"/>
            <w:vAlign w:val="bottom"/>
          </w:tcPr>
          <w:p>
            <w:pPr>
              <w:spacing w:after="0"/>
              <w:rPr>
                <w:sz w:val="13"/>
                <w:szCs w:val="13"/>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0.10 %</w:t>
            </w:r>
          </w:p>
        </w:tc>
        <w:tc>
          <w:tcPr>
            <w:tcW w:w="0" w:type="dxa"/>
            <w:vAlign w:val="bottom"/>
          </w:tcPr>
          <w:p>
            <w:pPr>
              <w:spacing w:after="0"/>
              <w:rPr>
                <w:sz w:val="1"/>
                <w:szCs w:val="1"/>
                <w:color w:val="auto"/>
              </w:rPr>
            </w:pPr>
          </w:p>
        </w:tc>
      </w:tr>
      <w:tr>
        <w:trPr>
          <w:trHeight w:val="216"/>
        </w:trPr>
        <w:tc>
          <w:tcPr>
            <w:tcW w:w="1200" w:type="dxa"/>
            <w:vAlign w:val="bottom"/>
            <w:gridSpan w:val="2"/>
          </w:tcPr>
          <w:p>
            <w:pPr>
              <w:ind w:left="220"/>
              <w:spacing w:after="0" w:line="216" w:lineRule="exact"/>
              <w:rPr>
                <w:sz w:val="20"/>
                <w:szCs w:val="20"/>
                <w:color w:val="auto"/>
              </w:rPr>
            </w:pPr>
            <w:r>
              <w:rPr>
                <w:rFonts w:ascii="Arial" w:cs="Arial" w:eastAsia="Arial" w:hAnsi="Arial"/>
                <w:sz w:val="16"/>
                <w:szCs w:val="16"/>
                <w:color w:val="auto"/>
              </w:rPr>
              <w:t>2/14/2023</w:t>
            </w:r>
            <w:r>
              <w:rPr>
                <w:rFonts w:ascii="Arial" w:cs="Arial" w:eastAsia="Arial" w:hAnsi="Arial"/>
                <w:sz w:val="21"/>
                <w:szCs w:val="21"/>
                <w:color w:val="auto"/>
                <w:vertAlign w:val="superscript"/>
              </w:rPr>
              <w:t>(3)</w:t>
            </w: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vMerge w:val="continue"/>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7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vMerge w:val="continue"/>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160" w:type="dxa"/>
            <w:vAlign w:val="bottom"/>
            <w:vMerge w:val="continue"/>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8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vMerge w:val="continue"/>
          </w:tcPr>
          <w:p>
            <w:pPr>
              <w:spacing w:after="0"/>
              <w:rPr>
                <w:sz w:val="18"/>
                <w:szCs w:val="18"/>
                <w:color w:val="auto"/>
              </w:rPr>
            </w:pPr>
          </w:p>
        </w:tc>
        <w:tc>
          <w:tcPr>
            <w:tcW w:w="6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3300" w:type="dxa"/>
            <w:vAlign w:val="bottom"/>
            <w:gridSpan w:val="4"/>
            <w:shd w:val="clear" w:color="auto" w:fill="CCEEFF"/>
          </w:tcPr>
          <w:p>
            <w:pPr>
              <w:ind w:left="120"/>
              <w:spacing w:after="0"/>
              <w:rPr>
                <w:sz w:val="20"/>
                <w:szCs w:val="20"/>
                <w:color w:val="auto"/>
              </w:rPr>
            </w:pPr>
            <w:r>
              <w:rPr>
                <w:rFonts w:ascii="Arial" w:cs="Arial" w:eastAsia="Arial" w:hAnsi="Arial"/>
                <w:sz w:val="16"/>
                <w:szCs w:val="16"/>
                <w:i w:val="1"/>
                <w:iCs w:val="1"/>
                <w:color w:val="auto"/>
              </w:rPr>
              <w:t>Global Innovation Platform</w:t>
            </w: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3300" w:type="dxa"/>
            <w:vAlign w:val="bottom"/>
            <w:gridSpan w:val="4"/>
          </w:tcPr>
          <w:p>
            <w:pPr>
              <w:ind w:left="200"/>
              <w:spacing w:after="0" w:line="166" w:lineRule="exact"/>
              <w:rPr>
                <w:sz w:val="20"/>
                <w:szCs w:val="20"/>
                <w:color w:val="auto"/>
              </w:rPr>
            </w:pPr>
            <w:r>
              <w:rPr>
                <w:rFonts w:ascii="Arial" w:cs="Arial" w:eastAsia="Arial" w:hAnsi="Arial"/>
                <w:sz w:val="16"/>
                <w:szCs w:val="16"/>
                <w:color w:val="auto"/>
              </w:rPr>
              <w:t>NestGSV, Inc. (d/b/a OneValley, Inc.) –</w:t>
            </w: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3300" w:type="dxa"/>
            <w:vAlign w:val="bottom"/>
            <w:gridSpan w:val="4"/>
          </w:tcPr>
          <w:p>
            <w:pPr>
              <w:ind w:left="200"/>
              <w:spacing w:after="0" w:line="158" w:lineRule="exact"/>
              <w:rPr>
                <w:sz w:val="20"/>
                <w:szCs w:val="20"/>
                <w:color w:val="auto"/>
              </w:rPr>
            </w:pPr>
            <w:r>
              <w:rPr>
                <w:rFonts w:ascii="Arial" w:cs="Arial" w:eastAsia="Arial" w:hAnsi="Arial"/>
                <w:sz w:val="16"/>
                <w:szCs w:val="16"/>
                <w:color w:val="auto"/>
              </w:rPr>
              <w:t>Convertible Promissory Note 8% Due</w:t>
            </w:r>
          </w:p>
        </w:tc>
        <w:tc>
          <w:tcPr>
            <w:tcW w:w="920" w:type="dxa"/>
            <w:vAlign w:val="bottom"/>
            <w:gridSpan w:val="2"/>
            <w:vMerge w:val="restart"/>
          </w:tcPr>
          <w:p>
            <w:pPr>
              <w:jc w:val="right"/>
              <w:ind w:right="8"/>
              <w:spacing w:after="0"/>
              <w:rPr>
                <w:sz w:val="20"/>
                <w:szCs w:val="20"/>
                <w:color w:val="auto"/>
              </w:rPr>
            </w:pPr>
            <w:r>
              <w:rPr>
                <w:rFonts w:ascii="Arial" w:cs="Arial" w:eastAsia="Arial" w:hAnsi="Arial"/>
                <w:sz w:val="16"/>
                <w:szCs w:val="16"/>
                <w:color w:val="auto"/>
              </w:rPr>
              <w:t>$1,010,198</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(29,184)</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w w:val="92"/>
              </w:rPr>
              <w:t>1,010,198</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vMerge w:val="restart"/>
          </w:tcPr>
          <w:p>
            <w:pPr>
              <w:ind w:left="6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3"/>
                <w:szCs w:val="13"/>
                <w:color w:val="auto"/>
              </w:rPr>
            </w:pPr>
          </w:p>
        </w:tc>
        <w:tc>
          <w:tcPr>
            <w:tcW w:w="860" w:type="dxa"/>
            <w:vAlign w:val="bottom"/>
            <w:gridSpan w:val="2"/>
            <w:vMerge w:val="restart"/>
          </w:tcPr>
          <w:p>
            <w:pPr>
              <w:ind w:left="5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3"/>
                <w:szCs w:val="13"/>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(505,099)</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505,099</w:t>
            </w:r>
          </w:p>
        </w:tc>
        <w:tc>
          <w:tcPr>
            <w:tcW w:w="80" w:type="dxa"/>
            <w:vAlign w:val="bottom"/>
          </w:tcPr>
          <w:p>
            <w:pPr>
              <w:spacing w:after="0"/>
              <w:rPr>
                <w:sz w:val="13"/>
                <w:szCs w:val="13"/>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0.17 %</w:t>
            </w:r>
          </w:p>
        </w:tc>
        <w:tc>
          <w:tcPr>
            <w:tcW w:w="0" w:type="dxa"/>
            <w:vAlign w:val="bottom"/>
          </w:tcPr>
          <w:p>
            <w:pPr>
              <w:spacing w:after="0"/>
              <w:rPr>
                <w:sz w:val="1"/>
                <w:szCs w:val="1"/>
                <w:color w:val="auto"/>
              </w:rPr>
            </w:pPr>
          </w:p>
        </w:tc>
      </w:tr>
      <w:tr>
        <w:trPr>
          <w:trHeight w:val="216"/>
        </w:trPr>
        <w:tc>
          <w:tcPr>
            <w:tcW w:w="1200" w:type="dxa"/>
            <w:vAlign w:val="bottom"/>
            <w:gridSpan w:val="2"/>
          </w:tcPr>
          <w:p>
            <w:pPr>
              <w:ind w:left="220"/>
              <w:spacing w:after="0" w:line="216" w:lineRule="exact"/>
              <w:rPr>
                <w:sz w:val="20"/>
                <w:szCs w:val="20"/>
                <w:color w:val="auto"/>
              </w:rPr>
            </w:pPr>
            <w:r>
              <w:rPr>
                <w:rFonts w:ascii="Arial" w:cs="Arial" w:eastAsia="Arial" w:hAnsi="Arial"/>
                <w:sz w:val="16"/>
                <w:szCs w:val="16"/>
                <w:color w:val="auto"/>
                <w:w w:val="91"/>
              </w:rPr>
              <w:t>8/23/2024</w:t>
            </w:r>
            <w:r>
              <w:rPr>
                <w:rFonts w:ascii="Arial" w:cs="Arial" w:eastAsia="Arial" w:hAnsi="Arial"/>
                <w:sz w:val="21"/>
                <w:szCs w:val="21"/>
                <w:color w:val="auto"/>
                <w:w w:val="91"/>
                <w:vertAlign w:val="superscript"/>
              </w:rPr>
              <w:t>(3)(6)</w:t>
            </w: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3300" w:type="dxa"/>
            <w:vAlign w:val="bottom"/>
            <w:gridSpan w:val="4"/>
            <w:shd w:val="clear" w:color="auto" w:fill="CCEEFF"/>
          </w:tcPr>
          <w:p>
            <w:pPr>
              <w:spacing w:after="0"/>
              <w:rPr>
                <w:sz w:val="20"/>
                <w:szCs w:val="20"/>
                <w:color w:val="auto"/>
              </w:rPr>
            </w:pPr>
            <w:r>
              <w:rPr>
                <w:rFonts w:ascii="Arial" w:cs="Arial" w:eastAsia="Arial" w:hAnsi="Arial"/>
                <w:sz w:val="16"/>
                <w:szCs w:val="16"/>
                <w:b w:val="1"/>
                <w:bCs w:val="1"/>
                <w:color w:val="auto"/>
              </w:rPr>
              <w:t>Total Debt Investments</w:t>
            </w: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(29,184)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2"/>
              </w:rPr>
              <w:t>1,322,987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6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(505,098)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817,889</w:t>
            </w: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0.27 %</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300" w:type="dxa"/>
            <w:vAlign w:val="bottom"/>
            <w:gridSpan w:val="4"/>
          </w:tcPr>
          <w:p>
            <w:pPr>
              <w:spacing w:after="0"/>
              <w:rPr>
                <w:sz w:val="20"/>
                <w:szCs w:val="20"/>
                <w:color w:val="auto"/>
              </w:rPr>
            </w:pPr>
            <w:r>
              <w:rPr>
                <w:rFonts w:ascii="Arial" w:cs="Arial" w:eastAsia="Arial" w:hAnsi="Arial"/>
                <w:sz w:val="16"/>
                <w:szCs w:val="16"/>
                <w:b w:val="1"/>
                <w:bCs w:val="1"/>
                <w:color w:val="auto"/>
              </w:rPr>
              <w:t>Preferred Stock</w:t>
            </w: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300" w:type="dxa"/>
            <w:vAlign w:val="bottom"/>
            <w:gridSpan w:val="4"/>
            <w:shd w:val="clear" w:color="auto" w:fill="CCEEFF"/>
          </w:tcPr>
          <w:p>
            <w:pPr>
              <w:ind w:left="120"/>
              <w:spacing w:after="0"/>
              <w:rPr>
                <w:sz w:val="20"/>
                <w:szCs w:val="20"/>
                <w:color w:val="auto"/>
              </w:rPr>
            </w:pPr>
            <w:r>
              <w:rPr>
                <w:rFonts w:ascii="Arial" w:cs="Arial" w:eastAsia="Arial" w:hAnsi="Arial"/>
                <w:sz w:val="16"/>
                <w:szCs w:val="16"/>
                <w:i w:val="1"/>
                <w:iCs w:val="1"/>
                <w:color w:val="auto"/>
              </w:rPr>
              <w:t>Corporate Education</w:t>
            </w: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3300" w:type="dxa"/>
            <w:vAlign w:val="bottom"/>
            <w:gridSpan w:val="4"/>
          </w:tcPr>
          <w:p>
            <w:pPr>
              <w:ind w:left="200"/>
              <w:spacing w:after="0" w:line="166" w:lineRule="exact"/>
              <w:rPr>
                <w:sz w:val="20"/>
                <w:szCs w:val="20"/>
                <w:color w:val="auto"/>
              </w:rPr>
            </w:pPr>
            <w:r>
              <w:rPr>
                <w:rFonts w:ascii="Arial" w:cs="Arial" w:eastAsia="Arial" w:hAnsi="Arial"/>
                <w:sz w:val="16"/>
                <w:szCs w:val="16"/>
                <w:color w:val="auto"/>
              </w:rPr>
              <w:t>CUX, Inc. (d/b/a CorpU)–Convertible</w:t>
            </w:r>
          </w:p>
        </w:tc>
        <w:tc>
          <w:tcPr>
            <w:tcW w:w="920" w:type="dxa"/>
            <w:vAlign w:val="bottom"/>
            <w:gridSpan w:val="2"/>
            <w:vMerge w:val="restart"/>
          </w:tcPr>
          <w:p>
            <w:pPr>
              <w:jc w:val="right"/>
              <w:ind w:right="8"/>
              <w:spacing w:after="0"/>
              <w:rPr>
                <w:sz w:val="20"/>
                <w:szCs w:val="20"/>
                <w:color w:val="auto"/>
              </w:rPr>
            </w:pPr>
            <w:r>
              <w:rPr>
                <w:rFonts w:ascii="Arial" w:cs="Arial" w:eastAsia="Arial" w:hAnsi="Arial"/>
                <w:sz w:val="16"/>
                <w:szCs w:val="16"/>
                <w:color w:val="auto"/>
              </w:rPr>
              <w:t>169,033</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34,980</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vMerge w:val="restart"/>
          </w:tcPr>
          <w:p>
            <w:pPr>
              <w:ind w:left="6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860" w:type="dxa"/>
            <w:vAlign w:val="bottom"/>
            <w:gridSpan w:val="2"/>
            <w:vMerge w:val="restart"/>
          </w:tcPr>
          <w:p>
            <w:pPr>
              <w:ind w:left="5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38,902</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73,882</w:t>
            </w:r>
          </w:p>
        </w:tc>
        <w:tc>
          <w:tcPr>
            <w:tcW w:w="8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0.02 %</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300" w:type="dxa"/>
            <w:vAlign w:val="bottom"/>
            <w:gridSpan w:val="4"/>
          </w:tcPr>
          <w:p>
            <w:pPr>
              <w:ind w:left="200"/>
              <w:spacing w:after="0"/>
              <w:rPr>
                <w:sz w:val="20"/>
                <w:szCs w:val="20"/>
                <w:color w:val="auto"/>
              </w:rPr>
            </w:pPr>
            <w:r>
              <w:rPr>
                <w:rFonts w:ascii="Arial" w:cs="Arial" w:eastAsia="Arial" w:hAnsi="Arial"/>
                <w:sz w:val="16"/>
                <w:szCs w:val="16"/>
                <w:color w:val="auto"/>
              </w:rPr>
              <w:t>preferred shares, Series D 6%</w:t>
            </w:r>
          </w:p>
        </w:tc>
        <w:tc>
          <w:tcPr>
            <w:tcW w:w="92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20" w:type="dxa"/>
            <w:vAlign w:val="bottom"/>
            <w:shd w:val="clear" w:color="auto" w:fill="CCEEFF"/>
          </w:tcPr>
          <w:p>
            <w:pPr>
              <w:spacing w:after="0"/>
              <w:rPr>
                <w:sz w:val="14"/>
                <w:szCs w:val="14"/>
                <w:color w:val="auto"/>
              </w:rPr>
            </w:pPr>
          </w:p>
        </w:tc>
        <w:tc>
          <w:tcPr>
            <w:tcW w:w="3300" w:type="dxa"/>
            <w:vAlign w:val="bottom"/>
            <w:gridSpan w:val="4"/>
            <w:shd w:val="clear" w:color="auto" w:fill="CCEEFF"/>
          </w:tcPr>
          <w:p>
            <w:pPr>
              <w:ind w:left="200"/>
              <w:spacing w:after="0" w:line="169" w:lineRule="exact"/>
              <w:rPr>
                <w:sz w:val="20"/>
                <w:szCs w:val="20"/>
                <w:color w:val="auto"/>
              </w:rPr>
            </w:pPr>
            <w:r>
              <w:rPr>
                <w:rFonts w:ascii="Arial" w:cs="Arial" w:eastAsia="Arial" w:hAnsi="Arial"/>
                <w:sz w:val="16"/>
                <w:szCs w:val="16"/>
                <w:color w:val="auto"/>
              </w:rPr>
              <w:t>CUX, Inc. (d/b/a CorpU) -Convertible</w:t>
            </w:r>
          </w:p>
        </w:tc>
        <w:tc>
          <w:tcPr>
            <w:tcW w:w="920" w:type="dxa"/>
            <w:vAlign w:val="bottom"/>
            <w:gridSpan w:val="2"/>
            <w:vMerge w:val="restart"/>
            <w:shd w:val="clear" w:color="auto" w:fill="CCEEFF"/>
          </w:tcPr>
          <w:p>
            <w:pPr>
              <w:jc w:val="right"/>
              <w:ind w:right="8"/>
              <w:spacing w:after="0"/>
              <w:rPr>
                <w:sz w:val="20"/>
                <w:szCs w:val="20"/>
                <w:color w:val="auto"/>
              </w:rPr>
            </w:pPr>
            <w:r>
              <w:rPr>
                <w:rFonts w:ascii="Arial" w:cs="Arial" w:eastAsia="Arial" w:hAnsi="Arial"/>
                <w:sz w:val="16"/>
                <w:szCs w:val="16"/>
                <w:color w:val="auto"/>
              </w:rPr>
              <w:t>615,763</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vMerge w:val="restart"/>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vMerge w:val="restart"/>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ind w:left="640"/>
              <w:spacing w:after="0"/>
              <w:rPr>
                <w:sz w:val="20"/>
                <w:szCs w:val="20"/>
                <w:color w:val="auto"/>
              </w:rPr>
            </w:pPr>
            <w:r>
              <w:rPr>
                <w:rFonts w:ascii="Arial" w:cs="Arial" w:eastAsia="Arial" w:hAnsi="Arial"/>
                <w:sz w:val="16"/>
                <w:szCs w:val="16"/>
                <w:color w:val="auto"/>
              </w:rPr>
              <w:t>—</w:t>
            </w:r>
          </w:p>
        </w:tc>
        <w:tc>
          <w:tcPr>
            <w:tcW w:w="80" w:type="dxa"/>
            <w:vAlign w:val="bottom"/>
            <w:vMerge w:val="restart"/>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80" w:type="dxa"/>
            <w:vAlign w:val="bottom"/>
            <w:vMerge w:val="restart"/>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vMerge w:val="restart"/>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vMerge w:val="restart"/>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3300" w:type="dxa"/>
            <w:vAlign w:val="bottom"/>
            <w:tcBorders>
              <w:bottom w:val="single" w:sz="8" w:color="CCEEFF"/>
            </w:tcBorders>
            <w:gridSpan w:val="4"/>
            <w:shd w:val="clear" w:color="auto" w:fill="CCEEFF"/>
          </w:tcPr>
          <w:p>
            <w:pPr>
              <w:ind w:left="200"/>
              <w:spacing w:after="0"/>
              <w:rPr>
                <w:sz w:val="20"/>
                <w:szCs w:val="20"/>
                <w:color w:val="auto"/>
              </w:rPr>
            </w:pPr>
            <w:r>
              <w:rPr>
                <w:rFonts w:ascii="Arial" w:cs="Arial" w:eastAsia="Arial" w:hAnsi="Arial"/>
                <w:sz w:val="16"/>
                <w:szCs w:val="16"/>
                <w:color w:val="auto"/>
              </w:rPr>
              <w:t>preferred shares, Series C 8%</w:t>
            </w:r>
          </w:p>
        </w:tc>
        <w:tc>
          <w:tcPr>
            <w:tcW w:w="920" w:type="dxa"/>
            <w:vAlign w:val="bottom"/>
            <w:tcBorders>
              <w:bottom w:val="single" w:sz="8" w:color="CCEEFF"/>
            </w:tcBorders>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vMerge w:val="continue"/>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tcBorders>
              <w:bottom w:val="single" w:sz="8" w:color="CCEEFF"/>
            </w:tcBorders>
            <w:vMerge w:val="continue"/>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vMerge w:val="continue"/>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vMerge w:val="continue"/>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vMerge w:val="continue"/>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tcBorders>
              <w:bottom w:val="single" w:sz="8" w:color="CCEEFF"/>
            </w:tcBorders>
            <w:vMerge w:val="continue"/>
            <w:shd w:val="clear" w:color="auto" w:fill="CCEEFF"/>
          </w:tcPr>
          <w:p>
            <w:pPr>
              <w:spacing w:after="0"/>
              <w:rPr>
                <w:sz w:val="18"/>
                <w:szCs w:val="18"/>
                <w:color w:val="auto"/>
              </w:rPr>
            </w:pPr>
          </w:p>
        </w:tc>
        <w:tc>
          <w:tcPr>
            <w:tcW w:w="90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300" w:type="dxa"/>
            <w:vAlign w:val="bottom"/>
            <w:gridSpan w:val="4"/>
          </w:tcPr>
          <w:p>
            <w:pPr>
              <w:ind w:left="120"/>
              <w:spacing w:after="0"/>
              <w:rPr>
                <w:sz w:val="20"/>
                <w:szCs w:val="20"/>
                <w:color w:val="auto"/>
              </w:rPr>
            </w:pPr>
            <w:r>
              <w:rPr>
                <w:rFonts w:ascii="Arial" w:cs="Arial" w:eastAsia="Arial" w:hAnsi="Arial"/>
                <w:sz w:val="16"/>
                <w:szCs w:val="16"/>
                <w:i w:val="1"/>
                <w:iCs w:val="1"/>
                <w:color w:val="auto"/>
              </w:rPr>
              <w:t>Total Corporate Education</w:t>
            </w: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34,980</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ind w:left="6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60" w:type="dxa"/>
            <w:vAlign w:val="bottom"/>
            <w:gridSpan w:val="2"/>
          </w:tcPr>
          <w:p>
            <w:pPr>
              <w:ind w:left="5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38,902</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73,882</w:t>
            </w:r>
          </w:p>
        </w:tc>
        <w:tc>
          <w:tcPr>
            <w:tcW w:w="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0.02 %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240"/>
          </w:cols>
          <w:pgMar w:left="320" w:top="122" w:right="339" w:bottom="1440" w:gutter="0" w:footer="0" w:header="0"/>
        </w:sectPr>
      </w:pPr>
    </w:p>
    <w:bookmarkStart w:id="41" w:name="page42"/>
    <w:bookmarkEnd w:id="4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SURO CAPITAL CORP. AND SUBSIDIARIES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2021</w:t>
      </w: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w w:val="95"/>
              </w:rPr>
              <w:t>Interest, Fees,</w:t>
            </w: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5"/>
              </w:rPr>
              <w:t>Purchases,</w:t>
            </w: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3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9"/>
              </w:rPr>
              <w:t>or</w:t>
            </w:r>
          </w:p>
        </w:tc>
        <w:tc>
          <w:tcPr>
            <w:tcW w:w="9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Fair Value at</w:t>
            </w:r>
          </w:p>
        </w:tc>
        <w:tc>
          <w:tcPr>
            <w:tcW w:w="100" w:type="dxa"/>
            <w:vAlign w:val="bottom"/>
          </w:tcPr>
          <w:p>
            <w:pPr>
              <w:spacing w:after="0"/>
              <w:rPr>
                <w:sz w:val="11"/>
                <w:szCs w:val="11"/>
                <w:color w:val="auto"/>
              </w:rPr>
            </w:pPr>
          </w:p>
        </w:tc>
        <w:tc>
          <w:tcPr>
            <w:tcW w:w="940" w:type="dxa"/>
            <w:vAlign w:val="bottom"/>
            <w:gridSpan w:val="2"/>
          </w:tcPr>
          <w:p>
            <w:pPr>
              <w:jc w:val="center"/>
              <w:ind w:right="180"/>
              <w:spacing w:after="0" w:line="135" w:lineRule="exact"/>
              <w:rPr>
                <w:sz w:val="20"/>
                <w:szCs w:val="20"/>
                <w:color w:val="auto"/>
              </w:rPr>
            </w:pPr>
            <w:r>
              <w:rPr>
                <w:rFonts w:ascii="Arial" w:cs="Arial" w:eastAsia="Arial" w:hAnsi="Arial"/>
                <w:sz w:val="14"/>
                <w:szCs w:val="14"/>
                <w:b w:val="1"/>
                <w:bCs w:val="1"/>
                <w:color w:val="auto"/>
                <w:w w:val="97"/>
              </w:rPr>
              <w:t>Capitalized</w:t>
            </w: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6"/>
              </w:rPr>
              <w:t>Fair Value at</w:t>
            </w:r>
          </w:p>
        </w:tc>
        <w:tc>
          <w:tcPr>
            <w:tcW w:w="860" w:type="dxa"/>
            <w:vAlign w:val="bottom"/>
            <w:vMerge w:val="restart"/>
          </w:tcPr>
          <w:p>
            <w:pPr>
              <w:jc w:val="right"/>
              <w:ind w:right="20"/>
              <w:spacing w:after="0"/>
              <w:rPr>
                <w:sz w:val="20"/>
                <w:szCs w:val="20"/>
                <w:color w:val="auto"/>
              </w:rPr>
            </w:pPr>
            <w:r>
              <w:rPr>
                <w:rFonts w:ascii="Arial" w:cs="Arial" w:eastAsia="Arial" w:hAnsi="Arial"/>
                <w:sz w:val="14"/>
                <w:szCs w:val="14"/>
                <w:b w:val="1"/>
                <w:bCs w:val="1"/>
                <w:color w:val="auto"/>
                <w:w w:val="97"/>
              </w:rPr>
              <w:t>Percentage</w:t>
            </w:r>
          </w:p>
        </w:tc>
        <w:tc>
          <w:tcPr>
            <w:tcW w:w="0" w:type="dxa"/>
            <w:vAlign w:val="bottom"/>
          </w:tcPr>
          <w:p>
            <w:pPr>
              <w:spacing w:after="0"/>
              <w:rPr>
                <w:sz w:val="1"/>
                <w:szCs w:val="1"/>
                <w:color w:val="auto"/>
              </w:rPr>
            </w:pPr>
          </w:p>
        </w:tc>
      </w:tr>
      <w:tr>
        <w:trPr>
          <w:trHeight w:val="135"/>
        </w:trPr>
        <w:tc>
          <w:tcPr>
            <w:tcW w:w="3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vMerge w:val="restart"/>
          </w:tcPr>
          <w:p>
            <w:pPr>
              <w:jc w:val="right"/>
              <w:ind w:right="20"/>
              <w:spacing w:after="0"/>
              <w:rPr>
                <w:sz w:val="20"/>
                <w:szCs w:val="20"/>
                <w:color w:val="auto"/>
              </w:rPr>
            </w:pPr>
            <w:r>
              <w:rPr>
                <w:rFonts w:ascii="Arial" w:cs="Arial" w:eastAsia="Arial" w:hAnsi="Arial"/>
                <w:sz w:val="14"/>
                <w:szCs w:val="14"/>
                <w:b w:val="1"/>
                <w:bCs w:val="1"/>
                <w:color w:val="auto"/>
              </w:rPr>
              <w:t>Principal/</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2"/>
              </w:rPr>
              <w:t>Dividends</w:t>
            </w:r>
          </w:p>
        </w:tc>
        <w:tc>
          <w:tcPr>
            <w:tcW w:w="960" w:type="dxa"/>
            <w:vAlign w:val="bottom"/>
            <w:gridSpan w:val="3"/>
            <w:vMerge w:val="continue"/>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2"/>
          </w:tcPr>
          <w:p>
            <w:pPr>
              <w:jc w:val="center"/>
              <w:ind w:right="180"/>
              <w:spacing w:after="0" w:line="135" w:lineRule="exact"/>
              <w:rPr>
                <w:sz w:val="20"/>
                <w:szCs w:val="20"/>
                <w:color w:val="auto"/>
              </w:rPr>
            </w:pPr>
            <w:r>
              <w:rPr>
                <w:rFonts w:ascii="Arial" w:cs="Arial" w:eastAsia="Arial" w:hAnsi="Arial"/>
                <w:sz w:val="14"/>
                <w:szCs w:val="14"/>
                <w:b w:val="1"/>
                <w:bCs w:val="1"/>
                <w:color w:val="auto"/>
                <w:w w:val="89"/>
              </w:rPr>
              <w:t>Fees,</w:t>
            </w:r>
          </w:p>
        </w:tc>
        <w:tc>
          <w:tcPr>
            <w:tcW w:w="160" w:type="dxa"/>
            <w:vAlign w:val="bottom"/>
          </w:tcPr>
          <w:p>
            <w:pPr>
              <w:spacing w:after="0"/>
              <w:rPr>
                <w:sz w:val="11"/>
                <w:szCs w:val="11"/>
                <w:color w:val="auto"/>
              </w:rPr>
            </w:pPr>
          </w:p>
        </w:tc>
        <w:tc>
          <w:tcPr>
            <w:tcW w:w="8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Realized</w:t>
            </w:r>
          </w:p>
        </w:tc>
        <w:tc>
          <w:tcPr>
            <w:tcW w:w="120" w:type="dxa"/>
            <w:vAlign w:val="bottom"/>
          </w:tcPr>
          <w:p>
            <w:pPr>
              <w:spacing w:after="0"/>
              <w:rPr>
                <w:sz w:val="11"/>
                <w:szCs w:val="11"/>
                <w:color w:val="auto"/>
              </w:rPr>
            </w:pPr>
          </w:p>
        </w:tc>
        <w:tc>
          <w:tcPr>
            <w:tcW w:w="9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Unrealized</w:t>
            </w:r>
          </w:p>
        </w:tc>
        <w:tc>
          <w:tcPr>
            <w:tcW w:w="980" w:type="dxa"/>
            <w:vAlign w:val="bottom"/>
            <w:gridSpan w:val="3"/>
            <w:vMerge w:val="continue"/>
          </w:tcPr>
          <w:p>
            <w:pPr>
              <w:spacing w:after="0"/>
              <w:rPr>
                <w:sz w:val="11"/>
                <w:szCs w:val="11"/>
                <w:color w:val="auto"/>
              </w:rPr>
            </w:pPr>
          </w:p>
        </w:tc>
        <w:tc>
          <w:tcPr>
            <w:tcW w:w="8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3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Type/Industry/Portfolio Company/Investment</w:t>
            </w:r>
          </w:p>
        </w:tc>
        <w:tc>
          <w:tcPr>
            <w:tcW w:w="80" w:type="dxa"/>
            <w:vAlign w:val="bottom"/>
            <w:vMerge w:val="restart"/>
          </w:tcPr>
          <w:p>
            <w:pPr>
              <w:spacing w:after="0"/>
              <w:rPr>
                <w:sz w:val="11"/>
                <w:szCs w:val="11"/>
                <w:color w:val="auto"/>
              </w:rPr>
            </w:pPr>
          </w:p>
        </w:tc>
        <w:tc>
          <w:tcPr>
            <w:tcW w:w="80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5"/>
              </w:rPr>
              <w:t>Credited</w:t>
            </w:r>
          </w:p>
        </w:tc>
        <w:tc>
          <w:tcPr>
            <w:tcW w:w="960" w:type="dxa"/>
            <w:vAlign w:val="bottom"/>
            <w:gridSpan w:val="3"/>
          </w:tcPr>
          <w:p>
            <w:pPr>
              <w:ind w:left="20"/>
              <w:spacing w:after="0" w:line="135" w:lineRule="exact"/>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11"/>
                <w:szCs w:val="11"/>
                <w:color w:val="auto"/>
              </w:rPr>
            </w:pPr>
          </w:p>
        </w:tc>
        <w:tc>
          <w:tcPr>
            <w:tcW w:w="940" w:type="dxa"/>
            <w:vAlign w:val="bottom"/>
            <w:gridSpan w:val="2"/>
          </w:tcPr>
          <w:p>
            <w:pPr>
              <w:jc w:val="center"/>
              <w:ind w:right="180"/>
              <w:spacing w:after="0" w:line="135" w:lineRule="exact"/>
              <w:rPr>
                <w:sz w:val="20"/>
                <w:szCs w:val="20"/>
                <w:color w:val="auto"/>
              </w:rPr>
            </w:pPr>
            <w:r>
              <w:rPr>
                <w:rFonts w:ascii="Arial" w:cs="Arial" w:eastAsia="Arial" w:hAnsi="Arial"/>
                <w:sz w:val="14"/>
                <w:szCs w:val="14"/>
                <w:b w:val="1"/>
                <w:bCs w:val="1"/>
                <w:color w:val="auto"/>
                <w:w w:val="95"/>
              </w:rPr>
              <w:t>Interest and</w:t>
            </w:r>
          </w:p>
        </w:tc>
        <w:tc>
          <w:tcPr>
            <w:tcW w:w="160" w:type="dxa"/>
            <w:vAlign w:val="bottom"/>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980" w:type="dxa"/>
            <w:vAlign w:val="bottom"/>
            <w:gridSpan w:val="3"/>
          </w:tcPr>
          <w:p>
            <w:pPr>
              <w:jc w:val="center"/>
              <w:ind w:right="100"/>
              <w:spacing w:after="0" w:line="135" w:lineRule="exact"/>
              <w:rPr>
                <w:sz w:val="20"/>
                <w:szCs w:val="20"/>
                <w:color w:val="auto"/>
              </w:rPr>
            </w:pPr>
            <w:r>
              <w:rPr>
                <w:rFonts w:ascii="Arial" w:cs="Arial" w:eastAsia="Arial" w:hAnsi="Arial"/>
                <w:sz w:val="14"/>
                <w:szCs w:val="14"/>
                <w:b w:val="1"/>
                <w:bCs w:val="1"/>
                <w:color w:val="auto"/>
                <w:w w:val="92"/>
              </w:rPr>
              <w:t>December 31,</w:t>
            </w:r>
          </w:p>
        </w:tc>
        <w:tc>
          <w:tcPr>
            <w:tcW w:w="860" w:type="dxa"/>
            <w:vAlign w:val="bottom"/>
          </w:tcPr>
          <w:p>
            <w:pPr>
              <w:jc w:val="right"/>
              <w:ind w:right="160"/>
              <w:spacing w:after="0" w:line="135" w:lineRule="exact"/>
              <w:rPr>
                <w:sz w:val="20"/>
                <w:szCs w:val="20"/>
                <w:color w:val="auto"/>
              </w:rPr>
            </w:pPr>
            <w:r>
              <w:rPr>
                <w:rFonts w:ascii="Arial" w:cs="Arial" w:eastAsia="Arial" w:hAnsi="Arial"/>
                <w:sz w:val="14"/>
                <w:szCs w:val="14"/>
                <w:b w:val="1"/>
                <w:bCs w:val="1"/>
                <w:color w:val="auto"/>
              </w:rPr>
              <w:t>of Net</w:t>
            </w:r>
          </w:p>
        </w:tc>
        <w:tc>
          <w:tcPr>
            <w:tcW w:w="0" w:type="dxa"/>
            <w:vAlign w:val="bottom"/>
          </w:tcPr>
          <w:p>
            <w:pPr>
              <w:spacing w:after="0"/>
              <w:rPr>
                <w:sz w:val="1"/>
                <w:szCs w:val="1"/>
                <w:color w:val="auto"/>
              </w:rPr>
            </w:pPr>
          </w:p>
        </w:tc>
      </w:tr>
      <w:tr>
        <w:trPr>
          <w:trHeight w:val="188"/>
        </w:trPr>
        <w:tc>
          <w:tcPr>
            <w:tcW w:w="332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800" w:type="dxa"/>
            <w:vAlign w:val="bottom"/>
            <w:tcBorders>
              <w:bottom w:val="single" w:sz="8" w:color="auto"/>
            </w:tcBorders>
          </w:tcPr>
          <w:p>
            <w:pPr>
              <w:jc w:val="right"/>
              <w:ind w:right="40"/>
              <w:spacing w:after="0"/>
              <w:rPr>
                <w:sz w:val="20"/>
                <w:szCs w:val="20"/>
                <w:color w:val="auto"/>
              </w:rPr>
            </w:pPr>
            <w:r>
              <w:rPr>
                <w:rFonts w:ascii="Arial" w:cs="Arial" w:eastAsia="Arial" w:hAnsi="Arial"/>
                <w:sz w:val="14"/>
                <w:szCs w:val="14"/>
                <w:b w:val="1"/>
                <w:bCs w:val="1"/>
                <w:color w:val="auto"/>
              </w:rPr>
              <w:t>Quantity</w:t>
            </w: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81"/>
              <w:spacing w:after="0"/>
              <w:rPr>
                <w:sz w:val="20"/>
                <w:szCs w:val="20"/>
                <w:color w:val="auto"/>
              </w:rPr>
            </w:pPr>
            <w:r>
              <w:rPr>
                <w:rFonts w:ascii="Arial" w:cs="Arial" w:eastAsia="Arial" w:hAnsi="Arial"/>
                <w:sz w:val="14"/>
                <w:szCs w:val="14"/>
                <w:b w:val="1"/>
                <w:bCs w:val="1"/>
                <w:color w:val="auto"/>
                <w:w w:val="94"/>
              </w:rPr>
              <w:t>in Income</w:t>
            </w: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20"/>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8"/>
              </w:rPr>
              <w:t>Amortization</w:t>
            </w:r>
          </w:p>
        </w:tc>
        <w:tc>
          <w:tcPr>
            <w:tcW w:w="8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89"/>
              </w:rPr>
              <w:t>Gains/(Losses)</w:t>
            </w:r>
          </w:p>
        </w:tc>
        <w:tc>
          <w:tcPr>
            <w:tcW w:w="8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87"/>
              </w:rPr>
              <w:t>Gains/(Losses)</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center"/>
              <w:ind w:right="39"/>
              <w:spacing w:after="0"/>
              <w:rPr>
                <w:sz w:val="20"/>
                <w:szCs w:val="20"/>
                <w:color w:val="auto"/>
              </w:rPr>
            </w:pPr>
            <w:r>
              <w:rPr>
                <w:rFonts w:ascii="Arial" w:cs="Arial" w:eastAsia="Arial" w:hAnsi="Arial"/>
                <w:sz w:val="14"/>
                <w:szCs w:val="14"/>
                <w:b w:val="1"/>
                <w:bCs w:val="1"/>
                <w:color w:val="auto"/>
                <w:w w:val="89"/>
              </w:rPr>
              <w:t>2020</w:t>
            </w:r>
          </w:p>
        </w:tc>
        <w:tc>
          <w:tcPr>
            <w:tcW w:w="8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ind w:right="160"/>
              <w:spacing w:after="0"/>
              <w:rPr>
                <w:sz w:val="20"/>
                <w:szCs w:val="20"/>
                <w:color w:val="auto"/>
              </w:rPr>
            </w:pPr>
            <w:r>
              <w:rPr>
                <w:rFonts w:ascii="Arial" w:cs="Arial" w:eastAsia="Arial" w:hAnsi="Arial"/>
                <w:sz w:val="14"/>
                <w:szCs w:val="14"/>
                <w:b w:val="1"/>
                <w:bCs w:val="1"/>
                <w:color w:val="auto"/>
              </w:rPr>
              <w:t>Assets</w:t>
            </w:r>
          </w:p>
        </w:tc>
        <w:tc>
          <w:tcPr>
            <w:tcW w:w="0" w:type="dxa"/>
            <w:vAlign w:val="bottom"/>
          </w:tcPr>
          <w:p>
            <w:pPr>
              <w:spacing w:after="0"/>
              <w:rPr>
                <w:sz w:val="1"/>
                <w:szCs w:val="1"/>
                <w:color w:val="auto"/>
              </w:rPr>
            </w:pPr>
          </w:p>
        </w:tc>
      </w:tr>
      <w:tr>
        <w:trPr>
          <w:trHeight w:val="211"/>
        </w:trPr>
        <w:tc>
          <w:tcPr>
            <w:tcW w:w="3400" w:type="dxa"/>
            <w:vAlign w:val="bottom"/>
            <w:gridSpan w:val="2"/>
            <w:shd w:val="clear" w:color="auto" w:fill="CCEEFF"/>
          </w:tcPr>
          <w:p>
            <w:pPr>
              <w:ind w:left="140"/>
              <w:spacing w:after="0"/>
              <w:rPr>
                <w:sz w:val="20"/>
                <w:szCs w:val="20"/>
                <w:color w:val="auto"/>
              </w:rPr>
            </w:pPr>
            <w:r>
              <w:rPr>
                <w:rFonts w:ascii="Arial" w:cs="Arial" w:eastAsia="Arial" w:hAnsi="Arial"/>
                <w:sz w:val="16"/>
                <w:szCs w:val="16"/>
                <w:i w:val="1"/>
                <w:iCs w:val="1"/>
                <w:color w:val="auto"/>
              </w:rPr>
              <w:t>Knowledge Networks</w:t>
            </w: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3400" w:type="dxa"/>
            <w:vAlign w:val="bottom"/>
            <w:gridSpan w:val="2"/>
          </w:tcPr>
          <w:p>
            <w:pPr>
              <w:ind w:left="220"/>
              <w:spacing w:after="0" w:line="166" w:lineRule="exact"/>
              <w:rPr>
                <w:sz w:val="20"/>
                <w:szCs w:val="20"/>
                <w:color w:val="auto"/>
              </w:rPr>
            </w:pPr>
            <w:r>
              <w:rPr>
                <w:rFonts w:ascii="Arial" w:cs="Arial" w:eastAsia="Arial" w:hAnsi="Arial"/>
                <w:sz w:val="16"/>
                <w:szCs w:val="16"/>
                <w:color w:val="auto"/>
              </w:rPr>
              <w:t>Maven Research, Inc.–Preferred shares,</w:t>
            </w: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318,979</w:t>
            </w:r>
          </w:p>
        </w:tc>
        <w:tc>
          <w:tcPr>
            <w:tcW w:w="220" w:type="dxa"/>
            <w:vAlign w:val="bottom"/>
            <w:gridSpan w:val="2"/>
            <w:vMerge w:val="restart"/>
          </w:tcPr>
          <w:p>
            <w:pPr>
              <w:jc w:val="right"/>
              <w:spacing w:after="0"/>
              <w:rPr>
                <w:sz w:val="20"/>
                <w:szCs w:val="20"/>
                <w:color w:val="auto"/>
              </w:rPr>
            </w:pPr>
            <w:r>
              <w:rPr>
                <w:rFonts w:ascii="Arial" w:cs="Arial" w:eastAsia="Arial" w:hAnsi="Arial"/>
                <w:sz w:val="16"/>
                <w:szCs w:val="16"/>
                <w:color w:val="auto"/>
              </w:rPr>
              <w:t>$</w:t>
            </w:r>
          </w:p>
        </w:tc>
        <w:tc>
          <w:tcPr>
            <w:tcW w:w="94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vMerge w:val="restart"/>
          </w:tcPr>
          <w:p>
            <w:pPr>
              <w:ind w:left="20"/>
              <w:spacing w:after="0"/>
              <w:rPr>
                <w:sz w:val="20"/>
                <w:szCs w:val="20"/>
                <w:color w:val="auto"/>
              </w:rPr>
            </w:pPr>
            <w:r>
              <w:rPr>
                <w:rFonts w:ascii="Arial" w:cs="Arial" w:eastAsia="Arial" w:hAnsi="Arial"/>
                <w:sz w:val="16"/>
                <w:szCs w:val="16"/>
                <w:color w:val="auto"/>
                <w:w w:val="89"/>
              </w:rPr>
              <w:t>$</w:t>
            </w:r>
          </w:p>
        </w:tc>
        <w:tc>
          <w:tcPr>
            <w:tcW w:w="84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gridSpan w:val="2"/>
            <w:vMerge w:val="restart"/>
          </w:tcPr>
          <w:p>
            <w:pPr>
              <w:ind w:left="640"/>
              <w:spacing w:after="0"/>
              <w:rPr>
                <w:sz w:val="20"/>
                <w:szCs w:val="20"/>
                <w:color w:val="auto"/>
              </w:rPr>
            </w:pPr>
            <w:r>
              <w:rPr>
                <w:rFonts w:ascii="Arial" w:cs="Arial" w:eastAsia="Arial" w:hAnsi="Arial"/>
                <w:sz w:val="16"/>
                <w:szCs w:val="16"/>
                <w:color w:val="auto"/>
              </w:rPr>
              <w:t>—</w:t>
            </w:r>
          </w:p>
        </w:tc>
        <w:tc>
          <w:tcPr>
            <w:tcW w:w="160" w:type="dxa"/>
            <w:vAlign w:val="bottom"/>
            <w:vMerge w:val="restart"/>
          </w:tcPr>
          <w:p>
            <w:pPr>
              <w:ind w:left="20"/>
              <w:spacing w:after="0"/>
              <w:rPr>
                <w:sz w:val="20"/>
                <w:szCs w:val="20"/>
                <w:color w:val="auto"/>
              </w:rPr>
            </w:pPr>
            <w:r>
              <w:rPr>
                <w:rFonts w:ascii="Arial" w:cs="Arial" w:eastAsia="Arial" w:hAnsi="Arial"/>
                <w:sz w:val="16"/>
                <w:szCs w:val="16"/>
                <w:color w:val="auto"/>
              </w:rPr>
              <w:t>$</w:t>
            </w:r>
          </w:p>
        </w:tc>
        <w:tc>
          <w:tcPr>
            <w:tcW w:w="860" w:type="dxa"/>
            <w:vAlign w:val="bottom"/>
            <w:gridSpan w:val="2"/>
            <w:vMerge w:val="restart"/>
          </w:tcPr>
          <w:p>
            <w:pPr>
              <w:ind w:left="540"/>
              <w:spacing w:after="0"/>
              <w:rPr>
                <w:sz w:val="20"/>
                <w:szCs w:val="20"/>
                <w:color w:val="auto"/>
              </w:rPr>
            </w:pPr>
            <w:r>
              <w:rPr>
                <w:rFonts w:ascii="Arial" w:cs="Arial" w:eastAsia="Arial" w:hAnsi="Arial"/>
                <w:sz w:val="16"/>
                <w:szCs w:val="16"/>
                <w:color w:val="auto"/>
              </w:rPr>
              <w:t>—</w:t>
            </w:r>
          </w:p>
        </w:tc>
        <w:tc>
          <w:tcPr>
            <w:tcW w:w="120" w:type="dxa"/>
            <w:vAlign w:val="bottom"/>
            <w:vMerge w:val="restart"/>
          </w:tcPr>
          <w:p>
            <w:pPr>
              <w:ind w:left="20"/>
              <w:spacing w:after="0"/>
              <w:rPr>
                <w:sz w:val="20"/>
                <w:szCs w:val="20"/>
                <w:color w:val="auto"/>
              </w:rPr>
            </w:pPr>
            <w:r>
              <w:rPr>
                <w:rFonts w:ascii="Arial" w:cs="Arial" w:eastAsia="Arial" w:hAnsi="Arial"/>
                <w:sz w:val="16"/>
                <w:szCs w:val="16"/>
                <w:color w:val="auto"/>
                <w:w w:val="89"/>
              </w:rPr>
              <w:t>$</w:t>
            </w:r>
          </w:p>
        </w:tc>
        <w:tc>
          <w:tcPr>
            <w:tcW w:w="900" w:type="dxa"/>
            <w:vAlign w:val="bottom"/>
            <w:gridSpan w:val="2"/>
            <w:vMerge w:val="restart"/>
          </w:tcPr>
          <w:p>
            <w:pPr>
              <w:ind w:left="580"/>
              <w:spacing w:after="0"/>
              <w:rPr>
                <w:sz w:val="20"/>
                <w:szCs w:val="20"/>
                <w:color w:val="auto"/>
              </w:rPr>
            </w:pPr>
            <w:r>
              <w:rPr>
                <w:rFonts w:ascii="Arial" w:cs="Arial" w:eastAsia="Arial" w:hAnsi="Arial"/>
                <w:sz w:val="16"/>
                <w:szCs w:val="16"/>
                <w:color w:val="auto"/>
              </w:rPr>
              <w:t>—</w:t>
            </w:r>
          </w:p>
        </w:tc>
        <w:tc>
          <w:tcPr>
            <w:tcW w:w="10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209"/>
        </w:trPr>
        <w:tc>
          <w:tcPr>
            <w:tcW w:w="3400" w:type="dxa"/>
            <w:vAlign w:val="bottom"/>
            <w:gridSpan w:val="2"/>
          </w:tcPr>
          <w:p>
            <w:pPr>
              <w:ind w:left="220"/>
              <w:spacing w:after="0"/>
              <w:rPr>
                <w:sz w:val="20"/>
                <w:szCs w:val="20"/>
                <w:color w:val="auto"/>
              </w:rPr>
            </w:pPr>
            <w:r>
              <w:rPr>
                <w:rFonts w:ascii="Arial" w:cs="Arial" w:eastAsia="Arial" w:hAnsi="Arial"/>
                <w:sz w:val="16"/>
                <w:szCs w:val="16"/>
                <w:color w:val="auto"/>
              </w:rPr>
              <w:t>Series C</w:t>
            </w:r>
          </w:p>
        </w:tc>
        <w:tc>
          <w:tcPr>
            <w:tcW w:w="800" w:type="dxa"/>
            <w:vAlign w:val="bottom"/>
            <w:vMerge w:val="continue"/>
          </w:tcPr>
          <w:p>
            <w:pPr>
              <w:spacing w:after="0"/>
              <w:rPr>
                <w:sz w:val="18"/>
                <w:szCs w:val="18"/>
                <w:color w:val="auto"/>
              </w:rPr>
            </w:pPr>
          </w:p>
        </w:tc>
        <w:tc>
          <w:tcPr>
            <w:tcW w:w="220" w:type="dxa"/>
            <w:vAlign w:val="bottom"/>
            <w:gridSpan w:val="2"/>
            <w:vMerge w:val="continue"/>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160" w:type="dxa"/>
            <w:vAlign w:val="bottom"/>
            <w:vMerge w:val="continue"/>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8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3400" w:type="dxa"/>
            <w:vAlign w:val="bottom"/>
            <w:gridSpan w:val="2"/>
            <w:shd w:val="clear" w:color="auto" w:fill="CCEEFF"/>
          </w:tcPr>
          <w:p>
            <w:pPr>
              <w:ind w:left="220"/>
              <w:spacing w:after="0" w:line="169" w:lineRule="exact"/>
              <w:rPr>
                <w:sz w:val="20"/>
                <w:szCs w:val="20"/>
                <w:color w:val="auto"/>
              </w:rPr>
            </w:pPr>
            <w:r>
              <w:rPr>
                <w:rFonts w:ascii="Arial" w:cs="Arial" w:eastAsia="Arial" w:hAnsi="Arial"/>
                <w:sz w:val="16"/>
                <w:szCs w:val="16"/>
                <w:color w:val="auto"/>
              </w:rPr>
              <w:t>Maven Research, Inc.–Preferred shares,</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49,505</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80" w:type="dxa"/>
            <w:vAlign w:val="bottom"/>
            <w:vMerge w:val="restart"/>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vMerge w:val="restart"/>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ind w:left="640"/>
              <w:spacing w:after="0"/>
              <w:rPr>
                <w:sz w:val="20"/>
                <w:szCs w:val="20"/>
                <w:color w:val="auto"/>
              </w:rPr>
            </w:pPr>
            <w:r>
              <w:rPr>
                <w:rFonts w:ascii="Arial" w:cs="Arial" w:eastAsia="Arial" w:hAnsi="Arial"/>
                <w:sz w:val="16"/>
                <w:szCs w:val="16"/>
                <w:color w:val="auto"/>
              </w:rPr>
              <w:t>—</w:t>
            </w:r>
          </w:p>
        </w:tc>
        <w:tc>
          <w:tcPr>
            <w:tcW w:w="80" w:type="dxa"/>
            <w:vAlign w:val="bottom"/>
            <w:vMerge w:val="restart"/>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80" w:type="dxa"/>
            <w:vAlign w:val="bottom"/>
            <w:vMerge w:val="restart"/>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ind w:left="580"/>
              <w:spacing w:after="0"/>
              <w:rPr>
                <w:sz w:val="20"/>
                <w:szCs w:val="20"/>
                <w:color w:val="auto"/>
              </w:rPr>
            </w:pPr>
            <w:r>
              <w:rPr>
                <w:rFonts w:ascii="Arial" w:cs="Arial" w:eastAsia="Arial" w:hAnsi="Arial"/>
                <w:sz w:val="16"/>
                <w:szCs w:val="16"/>
                <w:color w:val="auto"/>
              </w:rPr>
              <w:t>—</w:t>
            </w:r>
          </w:p>
        </w:tc>
        <w:tc>
          <w:tcPr>
            <w:tcW w:w="100" w:type="dxa"/>
            <w:vAlign w:val="bottom"/>
            <w:vMerge w:val="restart"/>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vMerge w:val="restart"/>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212"/>
        </w:trPr>
        <w:tc>
          <w:tcPr>
            <w:tcW w:w="340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Series B</w:t>
            </w:r>
          </w:p>
        </w:tc>
        <w:tc>
          <w:tcPr>
            <w:tcW w:w="800" w:type="dxa"/>
            <w:vAlign w:val="bottom"/>
            <w:tcBorders>
              <w:bottom w:val="single" w:sz="8" w:color="CCEEFF"/>
            </w:tcBorders>
            <w:vMerge w:val="continue"/>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vMerge w:val="continue"/>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vMerge w:val="continue"/>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vMerge w:val="continue"/>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tcBorders>
              <w:bottom w:val="single" w:sz="8" w:color="CCEEFF"/>
            </w:tcBorders>
            <w:vMerge w:val="continue"/>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tcBorders>
              <w:bottom w:val="single" w:sz="8" w:color="CCEEFF"/>
            </w:tcBorders>
            <w:vMerge w:val="continue"/>
            <w:shd w:val="clear" w:color="auto" w:fill="CCEEFF"/>
          </w:tcPr>
          <w:p>
            <w:pPr>
              <w:spacing w:after="0"/>
              <w:rPr>
                <w:sz w:val="18"/>
                <w:szCs w:val="18"/>
                <w:color w:val="auto"/>
              </w:rPr>
            </w:pPr>
          </w:p>
        </w:tc>
        <w:tc>
          <w:tcPr>
            <w:tcW w:w="86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3400" w:type="dxa"/>
            <w:vAlign w:val="bottom"/>
            <w:gridSpan w:val="2"/>
          </w:tcPr>
          <w:p>
            <w:pPr>
              <w:ind w:left="140"/>
              <w:spacing w:after="0"/>
              <w:rPr>
                <w:sz w:val="20"/>
                <w:szCs w:val="20"/>
                <w:color w:val="auto"/>
              </w:rPr>
            </w:pPr>
            <w:r>
              <w:rPr>
                <w:rFonts w:ascii="Arial" w:cs="Arial" w:eastAsia="Arial" w:hAnsi="Arial"/>
                <w:sz w:val="16"/>
                <w:szCs w:val="16"/>
                <w:i w:val="1"/>
                <w:iCs w:val="1"/>
                <w:color w:val="auto"/>
              </w:rPr>
              <w:t>Total Knowledge Networks</w:t>
            </w: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940" w:type="dxa"/>
            <w:vAlign w:val="bottom"/>
            <w:gridSpan w:val="2"/>
          </w:tcPr>
          <w:p>
            <w:pPr>
              <w:ind w:left="6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60" w:type="dxa"/>
            <w:vAlign w:val="bottom"/>
            <w:gridSpan w:val="2"/>
          </w:tcPr>
          <w:p>
            <w:pPr>
              <w:ind w:left="5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900" w:type="dxa"/>
            <w:vAlign w:val="bottom"/>
            <w:gridSpan w:val="2"/>
          </w:tcPr>
          <w:p>
            <w:pPr>
              <w:ind w:left="5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219"/>
        </w:trPr>
        <w:tc>
          <w:tcPr>
            <w:tcW w:w="3400" w:type="dxa"/>
            <w:vAlign w:val="bottom"/>
            <w:gridSpan w:val="2"/>
            <w:shd w:val="clear" w:color="auto" w:fill="CCEEFF"/>
          </w:tcPr>
          <w:p>
            <w:pPr>
              <w:ind w:left="140"/>
              <w:spacing w:after="0"/>
              <w:rPr>
                <w:sz w:val="20"/>
                <w:szCs w:val="20"/>
                <w:color w:val="auto"/>
              </w:rPr>
            </w:pPr>
            <w:r>
              <w:rPr>
                <w:rFonts w:ascii="Arial" w:cs="Arial" w:eastAsia="Arial" w:hAnsi="Arial"/>
                <w:sz w:val="16"/>
                <w:szCs w:val="16"/>
                <w:i w:val="1"/>
                <w:iCs w:val="1"/>
                <w:color w:val="auto"/>
              </w:rPr>
              <w:t>Digital Media Platform</w:t>
            </w: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6"/>
        </w:trPr>
        <w:tc>
          <w:tcPr>
            <w:tcW w:w="3400" w:type="dxa"/>
            <w:vAlign w:val="bottom"/>
            <w:gridSpan w:val="2"/>
          </w:tcPr>
          <w:p>
            <w:pPr>
              <w:ind w:left="220"/>
              <w:spacing w:after="0" w:line="166" w:lineRule="exact"/>
              <w:rPr>
                <w:sz w:val="20"/>
                <w:szCs w:val="20"/>
                <w:color w:val="auto"/>
              </w:rPr>
            </w:pPr>
            <w:r>
              <w:rPr>
                <w:rFonts w:ascii="Arial" w:cs="Arial" w:eastAsia="Arial" w:hAnsi="Arial"/>
                <w:sz w:val="16"/>
                <w:szCs w:val="16"/>
                <w:color w:val="auto"/>
                <w:w w:val="98"/>
              </w:rPr>
              <w:t>OzyMedia, Inc.–Preferred shares, Series C-2</w:t>
            </w: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683,482</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w w:val="92"/>
              </w:rPr>
              <w:t>2,970,252</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vMerge w:val="restart"/>
          </w:tcPr>
          <w:p>
            <w:pPr>
              <w:ind w:left="6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860" w:type="dxa"/>
            <w:vAlign w:val="bottom"/>
            <w:gridSpan w:val="2"/>
            <w:vMerge w:val="restart"/>
          </w:tcPr>
          <w:p>
            <w:pPr>
              <w:ind w:left="5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w w:val="92"/>
              </w:rPr>
              <w:t>(1,104,705)</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w w:val="98"/>
              </w:rPr>
              <w:t>1,865,547</w:t>
            </w:r>
          </w:p>
        </w:tc>
        <w:tc>
          <w:tcPr>
            <w:tcW w:w="8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0.62 %</w:t>
            </w:r>
          </w:p>
        </w:tc>
        <w:tc>
          <w:tcPr>
            <w:tcW w:w="0" w:type="dxa"/>
            <w:vAlign w:val="bottom"/>
          </w:tcPr>
          <w:p>
            <w:pPr>
              <w:spacing w:after="0"/>
              <w:rPr>
                <w:sz w:val="1"/>
                <w:szCs w:val="1"/>
                <w:color w:val="auto"/>
              </w:rPr>
            </w:pPr>
          </w:p>
        </w:tc>
      </w:tr>
      <w:tr>
        <w:trPr>
          <w:trHeight w:val="209"/>
        </w:trPr>
        <w:tc>
          <w:tcPr>
            <w:tcW w:w="3320" w:type="dxa"/>
            <w:vAlign w:val="bottom"/>
          </w:tcPr>
          <w:p>
            <w:pPr>
              <w:ind w:left="220"/>
              <w:spacing w:after="0"/>
              <w:rPr>
                <w:sz w:val="20"/>
                <w:szCs w:val="20"/>
                <w:color w:val="auto"/>
              </w:rPr>
            </w:pPr>
            <w:r>
              <w:rPr>
                <w:rFonts w:ascii="Arial" w:cs="Arial" w:eastAsia="Arial" w:hAnsi="Arial"/>
                <w:sz w:val="16"/>
                <w:szCs w:val="16"/>
                <w:color w:val="auto"/>
              </w:rPr>
              <w:t>6%</w:t>
            </w:r>
          </w:p>
        </w:tc>
        <w:tc>
          <w:tcPr>
            <w:tcW w:w="8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40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w w:val="95"/>
              </w:rPr>
              <w:t>OzyMedia, Inc.–Preferred shares, Series B 6%</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922,509</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2"/>
              </w:rPr>
              <w:t>5,001,420</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ind w:left="6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2"/>
              </w:rPr>
              <w:t>(1,650,468)</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3,350,952</w:t>
            </w:r>
          </w:p>
        </w:tc>
        <w:tc>
          <w:tcPr>
            <w:tcW w:w="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1.11 %</w:t>
            </w:r>
          </w:p>
        </w:tc>
        <w:tc>
          <w:tcPr>
            <w:tcW w:w="0" w:type="dxa"/>
            <w:vAlign w:val="bottom"/>
          </w:tcPr>
          <w:p>
            <w:pPr>
              <w:spacing w:after="0"/>
              <w:rPr>
                <w:sz w:val="1"/>
                <w:szCs w:val="1"/>
                <w:color w:val="auto"/>
              </w:rPr>
            </w:pPr>
          </w:p>
        </w:tc>
      </w:tr>
      <w:tr>
        <w:trPr>
          <w:trHeight w:val="213"/>
        </w:trPr>
        <w:tc>
          <w:tcPr>
            <w:tcW w:w="3400" w:type="dxa"/>
            <w:vAlign w:val="bottom"/>
            <w:gridSpan w:val="2"/>
          </w:tcPr>
          <w:p>
            <w:pPr>
              <w:ind w:left="220"/>
              <w:spacing w:after="0"/>
              <w:rPr>
                <w:sz w:val="20"/>
                <w:szCs w:val="20"/>
                <w:color w:val="auto"/>
              </w:rPr>
            </w:pPr>
            <w:r>
              <w:rPr>
                <w:rFonts w:ascii="Arial" w:cs="Arial" w:eastAsia="Arial" w:hAnsi="Arial"/>
                <w:sz w:val="16"/>
                <w:szCs w:val="16"/>
                <w:color w:val="auto"/>
                <w:w w:val="95"/>
              </w:rPr>
              <w:t>OzyMedia, Inc.–Preferred shares, Series A 6%</w:t>
            </w:r>
          </w:p>
        </w:tc>
        <w:tc>
          <w:tcPr>
            <w:tcW w:w="800" w:type="dxa"/>
            <w:vAlign w:val="bottom"/>
          </w:tcPr>
          <w:p>
            <w:pPr>
              <w:jc w:val="right"/>
              <w:spacing w:after="0"/>
              <w:rPr>
                <w:sz w:val="20"/>
                <w:szCs w:val="20"/>
                <w:color w:val="auto"/>
              </w:rPr>
            </w:pPr>
            <w:r>
              <w:rPr>
                <w:rFonts w:ascii="Arial" w:cs="Arial" w:eastAsia="Arial" w:hAnsi="Arial"/>
                <w:sz w:val="16"/>
                <w:szCs w:val="16"/>
                <w:color w:val="auto"/>
                <w:w w:val="98"/>
              </w:rPr>
              <w:t>1,090,909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w w:val="92"/>
              </w:rPr>
              <w:t>4,528,107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ind w:left="6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60" w:type="dxa"/>
            <w:vAlign w:val="bottom"/>
            <w:gridSpan w:val="2"/>
          </w:tcPr>
          <w:p>
            <w:pPr>
              <w:ind w:left="5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w w:val="92"/>
              </w:rPr>
              <w:t>(1,703,428)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w w:val="98"/>
              </w:rPr>
              <w:t>2,824,679</w:t>
            </w: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0.94 %</w:t>
            </w:r>
          </w:p>
        </w:tc>
        <w:tc>
          <w:tcPr>
            <w:tcW w:w="0" w:type="dxa"/>
            <w:vAlign w:val="bottom"/>
          </w:tcPr>
          <w:p>
            <w:pPr>
              <w:spacing w:after="0"/>
              <w:rPr>
                <w:sz w:val="1"/>
                <w:szCs w:val="1"/>
                <w:color w:val="auto"/>
              </w:rPr>
            </w:pPr>
          </w:p>
        </w:tc>
      </w:tr>
      <w:tr>
        <w:trPr>
          <w:trHeight w:val="169"/>
        </w:trPr>
        <w:tc>
          <w:tcPr>
            <w:tcW w:w="3400" w:type="dxa"/>
            <w:vAlign w:val="bottom"/>
            <w:gridSpan w:val="2"/>
            <w:shd w:val="clear" w:color="auto" w:fill="CCEEFF"/>
          </w:tcPr>
          <w:p>
            <w:pPr>
              <w:ind w:left="220"/>
              <w:spacing w:after="0" w:line="169" w:lineRule="exact"/>
              <w:rPr>
                <w:sz w:val="20"/>
                <w:szCs w:val="20"/>
                <w:color w:val="auto"/>
              </w:rPr>
            </w:pPr>
            <w:r>
              <w:rPr>
                <w:rFonts w:ascii="Arial" w:cs="Arial" w:eastAsia="Arial" w:hAnsi="Arial"/>
                <w:sz w:val="16"/>
                <w:szCs w:val="16"/>
                <w:color w:val="auto"/>
                <w:w w:val="95"/>
              </w:rPr>
              <w:t>OzyMedia, Inc.–Preferred shares, Series Seed</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500,000</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80" w:type="dxa"/>
            <w:vAlign w:val="bottom"/>
            <w:vMerge w:val="restart"/>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92"/>
              </w:rPr>
              <w:t>2,002,143</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ind w:left="640"/>
              <w:spacing w:after="0"/>
              <w:rPr>
                <w:sz w:val="20"/>
                <w:szCs w:val="20"/>
                <w:color w:val="auto"/>
              </w:rPr>
            </w:pPr>
            <w:r>
              <w:rPr>
                <w:rFonts w:ascii="Arial" w:cs="Arial" w:eastAsia="Arial" w:hAnsi="Arial"/>
                <w:sz w:val="16"/>
                <w:szCs w:val="16"/>
                <w:color w:val="auto"/>
              </w:rPr>
              <w:t>—</w:t>
            </w:r>
          </w:p>
        </w:tc>
        <w:tc>
          <w:tcPr>
            <w:tcW w:w="80" w:type="dxa"/>
            <w:vAlign w:val="bottom"/>
            <w:vMerge w:val="restart"/>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80" w:type="dxa"/>
            <w:vAlign w:val="bottom"/>
            <w:vMerge w:val="restart"/>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(707,498)</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98"/>
              </w:rPr>
              <w:t>1,294,645</w:t>
            </w:r>
          </w:p>
        </w:tc>
        <w:tc>
          <w:tcPr>
            <w:tcW w:w="8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0.43 %</w:t>
            </w:r>
          </w:p>
        </w:tc>
        <w:tc>
          <w:tcPr>
            <w:tcW w:w="0" w:type="dxa"/>
            <w:vAlign w:val="bottom"/>
          </w:tcPr>
          <w:p>
            <w:pPr>
              <w:spacing w:after="0"/>
              <w:rPr>
                <w:sz w:val="1"/>
                <w:szCs w:val="1"/>
                <w:color w:val="auto"/>
              </w:rPr>
            </w:pPr>
          </w:p>
        </w:tc>
      </w:tr>
      <w:tr>
        <w:trPr>
          <w:trHeight w:val="212"/>
        </w:trPr>
        <w:tc>
          <w:tcPr>
            <w:tcW w:w="33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6%</w:t>
            </w:r>
          </w:p>
        </w:tc>
        <w:tc>
          <w:tcPr>
            <w:tcW w:w="8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vMerge w:val="continue"/>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vMerge w:val="continue"/>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vMerge w:val="continue"/>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3400" w:type="dxa"/>
            <w:vAlign w:val="bottom"/>
            <w:gridSpan w:val="2"/>
          </w:tcPr>
          <w:p>
            <w:pPr>
              <w:ind w:left="140"/>
              <w:spacing w:after="0"/>
              <w:rPr>
                <w:sz w:val="20"/>
                <w:szCs w:val="20"/>
                <w:color w:val="auto"/>
              </w:rPr>
            </w:pPr>
            <w:r>
              <w:rPr>
                <w:rFonts w:ascii="Arial" w:cs="Arial" w:eastAsia="Arial" w:hAnsi="Arial"/>
                <w:sz w:val="16"/>
                <w:szCs w:val="16"/>
                <w:i w:val="1"/>
                <w:iCs w:val="1"/>
                <w:color w:val="auto"/>
              </w:rPr>
              <w:t>Total Digital Media Platform</w:t>
            </w: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spacing w:after="0"/>
              <w:rPr>
                <w:sz w:val="20"/>
                <w:szCs w:val="20"/>
                <w:color w:val="auto"/>
              </w:rPr>
            </w:pPr>
            <w:r>
              <w:rPr>
                <w:rFonts w:ascii="Arial" w:cs="Arial" w:eastAsia="Arial" w:hAnsi="Arial"/>
                <w:sz w:val="16"/>
                <w:szCs w:val="16"/>
                <w:color w:val="auto"/>
                <w:w w:val="97"/>
              </w:rPr>
              <w:t>14,501,922</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ind w:left="6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60" w:type="dxa"/>
            <w:vAlign w:val="bottom"/>
            <w:gridSpan w:val="2"/>
          </w:tcPr>
          <w:p>
            <w:pPr>
              <w:ind w:left="5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w w:val="92"/>
              </w:rPr>
              <w:t>(5,166,099)</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w w:val="98"/>
              </w:rPr>
              <w:t>9,335,823</w:t>
            </w: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3.10 %</w:t>
            </w:r>
          </w:p>
        </w:tc>
        <w:tc>
          <w:tcPr>
            <w:tcW w:w="0" w:type="dxa"/>
            <w:vAlign w:val="bottom"/>
          </w:tcPr>
          <w:p>
            <w:pPr>
              <w:spacing w:after="0"/>
              <w:rPr>
                <w:sz w:val="1"/>
                <w:szCs w:val="1"/>
                <w:color w:val="auto"/>
              </w:rPr>
            </w:pPr>
          </w:p>
        </w:tc>
      </w:tr>
      <w:tr>
        <w:trPr>
          <w:trHeight w:val="219"/>
        </w:trPr>
        <w:tc>
          <w:tcPr>
            <w:tcW w:w="3400" w:type="dxa"/>
            <w:vAlign w:val="bottom"/>
            <w:gridSpan w:val="2"/>
            <w:shd w:val="clear" w:color="auto" w:fill="CCEEFF"/>
          </w:tcPr>
          <w:p>
            <w:pPr>
              <w:ind w:left="140"/>
              <w:spacing w:after="0"/>
              <w:rPr>
                <w:sz w:val="20"/>
                <w:szCs w:val="20"/>
                <w:color w:val="auto"/>
              </w:rPr>
            </w:pPr>
            <w:r>
              <w:rPr>
                <w:rFonts w:ascii="Arial" w:cs="Arial" w:eastAsia="Arial" w:hAnsi="Arial"/>
                <w:sz w:val="16"/>
                <w:szCs w:val="16"/>
                <w:i w:val="1"/>
                <w:iCs w:val="1"/>
                <w:color w:val="auto"/>
              </w:rPr>
              <w:t>Interactive Learning</w:t>
            </w: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3400" w:type="dxa"/>
            <w:vAlign w:val="bottom"/>
            <w:gridSpan w:val="2"/>
          </w:tcPr>
          <w:p>
            <w:pPr>
              <w:ind w:left="220"/>
              <w:spacing w:after="0" w:line="162" w:lineRule="exact"/>
              <w:rPr>
                <w:sz w:val="20"/>
                <w:szCs w:val="20"/>
                <w:color w:val="auto"/>
              </w:rPr>
            </w:pPr>
            <w:r>
              <w:rPr>
                <w:rFonts w:ascii="Arial" w:cs="Arial" w:eastAsia="Arial" w:hAnsi="Arial"/>
                <w:sz w:val="16"/>
                <w:szCs w:val="16"/>
                <w:color w:val="auto"/>
              </w:rPr>
              <w:t>StormWind, LLC–Preferred shares, Series D</w:t>
            </w: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329,337</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503,120</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vMerge w:val="restart"/>
          </w:tcPr>
          <w:p>
            <w:pPr>
              <w:ind w:left="6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860" w:type="dxa"/>
            <w:vAlign w:val="bottom"/>
            <w:gridSpan w:val="2"/>
            <w:vMerge w:val="restart"/>
          </w:tcPr>
          <w:p>
            <w:pPr>
              <w:ind w:left="5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(62,605)</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440,515</w:t>
            </w:r>
          </w:p>
        </w:tc>
        <w:tc>
          <w:tcPr>
            <w:tcW w:w="8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0.15 %</w:t>
            </w:r>
          </w:p>
        </w:tc>
        <w:tc>
          <w:tcPr>
            <w:tcW w:w="0" w:type="dxa"/>
            <w:vAlign w:val="bottom"/>
          </w:tcPr>
          <w:p>
            <w:pPr>
              <w:spacing w:after="0"/>
              <w:rPr>
                <w:sz w:val="1"/>
                <w:szCs w:val="1"/>
                <w:color w:val="auto"/>
              </w:rPr>
            </w:pPr>
          </w:p>
        </w:tc>
      </w:tr>
      <w:tr>
        <w:trPr>
          <w:trHeight w:val="216"/>
        </w:trPr>
        <w:tc>
          <w:tcPr>
            <w:tcW w:w="3320" w:type="dxa"/>
            <w:vAlign w:val="bottom"/>
          </w:tcPr>
          <w:p>
            <w:pPr>
              <w:ind w:left="220"/>
              <w:spacing w:after="0" w:line="216" w:lineRule="exact"/>
              <w:rPr>
                <w:sz w:val="20"/>
                <w:szCs w:val="20"/>
                <w:color w:val="auto"/>
              </w:rPr>
            </w:pPr>
            <w:r>
              <w:rPr>
                <w:rFonts w:ascii="Arial" w:cs="Arial" w:eastAsia="Arial" w:hAnsi="Arial"/>
                <w:sz w:val="25"/>
                <w:szCs w:val="25"/>
                <w:color w:val="auto"/>
                <w:vertAlign w:val="subscript"/>
              </w:rPr>
              <w:t>8%</w:t>
            </w:r>
            <w:r>
              <w:rPr>
                <w:rFonts w:ascii="Arial" w:cs="Arial" w:eastAsia="Arial" w:hAnsi="Arial"/>
                <w:sz w:val="9"/>
                <w:szCs w:val="9"/>
                <w:color w:val="auto"/>
              </w:rPr>
              <w:t>(5)</w:t>
            </w:r>
          </w:p>
        </w:tc>
        <w:tc>
          <w:tcPr>
            <w:tcW w:w="8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3400" w:type="dxa"/>
            <w:vAlign w:val="bottom"/>
            <w:gridSpan w:val="2"/>
            <w:shd w:val="clear" w:color="auto" w:fill="CCEEFF"/>
          </w:tcPr>
          <w:p>
            <w:pPr>
              <w:ind w:left="220"/>
              <w:spacing w:after="0" w:line="162" w:lineRule="exact"/>
              <w:rPr>
                <w:sz w:val="20"/>
                <w:szCs w:val="20"/>
                <w:color w:val="auto"/>
              </w:rPr>
            </w:pPr>
            <w:r>
              <w:rPr>
                <w:rFonts w:ascii="Arial" w:cs="Arial" w:eastAsia="Arial" w:hAnsi="Arial"/>
                <w:sz w:val="16"/>
                <w:szCs w:val="16"/>
                <w:color w:val="auto"/>
              </w:rPr>
              <w:t>StormWind, LLC–Preferred shares, Series C</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98"/>
              </w:rPr>
              <w:t>2,779,134</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92"/>
              </w:rPr>
              <w:t>5,391,000</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gridSpan w:val="2"/>
            <w:vMerge w:val="restart"/>
            <w:shd w:val="clear" w:color="auto" w:fill="CCEEFF"/>
          </w:tcPr>
          <w:p>
            <w:pPr>
              <w:ind w:left="6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(586,782)</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98"/>
              </w:rPr>
              <w:t>4,804,218</w:t>
            </w:r>
          </w:p>
        </w:tc>
        <w:tc>
          <w:tcPr>
            <w:tcW w:w="8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1.59 %</w:t>
            </w:r>
          </w:p>
        </w:tc>
        <w:tc>
          <w:tcPr>
            <w:tcW w:w="0" w:type="dxa"/>
            <w:vAlign w:val="bottom"/>
          </w:tcPr>
          <w:p>
            <w:pPr>
              <w:spacing w:after="0"/>
              <w:rPr>
                <w:sz w:val="1"/>
                <w:szCs w:val="1"/>
                <w:color w:val="auto"/>
              </w:rPr>
            </w:pPr>
          </w:p>
        </w:tc>
      </w:tr>
      <w:tr>
        <w:trPr>
          <w:trHeight w:val="216"/>
        </w:trPr>
        <w:tc>
          <w:tcPr>
            <w:tcW w:w="3320" w:type="dxa"/>
            <w:vAlign w:val="bottom"/>
            <w:shd w:val="clear" w:color="auto" w:fill="CCEEFF"/>
          </w:tcPr>
          <w:p>
            <w:pPr>
              <w:ind w:left="220"/>
              <w:spacing w:after="0" w:line="216" w:lineRule="exact"/>
              <w:rPr>
                <w:sz w:val="20"/>
                <w:szCs w:val="20"/>
                <w:color w:val="auto"/>
              </w:rPr>
            </w:pPr>
            <w:r>
              <w:rPr>
                <w:rFonts w:ascii="Arial" w:cs="Arial" w:eastAsia="Arial" w:hAnsi="Arial"/>
                <w:sz w:val="25"/>
                <w:szCs w:val="25"/>
                <w:color w:val="auto"/>
                <w:vertAlign w:val="subscript"/>
              </w:rPr>
              <w:t>8%</w:t>
            </w:r>
            <w:r>
              <w:rPr>
                <w:rFonts w:ascii="Arial" w:cs="Arial" w:eastAsia="Arial" w:hAnsi="Arial"/>
                <w:sz w:val="9"/>
                <w:szCs w:val="9"/>
                <w:color w:val="auto"/>
              </w:rPr>
              <w:t>(5)</w:t>
            </w:r>
          </w:p>
        </w:tc>
        <w:tc>
          <w:tcPr>
            <w:tcW w:w="8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3400" w:type="dxa"/>
            <w:vAlign w:val="bottom"/>
            <w:gridSpan w:val="2"/>
          </w:tcPr>
          <w:p>
            <w:pPr>
              <w:ind w:left="220"/>
              <w:spacing w:after="0" w:line="162" w:lineRule="exact"/>
              <w:rPr>
                <w:sz w:val="20"/>
                <w:szCs w:val="20"/>
                <w:color w:val="auto"/>
              </w:rPr>
            </w:pPr>
            <w:r>
              <w:rPr>
                <w:rFonts w:ascii="Arial" w:cs="Arial" w:eastAsia="Arial" w:hAnsi="Arial"/>
                <w:sz w:val="16"/>
                <w:szCs w:val="16"/>
                <w:color w:val="auto"/>
              </w:rPr>
              <w:t>StormWind, LLC–Preferred shares, Series B</w:t>
            </w: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w w:val="98"/>
              </w:rPr>
              <w:t>3,279,629</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w w:val="92"/>
              </w:rPr>
              <w:t>3,248,804</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vMerge w:val="restart"/>
          </w:tcPr>
          <w:p>
            <w:pPr>
              <w:ind w:left="6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860" w:type="dxa"/>
            <w:vAlign w:val="bottom"/>
            <w:gridSpan w:val="2"/>
            <w:vMerge w:val="restart"/>
          </w:tcPr>
          <w:p>
            <w:pPr>
              <w:ind w:left="5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(623,439)</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w w:val="98"/>
              </w:rPr>
              <w:t>2,625,365</w:t>
            </w:r>
          </w:p>
        </w:tc>
        <w:tc>
          <w:tcPr>
            <w:tcW w:w="8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0.87 %</w:t>
            </w:r>
          </w:p>
        </w:tc>
        <w:tc>
          <w:tcPr>
            <w:tcW w:w="0" w:type="dxa"/>
            <w:vAlign w:val="bottom"/>
          </w:tcPr>
          <w:p>
            <w:pPr>
              <w:spacing w:after="0"/>
              <w:rPr>
                <w:sz w:val="1"/>
                <w:szCs w:val="1"/>
                <w:color w:val="auto"/>
              </w:rPr>
            </w:pPr>
          </w:p>
        </w:tc>
      </w:tr>
      <w:tr>
        <w:trPr>
          <w:trHeight w:val="216"/>
        </w:trPr>
        <w:tc>
          <w:tcPr>
            <w:tcW w:w="3320" w:type="dxa"/>
            <w:vAlign w:val="bottom"/>
          </w:tcPr>
          <w:p>
            <w:pPr>
              <w:ind w:left="220"/>
              <w:spacing w:after="0" w:line="216" w:lineRule="exact"/>
              <w:rPr>
                <w:sz w:val="20"/>
                <w:szCs w:val="20"/>
                <w:color w:val="auto"/>
              </w:rPr>
            </w:pPr>
            <w:r>
              <w:rPr>
                <w:rFonts w:ascii="Arial" w:cs="Arial" w:eastAsia="Arial" w:hAnsi="Arial"/>
                <w:sz w:val="25"/>
                <w:szCs w:val="25"/>
                <w:color w:val="auto"/>
                <w:vertAlign w:val="subscript"/>
              </w:rPr>
              <w:t>8%</w:t>
            </w:r>
            <w:r>
              <w:rPr>
                <w:rFonts w:ascii="Arial" w:cs="Arial" w:eastAsia="Arial" w:hAnsi="Arial"/>
                <w:sz w:val="9"/>
                <w:szCs w:val="9"/>
                <w:color w:val="auto"/>
              </w:rPr>
              <w:t>(5)</w:t>
            </w:r>
          </w:p>
        </w:tc>
        <w:tc>
          <w:tcPr>
            <w:tcW w:w="8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3400" w:type="dxa"/>
            <w:vAlign w:val="bottom"/>
            <w:gridSpan w:val="2"/>
            <w:shd w:val="clear" w:color="auto" w:fill="CCEEFF"/>
          </w:tcPr>
          <w:p>
            <w:pPr>
              <w:ind w:left="220"/>
              <w:spacing w:after="0" w:line="162" w:lineRule="exact"/>
              <w:rPr>
                <w:sz w:val="20"/>
                <w:szCs w:val="20"/>
                <w:color w:val="auto"/>
              </w:rPr>
            </w:pPr>
            <w:r>
              <w:rPr>
                <w:rFonts w:ascii="Arial" w:cs="Arial" w:eastAsia="Arial" w:hAnsi="Arial"/>
                <w:sz w:val="16"/>
                <w:szCs w:val="16"/>
                <w:color w:val="auto"/>
              </w:rPr>
              <w:t>StormWind, LLC–Preferred shares, Series A</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366,666</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80" w:type="dxa"/>
            <w:vAlign w:val="bottom"/>
            <w:vMerge w:val="restart"/>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157,949</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ind w:left="640"/>
              <w:spacing w:after="0"/>
              <w:rPr>
                <w:sz w:val="20"/>
                <w:szCs w:val="20"/>
                <w:color w:val="auto"/>
              </w:rPr>
            </w:pPr>
            <w:r>
              <w:rPr>
                <w:rFonts w:ascii="Arial" w:cs="Arial" w:eastAsia="Arial" w:hAnsi="Arial"/>
                <w:sz w:val="16"/>
                <w:szCs w:val="16"/>
                <w:color w:val="auto"/>
              </w:rPr>
              <w:t>—</w:t>
            </w:r>
          </w:p>
        </w:tc>
        <w:tc>
          <w:tcPr>
            <w:tcW w:w="80" w:type="dxa"/>
            <w:vAlign w:val="bottom"/>
            <w:vMerge w:val="restart"/>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80" w:type="dxa"/>
            <w:vAlign w:val="bottom"/>
            <w:vMerge w:val="restart"/>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(69,701)</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88,248</w:t>
            </w:r>
          </w:p>
        </w:tc>
        <w:tc>
          <w:tcPr>
            <w:tcW w:w="8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0.03 %</w:t>
            </w:r>
          </w:p>
        </w:tc>
        <w:tc>
          <w:tcPr>
            <w:tcW w:w="0" w:type="dxa"/>
            <w:vAlign w:val="bottom"/>
          </w:tcPr>
          <w:p>
            <w:pPr>
              <w:spacing w:after="0"/>
              <w:rPr>
                <w:sz w:val="1"/>
                <w:szCs w:val="1"/>
                <w:color w:val="auto"/>
              </w:rPr>
            </w:pPr>
          </w:p>
        </w:tc>
      </w:tr>
      <w:tr>
        <w:trPr>
          <w:trHeight w:val="216"/>
        </w:trPr>
        <w:tc>
          <w:tcPr>
            <w:tcW w:w="3320" w:type="dxa"/>
            <w:vAlign w:val="bottom"/>
            <w:shd w:val="clear" w:color="auto" w:fill="CCEEFF"/>
          </w:tcPr>
          <w:p>
            <w:pPr>
              <w:ind w:left="220"/>
              <w:spacing w:after="0" w:line="216" w:lineRule="exact"/>
              <w:rPr>
                <w:sz w:val="20"/>
                <w:szCs w:val="20"/>
                <w:color w:val="auto"/>
              </w:rPr>
            </w:pPr>
            <w:r>
              <w:rPr>
                <w:rFonts w:ascii="Arial" w:cs="Arial" w:eastAsia="Arial" w:hAnsi="Arial"/>
                <w:sz w:val="25"/>
                <w:szCs w:val="25"/>
                <w:color w:val="auto"/>
                <w:vertAlign w:val="subscript"/>
              </w:rPr>
              <w:t>8%</w:t>
            </w:r>
            <w:r>
              <w:rPr>
                <w:rFonts w:ascii="Arial" w:cs="Arial" w:eastAsia="Arial" w:hAnsi="Arial"/>
                <w:sz w:val="9"/>
                <w:szCs w:val="9"/>
                <w:color w:val="auto"/>
              </w:rPr>
              <w:t>(5)</w:t>
            </w:r>
          </w:p>
        </w:tc>
        <w:tc>
          <w:tcPr>
            <w:tcW w:w="8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vMerge w:val="continue"/>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vMerge w:val="continue"/>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vMerge w:val="continue"/>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3400" w:type="dxa"/>
            <w:vAlign w:val="bottom"/>
            <w:gridSpan w:val="2"/>
          </w:tcPr>
          <w:p>
            <w:pPr>
              <w:ind w:left="140"/>
              <w:spacing w:after="0"/>
              <w:rPr>
                <w:sz w:val="20"/>
                <w:szCs w:val="20"/>
                <w:color w:val="auto"/>
              </w:rPr>
            </w:pPr>
            <w:r>
              <w:rPr>
                <w:rFonts w:ascii="Arial" w:cs="Arial" w:eastAsia="Arial" w:hAnsi="Arial"/>
                <w:sz w:val="16"/>
                <w:szCs w:val="16"/>
                <w:i w:val="1"/>
                <w:iCs w:val="1"/>
                <w:color w:val="auto"/>
              </w:rPr>
              <w:t>Total Interactive Learning</w:t>
            </w: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w w:val="92"/>
              </w:rPr>
              <w:t>9,300,873</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ind w:left="6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60" w:type="dxa"/>
            <w:vAlign w:val="bottom"/>
            <w:gridSpan w:val="2"/>
          </w:tcPr>
          <w:p>
            <w:pPr>
              <w:ind w:left="5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w w:val="92"/>
              </w:rPr>
              <w:t>(1,342,527)</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w w:val="98"/>
              </w:rPr>
              <w:t>7,958,346</w:t>
            </w: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2.64 %</w:t>
            </w:r>
          </w:p>
        </w:tc>
        <w:tc>
          <w:tcPr>
            <w:tcW w:w="0" w:type="dxa"/>
            <w:vAlign w:val="bottom"/>
          </w:tcPr>
          <w:p>
            <w:pPr>
              <w:spacing w:after="0"/>
              <w:rPr>
                <w:sz w:val="1"/>
                <w:szCs w:val="1"/>
                <w:color w:val="auto"/>
              </w:rPr>
            </w:pPr>
          </w:p>
        </w:tc>
      </w:tr>
      <w:tr>
        <w:trPr>
          <w:trHeight w:val="219"/>
        </w:trPr>
        <w:tc>
          <w:tcPr>
            <w:tcW w:w="340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Total Preferred Stock</w:t>
            </w: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w w:val="97"/>
              </w:rPr>
              <w:t>23,837,775</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ind w:left="6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2"/>
              </w:rPr>
              <w:t>(6,469,724)</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7"/>
              </w:rPr>
              <w:t>17,368,051</w:t>
            </w:r>
          </w:p>
        </w:tc>
        <w:tc>
          <w:tcPr>
            <w:tcW w:w="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5.76 %</w:t>
            </w:r>
          </w:p>
        </w:tc>
        <w:tc>
          <w:tcPr>
            <w:tcW w:w="0" w:type="dxa"/>
            <w:vAlign w:val="bottom"/>
          </w:tcPr>
          <w:p>
            <w:pPr>
              <w:spacing w:after="0"/>
              <w:rPr>
                <w:sz w:val="1"/>
                <w:szCs w:val="1"/>
                <w:color w:val="auto"/>
              </w:rPr>
            </w:pPr>
          </w:p>
        </w:tc>
      </w:tr>
      <w:tr>
        <w:trPr>
          <w:trHeight w:val="213"/>
        </w:trPr>
        <w:tc>
          <w:tcPr>
            <w:tcW w:w="3400" w:type="dxa"/>
            <w:vAlign w:val="bottom"/>
            <w:gridSpan w:val="2"/>
          </w:tcPr>
          <w:p>
            <w:pPr>
              <w:ind w:left="20"/>
              <w:spacing w:after="0"/>
              <w:rPr>
                <w:sz w:val="20"/>
                <w:szCs w:val="20"/>
                <w:color w:val="auto"/>
              </w:rPr>
            </w:pPr>
            <w:r>
              <w:rPr>
                <w:rFonts w:ascii="Arial" w:cs="Arial" w:eastAsia="Arial" w:hAnsi="Arial"/>
                <w:sz w:val="16"/>
                <w:szCs w:val="16"/>
                <w:b w:val="1"/>
                <w:bCs w:val="1"/>
                <w:color w:val="auto"/>
              </w:rPr>
              <w:t>Options</w:t>
            </w: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3400" w:type="dxa"/>
            <w:vAlign w:val="bottom"/>
            <w:gridSpan w:val="2"/>
            <w:shd w:val="clear" w:color="auto" w:fill="CCEEFF"/>
          </w:tcPr>
          <w:p>
            <w:pPr>
              <w:ind w:left="140"/>
              <w:spacing w:after="0"/>
              <w:rPr>
                <w:sz w:val="20"/>
                <w:szCs w:val="20"/>
                <w:color w:val="auto"/>
              </w:rPr>
            </w:pPr>
            <w:r>
              <w:rPr>
                <w:rFonts w:ascii="Arial" w:cs="Arial" w:eastAsia="Arial" w:hAnsi="Arial"/>
                <w:sz w:val="16"/>
                <w:szCs w:val="16"/>
                <w:i w:val="1"/>
                <w:iCs w:val="1"/>
                <w:color w:val="auto"/>
              </w:rPr>
              <w:t>Digital Media Platform</w:t>
            </w:r>
          </w:p>
        </w:tc>
        <w:tc>
          <w:tcPr>
            <w:tcW w:w="800" w:type="dxa"/>
            <w:vAlign w:val="bottom"/>
            <w:tcBorders>
              <w:bottom w:val="single" w:sz="8" w:color="CCEEFF"/>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59"/>
        </w:trPr>
        <w:tc>
          <w:tcPr>
            <w:tcW w:w="3400" w:type="dxa"/>
            <w:vAlign w:val="bottom"/>
            <w:gridSpan w:val="2"/>
          </w:tcPr>
          <w:p>
            <w:pPr>
              <w:ind w:left="220"/>
              <w:spacing w:after="0" w:line="159" w:lineRule="exact"/>
              <w:rPr>
                <w:sz w:val="20"/>
                <w:szCs w:val="20"/>
                <w:color w:val="auto"/>
              </w:rPr>
            </w:pPr>
            <w:r>
              <w:rPr>
                <w:rFonts w:ascii="Arial" w:cs="Arial" w:eastAsia="Arial" w:hAnsi="Arial"/>
                <w:sz w:val="16"/>
                <w:szCs w:val="16"/>
                <w:color w:val="auto"/>
              </w:rPr>
              <w:t>OzyMedia, Inc.–Common Warrants, Strike</w:t>
            </w: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295,565</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3"/>
                <w:szCs w:val="13"/>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w w:val="92"/>
              </w:rPr>
              <w:t>1,182,260</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vMerge w:val="restart"/>
          </w:tcPr>
          <w:p>
            <w:pPr>
              <w:ind w:left="6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3"/>
                <w:szCs w:val="13"/>
                <w:color w:val="auto"/>
              </w:rPr>
            </w:pPr>
          </w:p>
        </w:tc>
        <w:tc>
          <w:tcPr>
            <w:tcW w:w="860" w:type="dxa"/>
            <w:vAlign w:val="bottom"/>
            <w:gridSpan w:val="2"/>
            <w:vMerge w:val="restart"/>
          </w:tcPr>
          <w:p>
            <w:pPr>
              <w:ind w:left="5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3"/>
                <w:szCs w:val="13"/>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(419,702)</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762,558</w:t>
            </w:r>
          </w:p>
        </w:tc>
        <w:tc>
          <w:tcPr>
            <w:tcW w:w="80" w:type="dxa"/>
            <w:vAlign w:val="bottom"/>
          </w:tcPr>
          <w:p>
            <w:pPr>
              <w:spacing w:after="0"/>
              <w:rPr>
                <w:sz w:val="13"/>
                <w:szCs w:val="13"/>
                <w:color w:val="auto"/>
              </w:rPr>
            </w:pP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0.25 %</w:t>
            </w:r>
          </w:p>
        </w:tc>
        <w:tc>
          <w:tcPr>
            <w:tcW w:w="0" w:type="dxa"/>
            <w:vAlign w:val="bottom"/>
          </w:tcPr>
          <w:p>
            <w:pPr>
              <w:spacing w:after="0"/>
              <w:rPr>
                <w:sz w:val="1"/>
                <w:szCs w:val="1"/>
                <w:color w:val="auto"/>
              </w:rPr>
            </w:pPr>
          </w:p>
        </w:tc>
      </w:tr>
      <w:tr>
        <w:trPr>
          <w:trHeight w:val="209"/>
        </w:trPr>
        <w:tc>
          <w:tcPr>
            <w:tcW w:w="3400" w:type="dxa"/>
            <w:vAlign w:val="bottom"/>
            <w:gridSpan w:val="2"/>
          </w:tcPr>
          <w:p>
            <w:pPr>
              <w:ind w:left="220"/>
              <w:spacing w:after="0"/>
              <w:rPr>
                <w:sz w:val="20"/>
                <w:szCs w:val="20"/>
                <w:color w:val="auto"/>
              </w:rPr>
            </w:pPr>
            <w:r>
              <w:rPr>
                <w:rFonts w:ascii="Arial" w:cs="Arial" w:eastAsia="Arial" w:hAnsi="Arial"/>
                <w:sz w:val="16"/>
                <w:szCs w:val="16"/>
                <w:color w:val="auto"/>
              </w:rPr>
              <w:t>Price $0.01, Expiration Date 4/9/2028</w:t>
            </w:r>
          </w:p>
        </w:tc>
        <w:tc>
          <w:tcPr>
            <w:tcW w:w="8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3400" w:type="dxa"/>
            <w:vAlign w:val="bottom"/>
            <w:gridSpan w:val="2"/>
            <w:shd w:val="clear" w:color="auto" w:fill="CCEEFF"/>
          </w:tcPr>
          <w:p>
            <w:pPr>
              <w:ind w:left="140"/>
              <w:spacing w:after="0"/>
              <w:rPr>
                <w:sz w:val="20"/>
                <w:szCs w:val="20"/>
                <w:color w:val="auto"/>
              </w:rPr>
            </w:pPr>
            <w:r>
              <w:rPr>
                <w:rFonts w:ascii="Arial" w:cs="Arial" w:eastAsia="Arial" w:hAnsi="Arial"/>
                <w:sz w:val="16"/>
                <w:szCs w:val="16"/>
                <w:i w:val="1"/>
                <w:iCs w:val="1"/>
                <w:color w:val="auto"/>
              </w:rPr>
              <w:t>Global Innovation Platform</w:t>
            </w:r>
          </w:p>
        </w:tc>
        <w:tc>
          <w:tcPr>
            <w:tcW w:w="800" w:type="dxa"/>
            <w:vAlign w:val="bottom"/>
            <w:tcBorders>
              <w:bottom w:val="single" w:sz="8" w:color="CCEEFF"/>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46"/>
        </w:trPr>
        <w:tc>
          <w:tcPr>
            <w:tcW w:w="3400" w:type="dxa"/>
            <w:vAlign w:val="bottom"/>
            <w:gridSpan w:val="2"/>
          </w:tcPr>
          <w:p>
            <w:pPr>
              <w:ind w:left="220"/>
              <w:spacing w:after="0" w:line="146" w:lineRule="exact"/>
              <w:rPr>
                <w:sz w:val="20"/>
                <w:szCs w:val="20"/>
                <w:color w:val="auto"/>
              </w:rPr>
            </w:pPr>
            <w:r>
              <w:rPr>
                <w:rFonts w:ascii="Arial" w:cs="Arial" w:eastAsia="Arial" w:hAnsi="Arial"/>
                <w:sz w:val="16"/>
                <w:szCs w:val="16"/>
                <w:color w:val="auto"/>
              </w:rPr>
              <w:t>NestGSV, Inc. (d/b/a OneValley, Inc.)–</w:t>
            </w: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400" w:type="dxa"/>
            <w:vAlign w:val="bottom"/>
            <w:gridSpan w:val="2"/>
          </w:tcPr>
          <w:p>
            <w:pPr>
              <w:ind w:left="220"/>
              <w:spacing w:after="0" w:line="162" w:lineRule="exact"/>
              <w:rPr>
                <w:sz w:val="20"/>
                <w:szCs w:val="20"/>
                <w:color w:val="auto"/>
              </w:rPr>
            </w:pPr>
            <w:r>
              <w:rPr>
                <w:rFonts w:ascii="Arial" w:cs="Arial" w:eastAsia="Arial" w:hAnsi="Arial"/>
                <w:sz w:val="16"/>
                <w:szCs w:val="16"/>
                <w:color w:val="auto"/>
              </w:rPr>
              <w:t>Preferred Warrant Series A-3, Strike Price</w:t>
            </w: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187,500</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20,625</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vMerge w:val="restart"/>
          </w:tcPr>
          <w:p>
            <w:pPr>
              <w:ind w:left="6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860" w:type="dxa"/>
            <w:vAlign w:val="bottom"/>
            <w:gridSpan w:val="2"/>
            <w:vMerge w:val="restart"/>
          </w:tcPr>
          <w:p>
            <w:pPr>
              <w:ind w:left="5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(15,938)</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4,687</w:t>
            </w:r>
          </w:p>
        </w:tc>
        <w:tc>
          <w:tcPr>
            <w:tcW w:w="8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209"/>
        </w:trPr>
        <w:tc>
          <w:tcPr>
            <w:tcW w:w="3400" w:type="dxa"/>
            <w:vAlign w:val="bottom"/>
            <w:gridSpan w:val="2"/>
          </w:tcPr>
          <w:p>
            <w:pPr>
              <w:ind w:left="220"/>
              <w:spacing w:after="0"/>
              <w:rPr>
                <w:sz w:val="20"/>
                <w:szCs w:val="20"/>
                <w:color w:val="auto"/>
              </w:rPr>
            </w:pPr>
            <w:r>
              <w:rPr>
                <w:rFonts w:ascii="Arial" w:cs="Arial" w:eastAsia="Arial" w:hAnsi="Arial"/>
                <w:sz w:val="16"/>
                <w:szCs w:val="16"/>
                <w:color w:val="auto"/>
              </w:rPr>
              <w:t>$1.33, Expiration Date 4/4/2021</w:t>
            </w:r>
          </w:p>
        </w:tc>
        <w:tc>
          <w:tcPr>
            <w:tcW w:w="8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3400" w:type="dxa"/>
            <w:vAlign w:val="bottom"/>
            <w:gridSpan w:val="2"/>
            <w:shd w:val="clear" w:color="auto" w:fill="CCEEFF"/>
          </w:tcPr>
          <w:p>
            <w:pPr>
              <w:ind w:left="220"/>
              <w:spacing w:after="0" w:line="169" w:lineRule="exact"/>
              <w:rPr>
                <w:sz w:val="20"/>
                <w:szCs w:val="20"/>
                <w:color w:val="auto"/>
              </w:rPr>
            </w:pPr>
            <w:r>
              <w:rPr>
                <w:rFonts w:ascii="Arial" w:cs="Arial" w:eastAsia="Arial" w:hAnsi="Arial"/>
                <w:sz w:val="16"/>
                <w:szCs w:val="16"/>
                <w:color w:val="auto"/>
              </w:rPr>
              <w:t>NestGSV, Inc. (d/b/a OneValley, Inc.)–</w:t>
            </w: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00" w:type="dxa"/>
            <w:vAlign w:val="bottom"/>
            <w:gridSpan w:val="2"/>
            <w:shd w:val="clear" w:color="auto" w:fill="CCEEFF"/>
          </w:tcPr>
          <w:p>
            <w:pPr>
              <w:ind w:left="220"/>
              <w:spacing w:after="0" w:line="162" w:lineRule="exact"/>
              <w:rPr>
                <w:sz w:val="20"/>
                <w:szCs w:val="20"/>
                <w:color w:val="auto"/>
              </w:rPr>
            </w:pPr>
            <w:r>
              <w:rPr>
                <w:rFonts w:ascii="Arial" w:cs="Arial" w:eastAsia="Arial" w:hAnsi="Arial"/>
                <w:sz w:val="16"/>
                <w:szCs w:val="16"/>
                <w:color w:val="auto"/>
              </w:rPr>
              <w:t>Preferred Warrant Series A-4, Strike Price</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500,000</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135,000</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gridSpan w:val="2"/>
            <w:vMerge w:val="restart"/>
            <w:shd w:val="clear" w:color="auto" w:fill="CCEEFF"/>
          </w:tcPr>
          <w:p>
            <w:pPr>
              <w:ind w:left="6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(70,000)</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65,000</w:t>
            </w:r>
          </w:p>
        </w:tc>
        <w:tc>
          <w:tcPr>
            <w:tcW w:w="8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0.02 %</w:t>
            </w:r>
          </w:p>
        </w:tc>
        <w:tc>
          <w:tcPr>
            <w:tcW w:w="0" w:type="dxa"/>
            <w:vAlign w:val="bottom"/>
          </w:tcPr>
          <w:p>
            <w:pPr>
              <w:spacing w:after="0"/>
              <w:rPr>
                <w:sz w:val="1"/>
                <w:szCs w:val="1"/>
                <w:color w:val="auto"/>
              </w:rPr>
            </w:pPr>
          </w:p>
        </w:tc>
      </w:tr>
      <w:tr>
        <w:trPr>
          <w:trHeight w:val="217"/>
        </w:trPr>
        <w:tc>
          <w:tcPr>
            <w:tcW w:w="340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$1.33, Expiration Date 10/6/2021</w:t>
            </w:r>
          </w:p>
        </w:tc>
        <w:tc>
          <w:tcPr>
            <w:tcW w:w="800" w:type="dxa"/>
            <w:vAlign w:val="bottom"/>
            <w:tcBorders>
              <w:bottom w:val="single" w:sz="8" w:color="CCEEFF"/>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6"/>
        </w:trPr>
        <w:tc>
          <w:tcPr>
            <w:tcW w:w="3400" w:type="dxa"/>
            <w:vAlign w:val="bottom"/>
            <w:gridSpan w:val="2"/>
          </w:tcPr>
          <w:p>
            <w:pPr>
              <w:ind w:left="220"/>
              <w:spacing w:after="0" w:line="146" w:lineRule="exact"/>
              <w:rPr>
                <w:sz w:val="20"/>
                <w:szCs w:val="20"/>
                <w:color w:val="auto"/>
              </w:rPr>
            </w:pPr>
            <w:r>
              <w:rPr>
                <w:rFonts w:ascii="Arial" w:cs="Arial" w:eastAsia="Arial" w:hAnsi="Arial"/>
                <w:sz w:val="16"/>
                <w:szCs w:val="16"/>
                <w:color w:val="auto"/>
              </w:rPr>
              <w:t>NestGSV, Inc. (d/b/a OneValley, Inc.)–</w:t>
            </w: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400" w:type="dxa"/>
            <w:vAlign w:val="bottom"/>
            <w:gridSpan w:val="2"/>
          </w:tcPr>
          <w:p>
            <w:pPr>
              <w:ind w:left="220"/>
              <w:spacing w:after="0" w:line="162" w:lineRule="exact"/>
              <w:rPr>
                <w:sz w:val="20"/>
                <w:szCs w:val="20"/>
                <w:color w:val="auto"/>
              </w:rPr>
            </w:pPr>
            <w:r>
              <w:rPr>
                <w:rFonts w:ascii="Arial" w:cs="Arial" w:eastAsia="Arial" w:hAnsi="Arial"/>
                <w:sz w:val="16"/>
                <w:szCs w:val="16"/>
                <w:color w:val="auto"/>
              </w:rPr>
              <w:t>Preferred Warrant Series A-4, Strike Price</w:t>
            </w: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250,000</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62,500</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vMerge w:val="restart"/>
          </w:tcPr>
          <w:p>
            <w:pPr>
              <w:ind w:left="6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860" w:type="dxa"/>
            <w:vAlign w:val="bottom"/>
            <w:gridSpan w:val="2"/>
            <w:vMerge w:val="restart"/>
          </w:tcPr>
          <w:p>
            <w:pPr>
              <w:ind w:left="5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(35,000)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27,500</w:t>
            </w:r>
          </w:p>
        </w:tc>
        <w:tc>
          <w:tcPr>
            <w:tcW w:w="8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0.01 %</w:t>
            </w:r>
          </w:p>
        </w:tc>
        <w:tc>
          <w:tcPr>
            <w:tcW w:w="0" w:type="dxa"/>
            <w:vAlign w:val="bottom"/>
          </w:tcPr>
          <w:p>
            <w:pPr>
              <w:spacing w:after="0"/>
              <w:rPr>
                <w:sz w:val="1"/>
                <w:szCs w:val="1"/>
                <w:color w:val="auto"/>
              </w:rPr>
            </w:pPr>
          </w:p>
        </w:tc>
      </w:tr>
      <w:tr>
        <w:trPr>
          <w:trHeight w:val="209"/>
        </w:trPr>
        <w:tc>
          <w:tcPr>
            <w:tcW w:w="3400" w:type="dxa"/>
            <w:vAlign w:val="bottom"/>
            <w:gridSpan w:val="2"/>
          </w:tcPr>
          <w:p>
            <w:pPr>
              <w:ind w:left="220"/>
              <w:spacing w:after="0"/>
              <w:rPr>
                <w:sz w:val="20"/>
                <w:szCs w:val="20"/>
                <w:color w:val="auto"/>
              </w:rPr>
            </w:pPr>
            <w:r>
              <w:rPr>
                <w:rFonts w:ascii="Arial" w:cs="Arial" w:eastAsia="Arial" w:hAnsi="Arial"/>
                <w:sz w:val="16"/>
                <w:szCs w:val="16"/>
                <w:color w:val="auto"/>
              </w:rPr>
              <w:t>$1.33, Expiration Date 7/18/2021</w:t>
            </w:r>
          </w:p>
        </w:tc>
        <w:tc>
          <w:tcPr>
            <w:tcW w:w="8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3400" w:type="dxa"/>
            <w:vAlign w:val="bottom"/>
            <w:gridSpan w:val="2"/>
            <w:shd w:val="clear" w:color="auto" w:fill="CCEEFF"/>
          </w:tcPr>
          <w:p>
            <w:pPr>
              <w:ind w:left="220"/>
              <w:spacing w:after="0" w:line="169" w:lineRule="exact"/>
              <w:rPr>
                <w:sz w:val="20"/>
                <w:szCs w:val="20"/>
                <w:color w:val="auto"/>
              </w:rPr>
            </w:pPr>
            <w:r>
              <w:rPr>
                <w:rFonts w:ascii="Arial" w:cs="Arial" w:eastAsia="Arial" w:hAnsi="Arial"/>
                <w:sz w:val="16"/>
                <w:szCs w:val="16"/>
                <w:color w:val="auto"/>
              </w:rPr>
              <w:t>NestGSV, Inc. (d/b/a OneValley, Inc.)–</w:t>
            </w: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00" w:type="dxa"/>
            <w:vAlign w:val="bottom"/>
            <w:gridSpan w:val="2"/>
            <w:shd w:val="clear" w:color="auto" w:fill="CCEEFF"/>
          </w:tcPr>
          <w:p>
            <w:pPr>
              <w:ind w:left="220"/>
              <w:spacing w:after="0" w:line="162" w:lineRule="exact"/>
              <w:rPr>
                <w:sz w:val="20"/>
                <w:szCs w:val="20"/>
                <w:color w:val="auto"/>
              </w:rPr>
            </w:pPr>
            <w:r>
              <w:rPr>
                <w:rFonts w:ascii="Arial" w:cs="Arial" w:eastAsia="Arial" w:hAnsi="Arial"/>
                <w:sz w:val="16"/>
                <w:szCs w:val="16"/>
                <w:color w:val="auto"/>
                <w:w w:val="95"/>
              </w:rPr>
              <w:t>Preferred Warrant Series B, Strike Price $2.31,</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100,000</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940" w:type="dxa"/>
            <w:vAlign w:val="bottom"/>
            <w:gridSpan w:val="2"/>
            <w:vMerge w:val="restart"/>
            <w:shd w:val="clear" w:color="auto" w:fill="CCEEFF"/>
          </w:tcPr>
          <w:p>
            <w:pPr>
              <w:ind w:left="6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900" w:type="dxa"/>
            <w:vAlign w:val="bottom"/>
            <w:gridSpan w:val="2"/>
            <w:vMerge w:val="restart"/>
            <w:shd w:val="clear" w:color="auto" w:fill="CCEEFF"/>
          </w:tcPr>
          <w:p>
            <w:pPr>
              <w:ind w:left="5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212"/>
        </w:trPr>
        <w:tc>
          <w:tcPr>
            <w:tcW w:w="340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Expiration Date 11/29/2021</w:t>
            </w:r>
          </w:p>
        </w:tc>
        <w:tc>
          <w:tcPr>
            <w:tcW w:w="8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-1765300</wp:posOffset>
            </wp:positionV>
            <wp:extent cx="2099945" cy="25717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099945" cy="257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240"/>
          </w:cols>
          <w:pgMar w:left="320" w:top="122" w:right="339" w:bottom="1440" w:gutter="0" w:footer="0" w:header="0"/>
        </w:sectPr>
      </w:pPr>
    </w:p>
    <w:bookmarkStart w:id="42" w:name="page43"/>
    <w:bookmarkEnd w:id="4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SURO CAPITAL CORP. AND SUBSIDIARIES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2021</w:t>
      </w: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89"/>
              </w:rPr>
              <w:t>Interest, Fees,</w:t>
            </w: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8"/>
              </w:rPr>
              <w:t>Purchases,</w:t>
            </w: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3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85"/>
              </w:rPr>
              <w:t>or</w:t>
            </w:r>
          </w:p>
        </w:tc>
        <w:tc>
          <w:tcPr>
            <w:tcW w:w="100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Fair Value at</w:t>
            </w:r>
          </w:p>
        </w:tc>
        <w:tc>
          <w:tcPr>
            <w:tcW w:w="100" w:type="dxa"/>
            <w:vAlign w:val="bottom"/>
          </w:tcPr>
          <w:p>
            <w:pPr>
              <w:spacing w:after="0"/>
              <w:rPr>
                <w:sz w:val="11"/>
                <w:szCs w:val="11"/>
                <w:color w:val="auto"/>
              </w:rPr>
            </w:pPr>
          </w:p>
        </w:tc>
        <w:tc>
          <w:tcPr>
            <w:tcW w:w="940" w:type="dxa"/>
            <w:vAlign w:val="bottom"/>
            <w:gridSpan w:val="2"/>
          </w:tcPr>
          <w:p>
            <w:pPr>
              <w:jc w:val="center"/>
              <w:ind w:right="200"/>
              <w:spacing w:after="0" w:line="135" w:lineRule="exact"/>
              <w:rPr>
                <w:sz w:val="20"/>
                <w:szCs w:val="20"/>
                <w:color w:val="auto"/>
              </w:rPr>
            </w:pPr>
            <w:r>
              <w:rPr>
                <w:rFonts w:ascii="Arial" w:cs="Arial" w:eastAsia="Arial" w:hAnsi="Arial"/>
                <w:sz w:val="14"/>
                <w:szCs w:val="14"/>
                <w:b w:val="1"/>
                <w:bCs w:val="1"/>
                <w:color w:val="auto"/>
                <w:w w:val="94"/>
              </w:rPr>
              <w:t>Capitalized</w:t>
            </w: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gridSpan w:val="3"/>
            <w:vMerge w:val="restart"/>
          </w:tcPr>
          <w:p>
            <w:pPr>
              <w:jc w:val="center"/>
              <w:ind w:right="80"/>
              <w:spacing w:after="0"/>
              <w:rPr>
                <w:sz w:val="20"/>
                <w:szCs w:val="20"/>
                <w:color w:val="auto"/>
              </w:rPr>
            </w:pPr>
            <w:r>
              <w:rPr>
                <w:rFonts w:ascii="Arial" w:cs="Arial" w:eastAsia="Arial" w:hAnsi="Arial"/>
                <w:sz w:val="14"/>
                <w:szCs w:val="14"/>
                <w:b w:val="1"/>
                <w:bCs w:val="1"/>
                <w:color w:val="auto"/>
                <w:w w:val="96"/>
              </w:rPr>
              <w:t>Fair Value at</w:t>
            </w:r>
          </w:p>
        </w:tc>
        <w:tc>
          <w:tcPr>
            <w:tcW w:w="900" w:type="dxa"/>
            <w:vAlign w:val="bottom"/>
            <w:vMerge w:val="restart"/>
          </w:tcPr>
          <w:p>
            <w:pPr>
              <w:jc w:val="right"/>
              <w:ind w:right="21"/>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135"/>
        </w:trPr>
        <w:tc>
          <w:tcPr>
            <w:tcW w:w="3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Principal/</w:t>
            </w:r>
          </w:p>
        </w:tc>
        <w:tc>
          <w:tcPr>
            <w:tcW w:w="140" w:type="dxa"/>
            <w:vAlign w:val="bottom"/>
          </w:tcPr>
          <w:p>
            <w:pPr>
              <w:spacing w:after="0"/>
              <w:rPr>
                <w:sz w:val="11"/>
                <w:szCs w:val="11"/>
                <w:color w:val="auto"/>
              </w:rPr>
            </w:pPr>
          </w:p>
        </w:tc>
        <w:tc>
          <w:tcPr>
            <w:tcW w:w="90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89"/>
              </w:rPr>
              <w:t>Dividends</w:t>
            </w:r>
          </w:p>
        </w:tc>
        <w:tc>
          <w:tcPr>
            <w:tcW w:w="1000" w:type="dxa"/>
            <w:vAlign w:val="bottom"/>
            <w:gridSpan w:val="3"/>
            <w:vMerge w:val="continue"/>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2"/>
          </w:tcPr>
          <w:p>
            <w:pPr>
              <w:jc w:val="center"/>
              <w:ind w:right="180"/>
              <w:spacing w:after="0" w:line="135" w:lineRule="exact"/>
              <w:rPr>
                <w:sz w:val="20"/>
                <w:szCs w:val="20"/>
                <w:color w:val="auto"/>
              </w:rPr>
            </w:pPr>
            <w:r>
              <w:rPr>
                <w:rFonts w:ascii="Arial" w:cs="Arial" w:eastAsia="Arial" w:hAnsi="Arial"/>
                <w:sz w:val="14"/>
                <w:szCs w:val="14"/>
                <w:b w:val="1"/>
                <w:bCs w:val="1"/>
                <w:color w:val="auto"/>
                <w:w w:val="89"/>
              </w:rPr>
              <w:t>Fees,</w:t>
            </w:r>
          </w:p>
        </w:tc>
        <w:tc>
          <w:tcPr>
            <w:tcW w:w="160" w:type="dxa"/>
            <w:vAlign w:val="bottom"/>
          </w:tcPr>
          <w:p>
            <w:pPr>
              <w:spacing w:after="0"/>
              <w:rPr>
                <w:sz w:val="11"/>
                <w:szCs w:val="11"/>
                <w:color w:val="auto"/>
              </w:rPr>
            </w:pPr>
          </w:p>
        </w:tc>
        <w:tc>
          <w:tcPr>
            <w:tcW w:w="8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Realized</w:t>
            </w:r>
          </w:p>
        </w:tc>
        <w:tc>
          <w:tcPr>
            <w:tcW w:w="120" w:type="dxa"/>
            <w:vAlign w:val="bottom"/>
          </w:tcPr>
          <w:p>
            <w:pPr>
              <w:spacing w:after="0"/>
              <w:rPr>
                <w:sz w:val="11"/>
                <w:szCs w:val="11"/>
                <w:color w:val="auto"/>
              </w:rPr>
            </w:pPr>
          </w:p>
        </w:tc>
        <w:tc>
          <w:tcPr>
            <w:tcW w:w="8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Unrealized</w:t>
            </w:r>
          </w:p>
        </w:tc>
        <w:tc>
          <w:tcPr>
            <w:tcW w:w="1000" w:type="dxa"/>
            <w:vAlign w:val="bottom"/>
            <w:gridSpan w:val="3"/>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Type/Industry/Portfolio Company/Investment</w:t>
            </w:r>
          </w:p>
        </w:tc>
        <w:tc>
          <w:tcPr>
            <w:tcW w:w="80" w:type="dxa"/>
            <w:vAlign w:val="bottom"/>
            <w:vMerge w:val="restart"/>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5"/>
              </w:rPr>
              <w:t>Credited</w:t>
            </w:r>
          </w:p>
        </w:tc>
        <w:tc>
          <w:tcPr>
            <w:tcW w:w="1000" w:type="dxa"/>
            <w:vAlign w:val="bottom"/>
            <w:gridSpan w:val="3"/>
          </w:tcPr>
          <w:p>
            <w:pPr>
              <w:ind w:left="40"/>
              <w:spacing w:after="0" w:line="135" w:lineRule="exact"/>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11"/>
                <w:szCs w:val="11"/>
                <w:color w:val="auto"/>
              </w:rPr>
            </w:pPr>
          </w:p>
        </w:tc>
        <w:tc>
          <w:tcPr>
            <w:tcW w:w="940" w:type="dxa"/>
            <w:vAlign w:val="bottom"/>
            <w:gridSpan w:val="2"/>
          </w:tcPr>
          <w:p>
            <w:pPr>
              <w:jc w:val="center"/>
              <w:ind w:right="180"/>
              <w:spacing w:after="0" w:line="135" w:lineRule="exact"/>
              <w:rPr>
                <w:sz w:val="20"/>
                <w:szCs w:val="20"/>
                <w:color w:val="auto"/>
              </w:rPr>
            </w:pPr>
            <w:r>
              <w:rPr>
                <w:rFonts w:ascii="Arial" w:cs="Arial" w:eastAsia="Arial" w:hAnsi="Arial"/>
                <w:sz w:val="14"/>
                <w:szCs w:val="14"/>
                <w:b w:val="1"/>
                <w:bCs w:val="1"/>
                <w:color w:val="auto"/>
                <w:w w:val="95"/>
              </w:rPr>
              <w:t>Interest and</w:t>
            </w:r>
          </w:p>
        </w:tc>
        <w:tc>
          <w:tcPr>
            <w:tcW w:w="160" w:type="dxa"/>
            <w:vAlign w:val="bottom"/>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1000" w:type="dxa"/>
            <w:vAlign w:val="bottom"/>
            <w:gridSpan w:val="3"/>
          </w:tcPr>
          <w:p>
            <w:pPr>
              <w:jc w:val="center"/>
              <w:ind w:right="80"/>
              <w:spacing w:after="0" w:line="135" w:lineRule="exact"/>
              <w:rPr>
                <w:sz w:val="20"/>
                <w:szCs w:val="20"/>
                <w:color w:val="auto"/>
              </w:rPr>
            </w:pPr>
            <w:r>
              <w:rPr>
                <w:rFonts w:ascii="Arial" w:cs="Arial" w:eastAsia="Arial" w:hAnsi="Arial"/>
                <w:sz w:val="14"/>
                <w:szCs w:val="14"/>
                <w:b w:val="1"/>
                <w:bCs w:val="1"/>
                <w:color w:val="auto"/>
                <w:w w:val="92"/>
              </w:rPr>
              <w:t>December 31,</w:t>
            </w:r>
          </w:p>
        </w:tc>
        <w:tc>
          <w:tcPr>
            <w:tcW w:w="900" w:type="dxa"/>
            <w:vAlign w:val="bottom"/>
          </w:tcPr>
          <w:p>
            <w:pPr>
              <w:jc w:val="right"/>
              <w:ind w:right="181"/>
              <w:spacing w:after="0" w:line="135" w:lineRule="exact"/>
              <w:rPr>
                <w:sz w:val="20"/>
                <w:szCs w:val="20"/>
                <w:color w:val="auto"/>
              </w:rPr>
            </w:pPr>
            <w:r>
              <w:rPr>
                <w:rFonts w:ascii="Arial" w:cs="Arial" w:eastAsia="Arial" w:hAnsi="Arial"/>
                <w:sz w:val="14"/>
                <w:szCs w:val="14"/>
                <w:b w:val="1"/>
                <w:bCs w:val="1"/>
                <w:color w:val="auto"/>
              </w:rPr>
              <w:t>of Net</w:t>
            </w:r>
          </w:p>
        </w:tc>
        <w:tc>
          <w:tcPr>
            <w:tcW w:w="0" w:type="dxa"/>
            <w:vAlign w:val="bottom"/>
          </w:tcPr>
          <w:p>
            <w:pPr>
              <w:spacing w:after="0"/>
              <w:rPr>
                <w:sz w:val="1"/>
                <w:szCs w:val="1"/>
                <w:color w:val="auto"/>
              </w:rPr>
            </w:pPr>
          </w:p>
        </w:tc>
      </w:tr>
      <w:tr>
        <w:trPr>
          <w:trHeight w:val="188"/>
        </w:trPr>
        <w:tc>
          <w:tcPr>
            <w:tcW w:w="3280" w:type="dxa"/>
            <w:vAlign w:val="bottom"/>
            <w:tcBorders>
              <w:bottom w:val="single" w:sz="8" w:color="auto"/>
            </w:tcBorders>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800" w:type="dxa"/>
            <w:vAlign w:val="bottom"/>
            <w:tcBorders>
              <w:bottom w:val="single" w:sz="8" w:color="auto"/>
            </w:tcBorders>
          </w:tcPr>
          <w:p>
            <w:pPr>
              <w:jc w:val="right"/>
              <w:ind w:right="42"/>
              <w:spacing w:after="0"/>
              <w:rPr>
                <w:sz w:val="20"/>
                <w:szCs w:val="20"/>
                <w:color w:val="auto"/>
              </w:rPr>
            </w:pPr>
            <w:r>
              <w:rPr>
                <w:rFonts w:ascii="Arial" w:cs="Arial" w:eastAsia="Arial" w:hAnsi="Arial"/>
                <w:sz w:val="14"/>
                <w:szCs w:val="14"/>
                <w:b w:val="1"/>
                <w:bCs w:val="1"/>
                <w:color w:val="auto"/>
              </w:rPr>
              <w:t>Quantity</w:t>
            </w:r>
          </w:p>
        </w:tc>
        <w:tc>
          <w:tcPr>
            <w:tcW w:w="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center"/>
              <w:ind w:right="62"/>
              <w:spacing w:after="0"/>
              <w:rPr>
                <w:sz w:val="20"/>
                <w:szCs w:val="20"/>
                <w:color w:val="auto"/>
              </w:rPr>
            </w:pPr>
            <w:r>
              <w:rPr>
                <w:rFonts w:ascii="Arial" w:cs="Arial" w:eastAsia="Arial" w:hAnsi="Arial"/>
                <w:sz w:val="14"/>
                <w:szCs w:val="14"/>
                <w:b w:val="1"/>
                <w:bCs w:val="1"/>
                <w:color w:val="auto"/>
                <w:w w:val="91"/>
              </w:rPr>
              <w:t>in Income</w:t>
            </w:r>
          </w:p>
        </w:tc>
        <w:tc>
          <w:tcPr>
            <w:tcW w:w="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6"/>
                <w:szCs w:val="16"/>
                <w:color w:val="auto"/>
              </w:rPr>
            </w:pPr>
          </w:p>
        </w:tc>
        <w:tc>
          <w:tcPr>
            <w:tcW w:w="9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5"/>
              </w:rPr>
              <w:t>Amortization</w:t>
            </w:r>
          </w:p>
        </w:tc>
        <w:tc>
          <w:tcPr>
            <w:tcW w:w="80" w:type="dxa"/>
            <w:vAlign w:val="bottom"/>
          </w:tcPr>
          <w:p>
            <w:pPr>
              <w:spacing w:after="0"/>
              <w:rPr>
                <w:sz w:val="16"/>
                <w:szCs w:val="16"/>
                <w:color w:val="auto"/>
              </w:rPr>
            </w:pPr>
          </w:p>
        </w:tc>
        <w:tc>
          <w:tcPr>
            <w:tcW w:w="9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89"/>
              </w:rPr>
              <w:t>Gains/(Losses)</w:t>
            </w:r>
          </w:p>
        </w:tc>
        <w:tc>
          <w:tcPr>
            <w:tcW w:w="80" w:type="dxa"/>
            <w:vAlign w:val="bottom"/>
          </w:tcPr>
          <w:p>
            <w:pPr>
              <w:spacing w:after="0"/>
              <w:rPr>
                <w:sz w:val="16"/>
                <w:szCs w:val="16"/>
                <w:color w:val="auto"/>
              </w:rPr>
            </w:pPr>
          </w:p>
        </w:tc>
        <w:tc>
          <w:tcPr>
            <w:tcW w:w="9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87"/>
              </w:rPr>
              <w:t>Gains/(Losses)</w:t>
            </w:r>
          </w:p>
        </w:tc>
        <w:tc>
          <w:tcPr>
            <w:tcW w:w="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center"/>
              <w:ind w:right="20"/>
              <w:spacing w:after="0"/>
              <w:rPr>
                <w:sz w:val="20"/>
                <w:szCs w:val="20"/>
                <w:color w:val="auto"/>
              </w:rPr>
            </w:pPr>
            <w:r>
              <w:rPr>
                <w:rFonts w:ascii="Arial" w:cs="Arial" w:eastAsia="Arial" w:hAnsi="Arial"/>
                <w:sz w:val="14"/>
                <w:szCs w:val="14"/>
                <w:b w:val="1"/>
                <w:bCs w:val="1"/>
                <w:color w:val="auto"/>
                <w:w w:val="96"/>
              </w:rPr>
              <w:t>2020</w:t>
            </w:r>
          </w:p>
        </w:tc>
        <w:tc>
          <w:tcPr>
            <w:tcW w:w="80" w:type="dxa"/>
            <w:vAlign w:val="bottom"/>
          </w:tcPr>
          <w:p>
            <w:pPr>
              <w:spacing w:after="0"/>
              <w:rPr>
                <w:sz w:val="16"/>
                <w:szCs w:val="16"/>
                <w:color w:val="auto"/>
              </w:rPr>
            </w:pPr>
          </w:p>
        </w:tc>
        <w:tc>
          <w:tcPr>
            <w:tcW w:w="900" w:type="dxa"/>
            <w:vAlign w:val="bottom"/>
            <w:tcBorders>
              <w:bottom w:val="single" w:sz="8" w:color="auto"/>
            </w:tcBorders>
          </w:tcPr>
          <w:p>
            <w:pPr>
              <w:jc w:val="right"/>
              <w:ind w:right="181"/>
              <w:spacing w:after="0"/>
              <w:rPr>
                <w:sz w:val="20"/>
                <w:szCs w:val="20"/>
                <w:color w:val="auto"/>
              </w:rPr>
            </w:pPr>
            <w:r>
              <w:rPr>
                <w:rFonts w:ascii="Arial" w:cs="Arial" w:eastAsia="Arial" w:hAnsi="Arial"/>
                <w:sz w:val="14"/>
                <w:szCs w:val="14"/>
                <w:b w:val="1"/>
                <w:bCs w:val="1"/>
                <w:color w:val="auto"/>
              </w:rPr>
              <w:t>Assets</w:t>
            </w:r>
          </w:p>
        </w:tc>
        <w:tc>
          <w:tcPr>
            <w:tcW w:w="0" w:type="dxa"/>
            <w:vAlign w:val="bottom"/>
          </w:tcPr>
          <w:p>
            <w:pPr>
              <w:spacing w:after="0"/>
              <w:rPr>
                <w:sz w:val="1"/>
                <w:szCs w:val="1"/>
                <w:color w:val="auto"/>
              </w:rPr>
            </w:pPr>
          </w:p>
        </w:tc>
      </w:tr>
      <w:tr>
        <w:trPr>
          <w:trHeight w:val="161"/>
        </w:trPr>
        <w:tc>
          <w:tcPr>
            <w:tcW w:w="3360" w:type="dxa"/>
            <w:vAlign w:val="bottom"/>
            <w:gridSpan w:val="2"/>
          </w:tcPr>
          <w:p>
            <w:pPr>
              <w:ind w:left="220"/>
              <w:spacing w:after="0" w:line="161" w:lineRule="exact"/>
              <w:rPr>
                <w:sz w:val="20"/>
                <w:szCs w:val="20"/>
                <w:color w:val="auto"/>
              </w:rPr>
            </w:pPr>
            <w:r>
              <w:rPr>
                <w:rFonts w:ascii="Arial" w:cs="Arial" w:eastAsia="Arial" w:hAnsi="Arial"/>
                <w:sz w:val="16"/>
                <w:szCs w:val="16"/>
                <w:color w:val="auto"/>
              </w:rPr>
              <w:t>NestGSV, Inc. (d/b/a OneValley, Inc.)–</w:t>
            </w: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360" w:type="dxa"/>
            <w:vAlign w:val="bottom"/>
            <w:gridSpan w:val="2"/>
          </w:tcPr>
          <w:p>
            <w:pPr>
              <w:ind w:left="220"/>
              <w:spacing w:after="0" w:line="162" w:lineRule="exact"/>
              <w:rPr>
                <w:sz w:val="20"/>
                <w:szCs w:val="20"/>
                <w:color w:val="auto"/>
              </w:rPr>
            </w:pPr>
            <w:r>
              <w:rPr>
                <w:rFonts w:ascii="Arial" w:cs="Arial" w:eastAsia="Arial" w:hAnsi="Arial"/>
                <w:sz w:val="16"/>
                <w:szCs w:val="16"/>
                <w:color w:val="auto"/>
              </w:rPr>
              <w:t>Preferred Warrant Series B, Strike Price</w:t>
            </w:r>
          </w:p>
        </w:tc>
        <w:tc>
          <w:tcPr>
            <w:tcW w:w="800" w:type="dxa"/>
            <w:vAlign w:val="bottom"/>
            <w:vMerge w:val="restart"/>
          </w:tcPr>
          <w:p>
            <w:pPr>
              <w:jc w:val="right"/>
              <w:ind w:right="2"/>
              <w:spacing w:after="0"/>
              <w:rPr>
                <w:sz w:val="20"/>
                <w:szCs w:val="20"/>
                <w:color w:val="auto"/>
              </w:rPr>
            </w:pPr>
            <w:r>
              <w:rPr>
                <w:rFonts w:ascii="Arial" w:cs="Arial" w:eastAsia="Arial" w:hAnsi="Arial"/>
                <w:sz w:val="16"/>
                <w:szCs w:val="16"/>
                <w:color w:val="auto"/>
              </w:rPr>
              <w:t>125,000</w:t>
            </w:r>
          </w:p>
        </w:tc>
        <w:tc>
          <w:tcPr>
            <w:tcW w:w="80" w:type="dxa"/>
            <w:vAlign w:val="bottom"/>
          </w:tcPr>
          <w:p>
            <w:pPr>
              <w:spacing w:after="0"/>
              <w:rPr>
                <w:sz w:val="14"/>
                <w:szCs w:val="14"/>
                <w:color w:val="auto"/>
              </w:rPr>
            </w:pP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vMerge w:val="restart"/>
          </w:tcPr>
          <w:p>
            <w:pPr>
              <w:ind w:left="20"/>
              <w:spacing w:after="0"/>
              <w:rPr>
                <w:sz w:val="20"/>
                <w:szCs w:val="20"/>
                <w:color w:val="auto"/>
              </w:rPr>
            </w:pPr>
            <w:r>
              <w:rPr>
                <w:rFonts w:ascii="Arial" w:cs="Arial" w:eastAsia="Arial" w:hAnsi="Arial"/>
                <w:sz w:val="15"/>
                <w:szCs w:val="15"/>
                <w:color w:val="auto"/>
                <w:w w:val="71"/>
              </w:rPr>
              <w:t>$</w:t>
            </w:r>
          </w:p>
        </w:tc>
        <w:tc>
          <w:tcPr>
            <w:tcW w:w="90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vMerge w:val="restart"/>
          </w:tcPr>
          <w:p>
            <w:pPr>
              <w:ind w:left="20"/>
              <w:spacing w:after="0"/>
              <w:rPr>
                <w:sz w:val="20"/>
                <w:szCs w:val="20"/>
                <w:color w:val="auto"/>
              </w:rPr>
            </w:pPr>
            <w:r>
              <w:rPr>
                <w:rFonts w:ascii="Arial" w:cs="Arial" w:eastAsia="Arial" w:hAnsi="Arial"/>
                <w:sz w:val="16"/>
                <w:szCs w:val="16"/>
                <w:color w:val="auto"/>
              </w:rPr>
              <w:t>$</w:t>
            </w:r>
          </w:p>
        </w:tc>
        <w:tc>
          <w:tcPr>
            <w:tcW w:w="860" w:type="dxa"/>
            <w:vAlign w:val="bottom"/>
            <w:gridSpan w:val="2"/>
            <w:vMerge w:val="restart"/>
          </w:tcPr>
          <w:p>
            <w:pPr>
              <w:ind w:left="540"/>
              <w:spacing w:after="0"/>
              <w:rPr>
                <w:sz w:val="20"/>
                <w:szCs w:val="20"/>
                <w:color w:val="auto"/>
              </w:rPr>
            </w:pPr>
            <w:r>
              <w:rPr>
                <w:rFonts w:ascii="Arial" w:cs="Arial" w:eastAsia="Arial" w:hAnsi="Arial"/>
                <w:sz w:val="16"/>
                <w:szCs w:val="16"/>
                <w:color w:val="auto"/>
              </w:rPr>
              <w:t>—</w:t>
            </w:r>
          </w:p>
        </w:tc>
        <w:tc>
          <w:tcPr>
            <w:tcW w:w="120" w:type="dxa"/>
            <w:vAlign w:val="bottom"/>
            <w:vMerge w:val="restart"/>
          </w:tcPr>
          <w:p>
            <w:pPr>
              <w:ind w:left="20"/>
              <w:spacing w:after="0"/>
              <w:rPr>
                <w:sz w:val="20"/>
                <w:szCs w:val="20"/>
                <w:color w:val="auto"/>
              </w:rPr>
            </w:pPr>
            <w:r>
              <w:rPr>
                <w:rFonts w:ascii="Arial" w:cs="Arial" w:eastAsia="Arial" w:hAnsi="Arial"/>
                <w:sz w:val="16"/>
                <w:szCs w:val="16"/>
                <w:color w:val="auto"/>
                <w:w w:val="89"/>
              </w:rPr>
              <w:t>$</w:t>
            </w:r>
          </w:p>
        </w:tc>
        <w:tc>
          <w:tcPr>
            <w:tcW w:w="88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209"/>
        </w:trPr>
        <w:tc>
          <w:tcPr>
            <w:tcW w:w="3360" w:type="dxa"/>
            <w:vAlign w:val="bottom"/>
            <w:gridSpan w:val="2"/>
          </w:tcPr>
          <w:p>
            <w:pPr>
              <w:ind w:left="220"/>
              <w:spacing w:after="0"/>
              <w:rPr>
                <w:sz w:val="20"/>
                <w:szCs w:val="20"/>
                <w:color w:val="auto"/>
              </w:rPr>
            </w:pPr>
            <w:r>
              <w:rPr>
                <w:rFonts w:ascii="Arial" w:cs="Arial" w:eastAsia="Arial" w:hAnsi="Arial"/>
                <w:sz w:val="16"/>
                <w:szCs w:val="16"/>
                <w:color w:val="auto"/>
              </w:rPr>
              <w:t>$2.31, Expiration Date 5/29/2022</w:t>
            </w:r>
          </w:p>
        </w:tc>
        <w:tc>
          <w:tcPr>
            <w:tcW w:w="8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vMerge w:val="continue"/>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160" w:type="dxa"/>
            <w:vAlign w:val="bottom"/>
            <w:vMerge w:val="continue"/>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9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3360" w:type="dxa"/>
            <w:vAlign w:val="bottom"/>
            <w:gridSpan w:val="2"/>
            <w:shd w:val="clear" w:color="auto" w:fill="CCEEFF"/>
          </w:tcPr>
          <w:p>
            <w:pPr>
              <w:ind w:left="220"/>
              <w:spacing w:after="0" w:line="169" w:lineRule="exact"/>
              <w:rPr>
                <w:sz w:val="20"/>
                <w:szCs w:val="20"/>
                <w:color w:val="auto"/>
              </w:rPr>
            </w:pPr>
            <w:r>
              <w:rPr>
                <w:rFonts w:ascii="Arial" w:cs="Arial" w:eastAsia="Arial" w:hAnsi="Arial"/>
                <w:sz w:val="16"/>
                <w:szCs w:val="16"/>
                <w:color w:val="auto"/>
              </w:rPr>
              <w:t>NestGSV, Inc. (d/b/a OneValley, Inc.)–</w:t>
            </w: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360" w:type="dxa"/>
            <w:vAlign w:val="bottom"/>
            <w:gridSpan w:val="2"/>
            <w:shd w:val="clear" w:color="auto" w:fill="CCEEFF"/>
          </w:tcPr>
          <w:p>
            <w:pPr>
              <w:ind w:left="220"/>
              <w:spacing w:after="0" w:line="162" w:lineRule="exact"/>
              <w:rPr>
                <w:sz w:val="20"/>
                <w:szCs w:val="20"/>
                <w:color w:val="auto"/>
              </w:rPr>
            </w:pPr>
            <w:r>
              <w:rPr>
                <w:rFonts w:ascii="Arial" w:cs="Arial" w:eastAsia="Arial" w:hAnsi="Arial"/>
                <w:sz w:val="16"/>
                <w:szCs w:val="16"/>
                <w:color w:val="auto"/>
              </w:rPr>
              <w:t>Preferred Warrant Series B, Strike Price</w:t>
            </w:r>
          </w:p>
        </w:tc>
        <w:tc>
          <w:tcPr>
            <w:tcW w:w="800" w:type="dxa"/>
            <w:vAlign w:val="bottom"/>
            <w:vMerge w:val="restart"/>
            <w:shd w:val="clear" w:color="auto" w:fill="CCEEFF"/>
          </w:tcPr>
          <w:p>
            <w:pPr>
              <w:jc w:val="right"/>
              <w:ind w:right="2"/>
              <w:spacing w:after="0"/>
              <w:rPr>
                <w:sz w:val="20"/>
                <w:szCs w:val="20"/>
                <w:color w:val="auto"/>
              </w:rPr>
            </w:pPr>
            <w:r>
              <w:rPr>
                <w:rFonts w:ascii="Arial" w:cs="Arial" w:eastAsia="Arial" w:hAnsi="Arial"/>
                <w:sz w:val="16"/>
                <w:szCs w:val="16"/>
                <w:color w:val="auto"/>
              </w:rPr>
              <w:t>250,000</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2,500</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6,750</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9,250</w:t>
            </w:r>
          </w:p>
        </w:tc>
        <w:tc>
          <w:tcPr>
            <w:tcW w:w="8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217"/>
        </w:trPr>
        <w:tc>
          <w:tcPr>
            <w:tcW w:w="33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$2.31, Expiration Date 12/31/2023</w:t>
            </w:r>
          </w:p>
        </w:tc>
        <w:tc>
          <w:tcPr>
            <w:tcW w:w="800" w:type="dxa"/>
            <w:vAlign w:val="bottom"/>
            <w:tcBorders>
              <w:bottom w:val="single" w:sz="8" w:color="CCEEFF"/>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3360" w:type="dxa"/>
            <w:vAlign w:val="bottom"/>
            <w:gridSpan w:val="2"/>
          </w:tcPr>
          <w:p>
            <w:pPr>
              <w:ind w:left="220"/>
              <w:spacing w:after="0" w:line="142" w:lineRule="exact"/>
              <w:rPr>
                <w:sz w:val="20"/>
                <w:szCs w:val="20"/>
                <w:color w:val="auto"/>
              </w:rPr>
            </w:pPr>
            <w:r>
              <w:rPr>
                <w:rFonts w:ascii="Arial" w:cs="Arial" w:eastAsia="Arial" w:hAnsi="Arial"/>
                <w:sz w:val="16"/>
                <w:szCs w:val="16"/>
                <w:color w:val="auto"/>
              </w:rPr>
              <w:t>Derivative Security, Expiration Date</w:t>
            </w:r>
          </w:p>
        </w:tc>
        <w:tc>
          <w:tcPr>
            <w:tcW w:w="800" w:type="dxa"/>
            <w:vAlign w:val="bottom"/>
            <w:vMerge w:val="restart"/>
          </w:tcPr>
          <w:p>
            <w:pPr>
              <w:jc w:val="right"/>
              <w:ind w:right="2"/>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3,880,621</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vMerge w:val="restart"/>
          </w:tcPr>
          <w:p>
            <w:pPr>
              <w:ind w:left="540"/>
              <w:spacing w:after="0"/>
              <w:rPr>
                <w:sz w:val="20"/>
                <w:szCs w:val="20"/>
                <w:color w:val="auto"/>
              </w:rPr>
            </w:pPr>
            <w:r>
              <w:rPr>
                <w:rFonts w:ascii="Arial" w:cs="Arial" w:eastAsia="Arial" w:hAnsi="Arial"/>
                <w:sz w:val="16"/>
                <w:szCs w:val="16"/>
                <w:color w:val="auto"/>
              </w:rPr>
              <w:t>—</w:t>
            </w:r>
          </w:p>
        </w:tc>
        <w:tc>
          <w:tcPr>
            <w:tcW w:w="8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w w:val="92"/>
              </w:rPr>
              <w:t>(1,707,473)</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2,173,148</w:t>
            </w:r>
          </w:p>
        </w:tc>
        <w:tc>
          <w:tcPr>
            <w:tcW w:w="80" w:type="dxa"/>
            <w:vAlign w:val="bottom"/>
          </w:tcPr>
          <w:p>
            <w:pPr>
              <w:spacing w:after="0"/>
              <w:rPr>
                <w:sz w:val="12"/>
                <w:szCs w:val="12"/>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0.72 %</w:t>
            </w:r>
          </w:p>
        </w:tc>
        <w:tc>
          <w:tcPr>
            <w:tcW w:w="0" w:type="dxa"/>
            <w:vAlign w:val="bottom"/>
          </w:tcPr>
          <w:p>
            <w:pPr>
              <w:spacing w:after="0"/>
              <w:rPr>
                <w:sz w:val="1"/>
                <w:szCs w:val="1"/>
                <w:color w:val="auto"/>
              </w:rPr>
            </w:pPr>
          </w:p>
        </w:tc>
      </w:tr>
      <w:tr>
        <w:trPr>
          <w:trHeight w:val="216"/>
        </w:trPr>
        <w:tc>
          <w:tcPr>
            <w:tcW w:w="3280" w:type="dxa"/>
            <w:vAlign w:val="bottom"/>
            <w:tcBorders>
              <w:bottom w:val="single" w:sz="8" w:color="CCEEFF"/>
            </w:tcBorders>
          </w:tcPr>
          <w:p>
            <w:pPr>
              <w:ind w:left="220"/>
              <w:spacing w:after="0" w:line="216" w:lineRule="exact"/>
              <w:rPr>
                <w:sz w:val="20"/>
                <w:szCs w:val="20"/>
                <w:color w:val="auto"/>
              </w:rPr>
            </w:pPr>
            <w:r>
              <w:rPr>
                <w:rFonts w:ascii="Arial" w:cs="Arial" w:eastAsia="Arial" w:hAnsi="Arial"/>
                <w:sz w:val="16"/>
                <w:szCs w:val="16"/>
                <w:color w:val="auto"/>
              </w:rPr>
              <w:t>8/23/2024</w:t>
            </w:r>
            <w:r>
              <w:rPr>
                <w:rFonts w:ascii="Arial" w:cs="Arial" w:eastAsia="Arial" w:hAnsi="Arial"/>
                <w:sz w:val="21"/>
                <w:szCs w:val="21"/>
                <w:color w:val="auto"/>
                <w:vertAlign w:val="superscript"/>
              </w:rPr>
              <w:t>(6)</w:t>
            </w:r>
          </w:p>
        </w:tc>
        <w:tc>
          <w:tcPr>
            <w:tcW w:w="80" w:type="dxa"/>
            <w:vAlign w:val="bottom"/>
            <w:tcBorders>
              <w:bottom w:val="single" w:sz="8" w:color="CCEEFF"/>
            </w:tcBorders>
          </w:tcPr>
          <w:p>
            <w:pPr>
              <w:spacing w:after="0"/>
              <w:rPr>
                <w:sz w:val="18"/>
                <w:szCs w:val="18"/>
                <w:color w:val="auto"/>
              </w:rPr>
            </w:pPr>
          </w:p>
        </w:tc>
        <w:tc>
          <w:tcPr>
            <w:tcW w:w="800" w:type="dxa"/>
            <w:vAlign w:val="bottom"/>
            <w:tcBorders>
              <w:bottom w:val="single" w:sz="8" w:color="CCEEFF"/>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360" w:type="dxa"/>
            <w:vAlign w:val="bottom"/>
            <w:gridSpan w:val="2"/>
            <w:shd w:val="clear" w:color="auto" w:fill="CCEEFF"/>
          </w:tcPr>
          <w:p>
            <w:pPr>
              <w:ind w:left="140"/>
              <w:spacing w:after="0"/>
              <w:rPr>
                <w:sz w:val="20"/>
                <w:szCs w:val="20"/>
                <w:color w:val="auto"/>
              </w:rPr>
            </w:pPr>
            <w:r>
              <w:rPr>
                <w:rFonts w:ascii="Arial" w:cs="Arial" w:eastAsia="Arial" w:hAnsi="Arial"/>
                <w:sz w:val="16"/>
                <w:szCs w:val="16"/>
                <w:i w:val="1"/>
                <w:iCs w:val="1"/>
                <w:color w:val="auto"/>
              </w:rPr>
              <w:t>Total Global Innovation Platform</w:t>
            </w: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4,101,246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2"/>
              </w:rPr>
              <w:t>(1,821,661)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2,279,585</w:t>
            </w: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0.75 %</w:t>
            </w:r>
          </w:p>
        </w:tc>
        <w:tc>
          <w:tcPr>
            <w:tcW w:w="0" w:type="dxa"/>
            <w:vAlign w:val="bottom"/>
          </w:tcPr>
          <w:p>
            <w:pPr>
              <w:spacing w:after="0"/>
              <w:rPr>
                <w:sz w:val="1"/>
                <w:szCs w:val="1"/>
                <w:color w:val="auto"/>
              </w:rPr>
            </w:pPr>
          </w:p>
        </w:tc>
      </w:tr>
      <w:tr>
        <w:trPr>
          <w:trHeight w:val="213"/>
        </w:trPr>
        <w:tc>
          <w:tcPr>
            <w:tcW w:w="3360" w:type="dxa"/>
            <w:vAlign w:val="bottom"/>
            <w:gridSpan w:val="2"/>
          </w:tcPr>
          <w:p>
            <w:pPr>
              <w:ind w:left="20"/>
              <w:spacing w:after="0"/>
              <w:rPr>
                <w:sz w:val="20"/>
                <w:szCs w:val="20"/>
                <w:color w:val="auto"/>
              </w:rPr>
            </w:pPr>
            <w:r>
              <w:rPr>
                <w:rFonts w:ascii="Arial" w:cs="Arial" w:eastAsia="Arial" w:hAnsi="Arial"/>
                <w:sz w:val="16"/>
                <w:szCs w:val="16"/>
                <w:b w:val="1"/>
                <w:bCs w:val="1"/>
                <w:color w:val="auto"/>
              </w:rPr>
              <w:t>Total Options</w:t>
            </w: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5,283,506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60" w:type="dxa"/>
            <w:vAlign w:val="bottom"/>
            <w:gridSpan w:val="2"/>
          </w:tcPr>
          <w:p>
            <w:pPr>
              <w:ind w:left="5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w w:val="92"/>
              </w:rPr>
              <w:t>(2,241,363)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3,042,143</w:t>
            </w: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32"/>
        </w:trPr>
        <w:tc>
          <w:tcPr>
            <w:tcW w:w="336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Common Stock</w:t>
            </w:r>
          </w:p>
        </w:tc>
        <w:tc>
          <w:tcPr>
            <w:tcW w:w="800" w:type="dxa"/>
            <w:vAlign w:val="bottom"/>
            <w:tcBorders>
              <w:bottom w:val="single" w:sz="8" w:color="CCEEFF"/>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3"/>
        </w:trPr>
        <w:tc>
          <w:tcPr>
            <w:tcW w:w="3360" w:type="dxa"/>
            <w:vAlign w:val="bottom"/>
            <w:gridSpan w:val="2"/>
          </w:tcPr>
          <w:p>
            <w:pPr>
              <w:ind w:left="140"/>
              <w:spacing w:after="0"/>
              <w:rPr>
                <w:sz w:val="20"/>
                <w:szCs w:val="20"/>
                <w:color w:val="auto"/>
              </w:rPr>
            </w:pPr>
            <w:r>
              <w:rPr>
                <w:rFonts w:ascii="Arial" w:cs="Arial" w:eastAsia="Arial" w:hAnsi="Arial"/>
                <w:sz w:val="16"/>
                <w:szCs w:val="16"/>
                <w:i w:val="1"/>
                <w:iCs w:val="1"/>
                <w:color w:val="auto"/>
              </w:rPr>
              <w:t>Online Education</w:t>
            </w: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33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Curious.com, Inc.–Common shares</w:t>
            </w:r>
          </w:p>
        </w:tc>
        <w:tc>
          <w:tcPr>
            <w:tcW w:w="80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w w:val="98"/>
              </w:rPr>
              <w:t>1,135,944</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193"/>
        </w:trPr>
        <w:tc>
          <w:tcPr>
            <w:tcW w:w="3360" w:type="dxa"/>
            <w:vAlign w:val="bottom"/>
            <w:gridSpan w:val="2"/>
          </w:tcPr>
          <w:p>
            <w:pPr>
              <w:ind w:left="140"/>
              <w:spacing w:after="0"/>
              <w:rPr>
                <w:sz w:val="20"/>
                <w:szCs w:val="20"/>
                <w:color w:val="auto"/>
              </w:rPr>
            </w:pPr>
            <w:r>
              <w:rPr>
                <w:rFonts w:ascii="Arial" w:cs="Arial" w:eastAsia="Arial" w:hAnsi="Arial"/>
                <w:sz w:val="16"/>
                <w:szCs w:val="16"/>
                <w:i w:val="1"/>
                <w:iCs w:val="1"/>
                <w:color w:val="auto"/>
              </w:rPr>
              <w:t>Cannabis REIT</w:t>
            </w: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5"/>
        </w:trPr>
        <w:tc>
          <w:tcPr>
            <w:tcW w:w="3360" w:type="dxa"/>
            <w:vAlign w:val="bottom"/>
            <w:gridSpan w:val="2"/>
            <w:shd w:val="clear" w:color="auto" w:fill="CCEEFF"/>
          </w:tcPr>
          <w:p>
            <w:pPr>
              <w:ind w:left="220"/>
              <w:spacing w:after="0" w:line="165" w:lineRule="exact"/>
              <w:rPr>
                <w:sz w:val="20"/>
                <w:szCs w:val="20"/>
                <w:color w:val="auto"/>
              </w:rPr>
            </w:pPr>
            <w:r>
              <w:rPr>
                <w:rFonts w:ascii="Arial" w:cs="Arial" w:eastAsia="Arial" w:hAnsi="Arial"/>
                <w:sz w:val="16"/>
                <w:szCs w:val="16"/>
                <w:color w:val="auto"/>
              </w:rPr>
              <w:t>GreenAcreage Real Estate Corp. -Common</w:t>
            </w:r>
          </w:p>
        </w:tc>
        <w:tc>
          <w:tcPr>
            <w:tcW w:w="800" w:type="dxa"/>
            <w:vAlign w:val="bottom"/>
            <w:vMerge w:val="restart"/>
            <w:shd w:val="clear" w:color="auto" w:fill="CCEEFF"/>
          </w:tcPr>
          <w:p>
            <w:pPr>
              <w:jc w:val="right"/>
              <w:ind w:right="2"/>
              <w:spacing w:after="0"/>
              <w:rPr>
                <w:sz w:val="20"/>
                <w:szCs w:val="20"/>
                <w:color w:val="auto"/>
              </w:rPr>
            </w:pPr>
            <w:r>
              <w:rPr>
                <w:rFonts w:ascii="Arial" w:cs="Arial" w:eastAsia="Arial" w:hAnsi="Arial"/>
                <w:sz w:val="16"/>
                <w:szCs w:val="16"/>
                <w:color w:val="auto"/>
              </w:rPr>
              <w:t>422,586</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317,617</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7,500,000</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1,008,103</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429,587</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8,937,690</w:t>
            </w:r>
          </w:p>
        </w:tc>
        <w:tc>
          <w:tcPr>
            <w:tcW w:w="8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2.96 %</w:t>
            </w:r>
          </w:p>
        </w:tc>
        <w:tc>
          <w:tcPr>
            <w:tcW w:w="0" w:type="dxa"/>
            <w:vAlign w:val="bottom"/>
          </w:tcPr>
          <w:p>
            <w:pPr>
              <w:spacing w:after="0"/>
              <w:rPr>
                <w:sz w:val="1"/>
                <w:szCs w:val="1"/>
                <w:color w:val="auto"/>
              </w:rPr>
            </w:pPr>
          </w:p>
        </w:tc>
      </w:tr>
      <w:tr>
        <w:trPr>
          <w:trHeight w:val="221"/>
        </w:trPr>
        <w:tc>
          <w:tcPr>
            <w:tcW w:w="3360" w:type="dxa"/>
            <w:vAlign w:val="bottom"/>
            <w:gridSpan w:val="2"/>
            <w:shd w:val="clear" w:color="auto" w:fill="CCEEFF"/>
          </w:tcPr>
          <w:p>
            <w:pPr>
              <w:ind w:left="220"/>
              <w:spacing w:after="0" w:line="216" w:lineRule="exact"/>
              <w:rPr>
                <w:sz w:val="20"/>
                <w:szCs w:val="20"/>
                <w:color w:val="auto"/>
              </w:rPr>
            </w:pPr>
            <w:r>
              <w:rPr>
                <w:rFonts w:ascii="Arial" w:cs="Arial" w:eastAsia="Arial" w:hAnsi="Arial"/>
                <w:sz w:val="16"/>
                <w:szCs w:val="16"/>
                <w:color w:val="auto"/>
              </w:rPr>
              <w:t>shares***</w:t>
            </w:r>
            <w:r>
              <w:rPr>
                <w:rFonts w:ascii="Arial" w:cs="Arial" w:eastAsia="Arial" w:hAnsi="Arial"/>
                <w:sz w:val="21"/>
                <w:szCs w:val="21"/>
                <w:color w:val="auto"/>
                <w:vertAlign w:val="superscript"/>
              </w:rPr>
              <w:t>(7)</w:t>
            </w:r>
          </w:p>
        </w:tc>
        <w:tc>
          <w:tcPr>
            <w:tcW w:w="800" w:type="dxa"/>
            <w:vAlign w:val="bottom"/>
            <w:tcBorders>
              <w:bottom w:val="single" w:sz="8" w:color="CCEEFF"/>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336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b w:val="1"/>
                <w:bCs w:val="1"/>
                <w:color w:val="auto"/>
              </w:rPr>
              <w:t>Total Common Stock</w:t>
            </w:r>
          </w:p>
        </w:tc>
        <w:tc>
          <w:tcPr>
            <w:tcW w:w="80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317,617</w:t>
            </w: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7,500,000</w:t>
            </w: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1,008,103</w:t>
            </w: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ind w:left="54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429,587</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8,937,690</w:t>
            </w:r>
          </w:p>
        </w:tc>
        <w:tc>
          <w:tcPr>
            <w:tcW w:w="80" w:type="dxa"/>
            <w:vAlign w:val="bottom"/>
            <w:tcBorders>
              <w:bottom w:val="single" w:sz="8" w:color="CCEEFF"/>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2.96 %</w:t>
            </w:r>
          </w:p>
        </w:tc>
        <w:tc>
          <w:tcPr>
            <w:tcW w:w="0" w:type="dxa"/>
            <w:vAlign w:val="bottom"/>
          </w:tcPr>
          <w:p>
            <w:pPr>
              <w:spacing w:after="0"/>
              <w:rPr>
                <w:sz w:val="1"/>
                <w:szCs w:val="1"/>
                <w:color w:val="auto"/>
              </w:rPr>
            </w:pPr>
          </w:p>
        </w:tc>
      </w:tr>
      <w:tr>
        <w:trPr>
          <w:trHeight w:val="159"/>
        </w:trPr>
        <w:tc>
          <w:tcPr>
            <w:tcW w:w="3280" w:type="dxa"/>
            <w:vAlign w:val="bottom"/>
            <w:shd w:val="clear" w:color="auto" w:fill="CCEEFF"/>
          </w:tcPr>
          <w:p>
            <w:pPr>
              <w:ind w:left="20"/>
              <w:spacing w:after="0" w:line="158" w:lineRule="exact"/>
              <w:rPr>
                <w:sz w:val="20"/>
                <w:szCs w:val="20"/>
                <w:color w:val="auto"/>
              </w:rPr>
            </w:pPr>
            <w:r>
              <w:rPr>
                <w:rFonts w:ascii="Arial" w:cs="Arial" w:eastAsia="Arial" w:hAnsi="Arial"/>
                <w:sz w:val="16"/>
                <w:szCs w:val="16"/>
                <w:b w:val="1"/>
                <w:bCs w:val="1"/>
                <w:color w:val="auto"/>
              </w:rPr>
              <w:t>TOTAL NON-CONTROLLED/AFFILIATE</w:t>
            </w: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288,433</w:t>
            </w:r>
          </w:p>
        </w:tc>
        <w:tc>
          <w:tcPr>
            <w:tcW w:w="80" w:type="dxa"/>
            <w:vAlign w:val="bottom"/>
            <w:shd w:val="clear" w:color="auto" w:fill="CCEEFF"/>
          </w:tcPr>
          <w:p>
            <w:pPr>
              <w:spacing w:after="0"/>
              <w:rPr>
                <w:sz w:val="13"/>
                <w:szCs w:val="13"/>
                <w:color w:val="auto"/>
              </w:rPr>
            </w:pPr>
          </w:p>
        </w:tc>
        <w:tc>
          <w:tcPr>
            <w:tcW w:w="100" w:type="dxa"/>
            <w:vAlign w:val="bottom"/>
            <w:vMerge w:val="restart"/>
            <w:shd w:val="clear" w:color="auto" w:fill="CCEEFF"/>
          </w:tcPr>
          <w:p>
            <w:pPr>
              <w:ind w:left="20"/>
              <w:spacing w:after="0"/>
              <w:rPr>
                <w:sz w:val="20"/>
                <w:szCs w:val="20"/>
                <w:color w:val="auto"/>
              </w:rPr>
            </w:pPr>
            <w:r>
              <w:rPr>
                <w:rFonts w:ascii="Arial" w:cs="Arial" w:eastAsia="Arial" w:hAnsi="Arial"/>
                <w:sz w:val="15"/>
                <w:szCs w:val="15"/>
                <w:b w:val="1"/>
                <w:bCs w:val="1"/>
                <w:u w:val="single" w:color="auto"/>
                <w:color w:val="auto"/>
                <w:w w:val="71"/>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37,944,268</w:t>
            </w:r>
          </w:p>
        </w:tc>
        <w:tc>
          <w:tcPr>
            <w:tcW w:w="80" w:type="dxa"/>
            <w:vAlign w:val="bottom"/>
            <w:shd w:val="clear" w:color="auto" w:fill="CCEEFF"/>
          </w:tcPr>
          <w:p>
            <w:pPr>
              <w:spacing w:after="0"/>
              <w:rPr>
                <w:sz w:val="13"/>
                <w:szCs w:val="13"/>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1,008,103</w:t>
            </w:r>
          </w:p>
        </w:tc>
        <w:tc>
          <w:tcPr>
            <w:tcW w:w="80" w:type="dxa"/>
            <w:vAlign w:val="bottom"/>
            <w:shd w:val="clear" w:color="auto" w:fill="CCEEFF"/>
          </w:tcPr>
          <w:p>
            <w:pPr>
              <w:spacing w:after="0"/>
              <w:rPr>
                <w:sz w:val="13"/>
                <w:szCs w:val="13"/>
                <w:color w:val="auto"/>
              </w:rPr>
            </w:pPr>
          </w:p>
        </w:tc>
        <w:tc>
          <w:tcPr>
            <w:tcW w:w="160" w:type="dxa"/>
            <w:vAlign w:val="bottom"/>
            <w:vMerge w:val="restart"/>
            <w:shd w:val="clear" w:color="auto" w:fill="CCEEFF"/>
          </w:tcPr>
          <w:p>
            <w:pPr>
              <w:ind w:left="20"/>
              <w:spacing w:after="0"/>
              <w:rPr>
                <w:sz w:val="20"/>
                <w:szCs w:val="20"/>
                <w:color w:val="auto"/>
              </w:rPr>
            </w:pPr>
            <w:r>
              <w:rPr>
                <w:rFonts w:ascii="Arial" w:cs="Arial" w:eastAsia="Arial" w:hAnsi="Arial"/>
                <w:sz w:val="16"/>
                <w:szCs w:val="16"/>
                <w:b w:val="1"/>
                <w:bCs w:val="1"/>
                <w:color w:val="auto"/>
              </w:rPr>
              <w:t>$</w:t>
            </w:r>
          </w:p>
        </w:tc>
        <w:tc>
          <w:tcPr>
            <w:tcW w:w="780" w:type="dxa"/>
            <w:vAlign w:val="bottom"/>
            <w:vMerge w:val="restart"/>
            <w:shd w:val="clear" w:color="auto" w:fill="CCEEFF"/>
          </w:tcPr>
          <w:p>
            <w:pPr>
              <w:ind w:left="540"/>
              <w:spacing w:after="0"/>
              <w:rPr>
                <w:sz w:val="20"/>
                <w:szCs w:val="20"/>
                <w:color w:val="auto"/>
              </w:rPr>
            </w:pPr>
            <w:r>
              <w:rPr>
                <w:rFonts w:ascii="Arial" w:cs="Arial" w:eastAsia="Arial" w:hAnsi="Arial"/>
                <w:sz w:val="16"/>
                <w:szCs w:val="16"/>
                <w:b w:val="1"/>
                <w:bCs w:val="1"/>
                <w:color w:val="auto"/>
              </w:rPr>
              <w:t>—</w:t>
            </w:r>
          </w:p>
        </w:tc>
        <w:tc>
          <w:tcPr>
            <w:tcW w:w="80" w:type="dxa"/>
            <w:vAlign w:val="bottom"/>
            <w:vMerge w:val="restart"/>
            <w:shd w:val="clear" w:color="auto" w:fill="CCEEFF"/>
          </w:tcPr>
          <w:p>
            <w:pPr>
              <w:spacing w:after="0"/>
              <w:rPr>
                <w:sz w:val="13"/>
                <w:szCs w:val="13"/>
                <w:color w:val="auto"/>
              </w:rPr>
            </w:pPr>
          </w:p>
        </w:tc>
        <w:tc>
          <w:tcPr>
            <w:tcW w:w="120" w:type="dxa"/>
            <w:vAlign w:val="bottom"/>
            <w:vMerge w:val="restart"/>
            <w:shd w:val="clear" w:color="auto" w:fill="CCEEFF"/>
          </w:tcPr>
          <w:p>
            <w:pPr>
              <w:ind w:left="20"/>
              <w:spacing w:after="0"/>
              <w:rPr>
                <w:sz w:val="20"/>
                <w:szCs w:val="20"/>
                <w:color w:val="auto"/>
              </w:rPr>
            </w:pPr>
            <w:r>
              <w:rPr>
                <w:rFonts w:ascii="Arial" w:cs="Arial" w:eastAsia="Arial" w:hAnsi="Arial"/>
                <w:sz w:val="16"/>
                <w:szCs w:val="16"/>
                <w:b w:val="1"/>
                <w:bCs w:val="1"/>
                <w:color w:val="auto"/>
                <w:w w:val="89"/>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w w:val="92"/>
              </w:rPr>
              <w:t>(8,786,598)</w:t>
            </w:r>
          </w:p>
        </w:tc>
        <w:tc>
          <w:tcPr>
            <w:tcW w:w="80" w:type="dxa"/>
            <w:vAlign w:val="bottom"/>
            <w:shd w:val="clear" w:color="auto" w:fill="CCEEFF"/>
          </w:tcPr>
          <w:p>
            <w:pPr>
              <w:spacing w:after="0"/>
              <w:rPr>
                <w:sz w:val="13"/>
                <w:szCs w:val="13"/>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30,165,773</w:t>
            </w:r>
          </w:p>
        </w:tc>
        <w:tc>
          <w:tcPr>
            <w:tcW w:w="80" w:type="dxa"/>
            <w:vAlign w:val="bottom"/>
            <w:shd w:val="clear" w:color="auto" w:fill="CCEEFF"/>
          </w:tcPr>
          <w:p>
            <w:pPr>
              <w:spacing w:after="0"/>
              <w:rPr>
                <w:sz w:val="13"/>
                <w:szCs w:val="13"/>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10.00 %</w:t>
            </w:r>
          </w:p>
        </w:tc>
        <w:tc>
          <w:tcPr>
            <w:tcW w:w="0" w:type="dxa"/>
            <w:vAlign w:val="bottom"/>
          </w:tcPr>
          <w:p>
            <w:pPr>
              <w:spacing w:after="0"/>
              <w:rPr>
                <w:sz w:val="1"/>
                <w:szCs w:val="1"/>
                <w:color w:val="auto"/>
              </w:rPr>
            </w:pPr>
          </w:p>
        </w:tc>
      </w:tr>
      <w:tr>
        <w:trPr>
          <w:trHeight w:val="249"/>
        </w:trPr>
        <w:tc>
          <w:tcPr>
            <w:tcW w:w="3280" w:type="dxa"/>
            <w:vAlign w:val="bottom"/>
            <w:tcBorders>
              <w:bottom w:val="single" w:sz="8" w:color="CCEEFF"/>
            </w:tcBorders>
            <w:shd w:val="clear" w:color="auto" w:fill="CCEEFF"/>
          </w:tcPr>
          <w:p>
            <w:pPr>
              <w:ind w:left="20"/>
              <w:spacing w:after="0" w:line="189" w:lineRule="exact"/>
              <w:rPr>
                <w:sz w:val="20"/>
                <w:szCs w:val="20"/>
                <w:color w:val="auto"/>
              </w:rPr>
            </w:pPr>
            <w:r>
              <w:rPr>
                <w:rFonts w:ascii="Arial" w:cs="Arial" w:eastAsia="Arial" w:hAnsi="Arial"/>
                <w:sz w:val="16"/>
                <w:szCs w:val="16"/>
                <w:b w:val="1"/>
                <w:bCs w:val="1"/>
                <w:color w:val="auto"/>
              </w:rPr>
              <w:t>INVESTMENTS*</w:t>
            </w:r>
            <w:r>
              <w:rPr>
                <w:rFonts w:ascii="Arial" w:cs="Arial" w:eastAsia="Arial" w:hAnsi="Arial"/>
                <w:sz w:val="21"/>
                <w:szCs w:val="21"/>
                <w:b w:val="1"/>
                <w:bCs w:val="1"/>
                <w:color w:val="auto"/>
                <w:vertAlign w:val="superscript"/>
              </w:rPr>
              <w:t>(1)</w:t>
            </w:r>
          </w:p>
        </w:tc>
        <w:tc>
          <w:tcPr>
            <w:tcW w:w="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vMerge w:val="continue"/>
            <w:shd w:val="clear" w:color="auto" w:fill="CCEEFF"/>
          </w:tcPr>
          <w:p>
            <w:pPr>
              <w:spacing w:after="0"/>
              <w:rPr>
                <w:sz w:val="21"/>
                <w:szCs w:val="21"/>
                <w:color w:val="auto"/>
              </w:rPr>
            </w:pPr>
          </w:p>
        </w:tc>
        <w:tc>
          <w:tcPr>
            <w:tcW w:w="820" w:type="dxa"/>
            <w:vAlign w:val="bottom"/>
            <w:tcBorders>
              <w:bottom w:val="single" w:sz="8" w:color="auto"/>
            </w:tcBorders>
            <w:vMerge w:val="continue"/>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vMerge w:val="continue"/>
            <w:shd w:val="clear" w:color="auto" w:fill="CCEEFF"/>
          </w:tcPr>
          <w:p>
            <w:pPr>
              <w:spacing w:after="0"/>
              <w:rPr>
                <w:sz w:val="21"/>
                <w:szCs w:val="21"/>
                <w:color w:val="auto"/>
              </w:rPr>
            </w:pPr>
          </w:p>
        </w:tc>
        <w:tc>
          <w:tcPr>
            <w:tcW w:w="820" w:type="dxa"/>
            <w:vAlign w:val="bottom"/>
            <w:tcBorders>
              <w:bottom w:val="single" w:sz="8" w:color="auto"/>
            </w:tcBorders>
            <w:vMerge w:val="continue"/>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vMerge w:val="continue"/>
            <w:shd w:val="clear" w:color="auto" w:fill="CCEEFF"/>
          </w:tcPr>
          <w:p>
            <w:pPr>
              <w:spacing w:after="0"/>
              <w:rPr>
                <w:sz w:val="21"/>
                <w:szCs w:val="21"/>
                <w:color w:val="auto"/>
              </w:rPr>
            </w:pPr>
          </w:p>
        </w:tc>
        <w:tc>
          <w:tcPr>
            <w:tcW w:w="860" w:type="dxa"/>
            <w:vAlign w:val="bottom"/>
            <w:tcBorders>
              <w:bottom w:val="single" w:sz="8" w:color="auto"/>
            </w:tcBorders>
            <w:vMerge w:val="continue"/>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vMerge w:val="continue"/>
            <w:shd w:val="clear" w:color="auto" w:fill="CCEEFF"/>
          </w:tcPr>
          <w:p>
            <w:pPr>
              <w:spacing w:after="0"/>
              <w:rPr>
                <w:sz w:val="21"/>
                <w:szCs w:val="21"/>
                <w:color w:val="auto"/>
              </w:rPr>
            </w:pPr>
          </w:p>
        </w:tc>
        <w:tc>
          <w:tcPr>
            <w:tcW w:w="780" w:type="dxa"/>
            <w:vAlign w:val="bottom"/>
            <w:tcBorders>
              <w:bottom w:val="single" w:sz="8" w:color="auto"/>
            </w:tcBorders>
            <w:vMerge w:val="continue"/>
            <w:shd w:val="clear" w:color="auto" w:fill="CCEEFF"/>
          </w:tcPr>
          <w:p>
            <w:pPr>
              <w:spacing w:after="0"/>
              <w:rPr>
                <w:sz w:val="21"/>
                <w:szCs w:val="21"/>
                <w:color w:val="auto"/>
              </w:rPr>
            </w:pPr>
          </w:p>
        </w:tc>
        <w:tc>
          <w:tcPr>
            <w:tcW w:w="80" w:type="dxa"/>
            <w:vAlign w:val="bottom"/>
            <w:tcBorders>
              <w:bottom w:val="single" w:sz="8" w:color="CCEEFF"/>
            </w:tcBorders>
            <w:vMerge w:val="continue"/>
            <w:shd w:val="clear" w:color="auto" w:fill="CCEEFF"/>
          </w:tcPr>
          <w:p>
            <w:pPr>
              <w:spacing w:after="0"/>
              <w:rPr>
                <w:sz w:val="21"/>
                <w:szCs w:val="21"/>
                <w:color w:val="auto"/>
              </w:rPr>
            </w:pPr>
          </w:p>
        </w:tc>
        <w:tc>
          <w:tcPr>
            <w:tcW w:w="120" w:type="dxa"/>
            <w:vAlign w:val="bottom"/>
            <w:tcBorders>
              <w:bottom w:val="single" w:sz="8" w:color="auto"/>
            </w:tcBorders>
            <w:vMerge w:val="continue"/>
            <w:shd w:val="clear" w:color="auto" w:fill="CCEEFF"/>
          </w:tcPr>
          <w:p>
            <w:pPr>
              <w:spacing w:after="0"/>
              <w:rPr>
                <w:sz w:val="21"/>
                <w:szCs w:val="21"/>
                <w:color w:val="auto"/>
              </w:rPr>
            </w:pPr>
          </w:p>
        </w:tc>
        <w:tc>
          <w:tcPr>
            <w:tcW w:w="800" w:type="dxa"/>
            <w:vAlign w:val="bottom"/>
            <w:tcBorders>
              <w:bottom w:val="single" w:sz="8" w:color="auto"/>
            </w:tcBorders>
            <w:vMerge w:val="continue"/>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vMerge w:val="continue"/>
            <w:shd w:val="clear" w:color="auto" w:fill="CCEEFF"/>
          </w:tcPr>
          <w:p>
            <w:pPr>
              <w:spacing w:after="0"/>
              <w:rPr>
                <w:sz w:val="21"/>
                <w:szCs w:val="21"/>
                <w:color w:val="auto"/>
              </w:rPr>
            </w:pPr>
          </w:p>
        </w:tc>
        <w:tc>
          <w:tcPr>
            <w:tcW w:w="800" w:type="dxa"/>
            <w:vAlign w:val="bottom"/>
            <w:tcBorders>
              <w:bottom w:val="single" w:sz="8" w:color="auto"/>
            </w:tcBorders>
            <w:vMerge w:val="continue"/>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auto"/>
            </w:tcBorders>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6520180</wp:posOffset>
            </wp:positionH>
            <wp:positionV relativeFrom="paragraph">
              <wp:posOffset>-1490980</wp:posOffset>
            </wp:positionV>
            <wp:extent cx="5143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-1490980</wp:posOffset>
            </wp:positionV>
            <wp:extent cx="5143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2131060</wp:posOffset>
            </wp:positionH>
            <wp:positionV relativeFrom="paragraph">
              <wp:posOffset>-1490980</wp:posOffset>
            </wp:positionV>
            <wp:extent cx="55753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57530" cy="8255"/>
                    </a:xfrm>
                    <a:prstGeom prst="rect">
                      <a:avLst/>
                    </a:prstGeom>
                    <a:noFill/>
                  </pic:spPr>
                </pic:pic>
              </a:graphicData>
            </a:graphic>
          </wp:anchor>
        </w:drawing>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____________________</w:t>
      </w:r>
    </w:p>
    <w:p>
      <w:pPr>
        <w:spacing w:after="0" w:line="31" w:lineRule="exact"/>
        <w:rPr>
          <w:sz w:val="20"/>
          <w:szCs w:val="20"/>
          <w:color w:val="auto"/>
        </w:rPr>
      </w:pPr>
    </w:p>
    <w:p>
      <w:pPr>
        <w:jc w:val="both"/>
        <w:ind w:left="340" w:hanging="332"/>
        <w:spacing w:after="0" w:line="249" w:lineRule="auto"/>
        <w:tabs>
          <w:tab w:leader="none" w:pos="380" w:val="left"/>
        </w:tabs>
        <w:numPr>
          <w:ilvl w:val="0"/>
          <w:numId w:val="26"/>
        </w:numPr>
        <w:rPr>
          <w:rFonts w:ascii="Arial" w:cs="Arial" w:eastAsia="Arial" w:hAnsi="Arial"/>
          <w:sz w:val="18"/>
          <w:szCs w:val="18"/>
          <w:color w:val="auto"/>
        </w:rPr>
      </w:pPr>
      <w:r>
        <w:rPr>
          <w:rFonts w:ascii="Arial" w:cs="Arial" w:eastAsia="Arial" w:hAnsi="Arial"/>
          <w:sz w:val="16"/>
          <w:szCs w:val="16"/>
          <w:color w:val="auto"/>
        </w:rPr>
        <w:t>All portfolio investments are non-income-producing, unless otherwise identified. Equity investments are subject to lock-up restrictions upon their IPO. Preferred dividends are generally only payable when declared and paid by the portfolio company's board of directors. The Company’s directors, officers, employees and staff, as applicable, may serve on the board of directors of the Company’s portfolio investments. (Refer to “Note 3—Related-Party Arrangements”). All portfolio investments are considered Level 3 and valued using significant unobservable inputs, unless otherwise noted. (Refer to “Note 4—Investments at Fair Value”). All portfolio investments are considered Level 3 and valued using unobservable inputs, unless otherwise noted. All of the Company's portfolio investments are restricted as to resale, unless otherwise noted, and were valued at fair value as determined in good faith by the Company’s Board of Directors. (Refer to "Note 2—Significant Accounting Policies—Investments at Fair Value").</w:t>
      </w:r>
    </w:p>
    <w:p>
      <w:pPr>
        <w:spacing w:after="0" w:line="219" w:lineRule="exact"/>
        <w:rPr>
          <w:sz w:val="20"/>
          <w:szCs w:val="20"/>
          <w:color w:val="auto"/>
        </w:rPr>
      </w:pPr>
    </w:p>
    <w:p>
      <w:pPr>
        <w:ind w:left="340" w:hanging="332"/>
        <w:spacing w:after="0" w:line="275" w:lineRule="auto"/>
        <w:tabs>
          <w:tab w:leader="none" w:pos="232" w:val="left"/>
        </w:tabs>
        <w:numPr>
          <w:ilvl w:val="0"/>
          <w:numId w:val="27"/>
        </w:numPr>
        <w:rPr>
          <w:rFonts w:ascii="Arial" w:cs="Arial" w:eastAsia="Arial" w:hAnsi="Arial"/>
          <w:sz w:val="16"/>
          <w:szCs w:val="16"/>
          <w:color w:val="auto"/>
        </w:rPr>
      </w:pPr>
      <w:r>
        <w:rPr>
          <w:rFonts w:ascii="Arial" w:cs="Arial" w:eastAsia="Arial" w:hAnsi="Arial"/>
          <w:sz w:val="16"/>
          <w:szCs w:val="16"/>
          <w:color w:val="auto"/>
        </w:rPr>
        <w:t>Indicates assets that SuRo Capital Corp. believes do not represent “qualifying assets” under Section 55(a) of the Investment Company Act of 1940, as amended (the “1940 Act”). Of the Company’s total investments as of December 31, 2020, 22.56% of its total investments are non-qualifying assets.</w:t>
      </w:r>
    </w:p>
    <w:p>
      <w:pPr>
        <w:spacing w:after="0" w:line="199" w:lineRule="exact"/>
        <w:rPr>
          <w:rFonts w:ascii="Arial" w:cs="Arial" w:eastAsia="Arial" w:hAnsi="Arial"/>
          <w:sz w:val="16"/>
          <w:szCs w:val="16"/>
          <w:color w:val="auto"/>
        </w:rPr>
      </w:pPr>
    </w:p>
    <w:p>
      <w:pPr>
        <w:ind w:left="420" w:hanging="412"/>
        <w:spacing w:after="0"/>
        <w:tabs>
          <w:tab w:leader="none" w:pos="420" w:val="left"/>
        </w:tabs>
        <w:numPr>
          <w:ilvl w:val="0"/>
          <w:numId w:val="28"/>
        </w:numPr>
        <w:rPr>
          <w:rFonts w:ascii="Arial" w:cs="Arial" w:eastAsia="Arial" w:hAnsi="Arial"/>
          <w:sz w:val="16"/>
          <w:szCs w:val="16"/>
          <w:color w:val="auto"/>
        </w:rPr>
      </w:pPr>
      <w:r>
        <w:rPr>
          <w:rFonts w:ascii="Arial" w:cs="Arial" w:eastAsia="Arial" w:hAnsi="Arial"/>
          <w:sz w:val="16"/>
          <w:szCs w:val="16"/>
          <w:color w:val="auto"/>
        </w:rPr>
        <w:t>Investment is income-producing.</w:t>
      </w:r>
    </w:p>
    <w:p>
      <w:pPr>
        <w:spacing w:after="0" w:line="248" w:lineRule="exact"/>
        <w:rPr>
          <w:sz w:val="20"/>
          <w:szCs w:val="20"/>
          <w:color w:val="auto"/>
        </w:rPr>
      </w:pPr>
    </w:p>
    <w:p>
      <w:pPr>
        <w:ind w:left="500" w:hanging="492"/>
        <w:spacing w:after="0" w:line="252" w:lineRule="auto"/>
        <w:tabs>
          <w:tab w:leader="none" w:pos="384" w:val="left"/>
        </w:tabs>
        <w:numPr>
          <w:ilvl w:val="0"/>
          <w:numId w:val="29"/>
        </w:numPr>
        <w:rPr>
          <w:rFonts w:ascii="Arial" w:cs="Arial" w:eastAsia="Arial" w:hAnsi="Arial"/>
          <w:sz w:val="16"/>
          <w:szCs w:val="16"/>
          <w:color w:val="auto"/>
        </w:rPr>
      </w:pPr>
      <w:r>
        <w:rPr>
          <w:rFonts w:ascii="Arial" w:cs="Arial" w:eastAsia="Arial" w:hAnsi="Arial"/>
          <w:sz w:val="16"/>
          <w:szCs w:val="16"/>
          <w:color w:val="auto"/>
        </w:rPr>
        <w:t>“Affiliate Investments” are investments in those companies that are “Affiliated Companies” of SuRo Capital Corp., as defined in the 1940 Act. In general, a company is deemed to be an “Affiliate” of SuRo Capital Corp. if SuRo Capital Corp. owns 5% or more of the voting securities (</w:t>
      </w:r>
      <w:r>
        <w:rPr>
          <w:rFonts w:ascii="Arial" w:cs="Arial" w:eastAsia="Arial" w:hAnsi="Arial"/>
          <w:sz w:val="16"/>
          <w:szCs w:val="16"/>
          <w:i w:val="1"/>
          <w:iCs w:val="1"/>
          <w:color w:val="auto"/>
        </w:rPr>
        <w:t>i.e.</w:t>
      </w:r>
      <w:r>
        <w:rPr>
          <w:rFonts w:ascii="Arial" w:cs="Arial" w:eastAsia="Arial" w:hAnsi="Arial"/>
          <w:sz w:val="16"/>
          <w:szCs w:val="16"/>
          <w:color w:val="auto"/>
        </w:rPr>
        <w:t>, securities with the right to elect directors) of such company.</w:t>
      </w:r>
    </w:p>
    <w:p>
      <w:pPr>
        <w:spacing w:after="0" w:line="1" w:lineRule="exact"/>
        <w:rPr>
          <w:rFonts w:ascii="Arial" w:cs="Arial" w:eastAsia="Arial" w:hAnsi="Arial"/>
          <w:sz w:val="16"/>
          <w:szCs w:val="16"/>
          <w:color w:val="auto"/>
        </w:rPr>
      </w:pPr>
    </w:p>
    <w:p>
      <w:pPr>
        <w:ind w:left="500" w:hanging="492"/>
        <w:spacing w:after="0" w:line="251" w:lineRule="auto"/>
        <w:tabs>
          <w:tab w:leader="none" w:pos="396" w:val="left"/>
        </w:tabs>
        <w:numPr>
          <w:ilvl w:val="0"/>
          <w:numId w:val="29"/>
        </w:numPr>
        <w:rPr>
          <w:rFonts w:ascii="Arial" w:cs="Arial" w:eastAsia="Arial" w:hAnsi="Arial"/>
          <w:sz w:val="16"/>
          <w:szCs w:val="16"/>
          <w:color w:val="auto"/>
        </w:rPr>
      </w:pPr>
      <w:r>
        <w:rPr>
          <w:rFonts w:ascii="Arial" w:cs="Arial" w:eastAsia="Arial" w:hAnsi="Arial"/>
          <w:sz w:val="16"/>
          <w:szCs w:val="16"/>
          <w:color w:val="auto"/>
        </w:rPr>
        <w:t>“Control Investments” are investments in those companies that are “Controlled Companies” of SuRo Capital Corp., as defined in the 1940 Act. In general, under the 1940 Act, the Company would “Control” a portfolio company if the Company owned more than 25% of its outstanding voting securities (i.e., securities with the right to elect directors) and/or had the power to exercise control over the management or policies of such portfolio company.</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240"/>
          </w:cols>
          <w:pgMar w:left="320" w:top="122" w:right="339" w:bottom="1440" w:gutter="0" w:footer="0" w:header="0"/>
        </w:sectPr>
      </w:pPr>
    </w:p>
    <w:bookmarkStart w:id="43" w:name="page44"/>
    <w:bookmarkEnd w:id="4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SURO CAPITAL CORP. AND SUBSIDIARIES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2021</w:t>
      </w:r>
    </w:p>
    <w:p>
      <w:pPr>
        <w:spacing w:after="0" w:line="200" w:lineRule="exact"/>
        <w:rPr>
          <w:sz w:val="20"/>
          <w:szCs w:val="20"/>
          <w:color w:val="auto"/>
        </w:rPr>
      </w:pPr>
    </w:p>
    <w:p>
      <w:pPr>
        <w:spacing w:after="0" w:line="285" w:lineRule="exact"/>
        <w:rPr>
          <w:sz w:val="20"/>
          <w:szCs w:val="20"/>
          <w:color w:val="auto"/>
        </w:rPr>
      </w:pPr>
    </w:p>
    <w:p>
      <w:pPr>
        <w:ind w:left="360" w:hanging="352"/>
        <w:spacing w:after="0"/>
        <w:tabs>
          <w:tab w:leader="none" w:pos="3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As of December 31, 2020, the investments noted had been placed on non-accrual status.</w:t>
      </w:r>
    </w:p>
    <w:p>
      <w:pPr>
        <w:spacing w:after="0" w:line="248" w:lineRule="exact"/>
        <w:rPr>
          <w:rFonts w:ascii="Arial" w:cs="Arial" w:eastAsia="Arial" w:hAnsi="Arial"/>
          <w:sz w:val="16"/>
          <w:szCs w:val="16"/>
          <w:color w:val="auto"/>
        </w:rPr>
      </w:pPr>
    </w:p>
    <w:p>
      <w:pPr>
        <w:ind w:left="500" w:hanging="492"/>
        <w:spacing w:after="0" w:line="256" w:lineRule="auto"/>
        <w:tabs>
          <w:tab w:leader="none" w:pos="371"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SPBRX, INC. (f/k/a GSV Sustainability Partners, Inc.) preferred shares held by SuRo Capital Corp. do not entitle SuRo Capital Corp. to a preferred dividend rate. During the year ended December 31, 2020, SPBRX, INC. (f/k/a GSV Sustainability Partners, Inc.) declared, and SuRo Capital Corp. received, an aggregate of $450,000 in dividend distributions. SuRo Capital Corp. does not anticipate that SPBRX, INC. will pay distributions on a quarterly or regular basis or become a predictable distributor of distributions.</w:t>
      </w:r>
    </w:p>
    <w:p>
      <w:pPr>
        <w:spacing w:after="0" w:line="213" w:lineRule="exact"/>
        <w:rPr>
          <w:rFonts w:ascii="Arial" w:cs="Arial" w:eastAsia="Arial" w:hAnsi="Arial"/>
          <w:sz w:val="16"/>
          <w:szCs w:val="16"/>
          <w:color w:val="auto"/>
        </w:rPr>
      </w:pPr>
    </w:p>
    <w:p>
      <w:pPr>
        <w:ind w:left="360" w:hanging="352"/>
        <w:spacing w:after="0"/>
        <w:tabs>
          <w:tab w:leader="none" w:pos="3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SuRo Capital Corp.’s investments in StormWind, LLC are held through SuRo Capital Corp.'s wholly owned subsidiary, GSVC SW Holdings, Inc.</w:t>
      </w:r>
    </w:p>
    <w:p>
      <w:pPr>
        <w:spacing w:after="0" w:line="248" w:lineRule="exact"/>
        <w:rPr>
          <w:rFonts w:ascii="Arial" w:cs="Arial" w:eastAsia="Arial" w:hAnsi="Arial"/>
          <w:sz w:val="16"/>
          <w:szCs w:val="16"/>
          <w:color w:val="auto"/>
        </w:rPr>
      </w:pPr>
    </w:p>
    <w:p>
      <w:pPr>
        <w:ind w:left="500" w:hanging="492"/>
        <w:spacing w:after="0" w:line="315" w:lineRule="auto"/>
        <w:tabs>
          <w:tab w:leader="none" w:pos="411" w:val="left"/>
        </w:tabs>
        <w:numPr>
          <w:ilvl w:val="0"/>
          <w:numId w:val="30"/>
        </w:numPr>
        <w:rPr>
          <w:rFonts w:ascii="Arial" w:cs="Arial" w:eastAsia="Arial" w:hAnsi="Arial"/>
          <w:sz w:val="14"/>
          <w:szCs w:val="14"/>
          <w:color w:val="auto"/>
        </w:rPr>
      </w:pPr>
      <w:r>
        <w:rPr>
          <w:rFonts w:ascii="Arial" w:cs="Arial" w:eastAsia="Arial" w:hAnsi="Arial"/>
          <w:sz w:val="14"/>
          <w:szCs w:val="14"/>
          <w:color w:val="auto"/>
        </w:rPr>
        <w:t>On August 23, 2019, SuRo Capital Corp. amended the structure of its investment in NestGSV, Inc. (d/b/a OneValley, Inc.). As part of the agreement, SuRo Capital Corp.’s equity holdings (warrants notwithstanding) were restructured into a derivative security. NestGSV, Inc. (d/b/a OneValley,Inc.) has the right to call the position at any time over a five year period, while SuRo Capital Corp. can put the shares to NestGSV, Inc. (d/b/a OneValley, Inc.) at the end of the five year period.</w:t>
      </w:r>
    </w:p>
    <w:p>
      <w:pPr>
        <w:spacing w:after="0" w:line="176" w:lineRule="exact"/>
        <w:rPr>
          <w:rFonts w:ascii="Arial" w:cs="Arial" w:eastAsia="Arial" w:hAnsi="Arial"/>
          <w:sz w:val="14"/>
          <w:szCs w:val="14"/>
          <w:color w:val="auto"/>
        </w:rPr>
      </w:pPr>
    </w:p>
    <w:p>
      <w:pPr>
        <w:ind w:left="500" w:hanging="492"/>
        <w:spacing w:after="0" w:line="310" w:lineRule="auto"/>
        <w:tabs>
          <w:tab w:leader="none" w:pos="377" w:val="left"/>
        </w:tabs>
        <w:numPr>
          <w:ilvl w:val="0"/>
          <w:numId w:val="30"/>
        </w:numPr>
        <w:rPr>
          <w:rFonts w:ascii="Arial" w:cs="Arial" w:eastAsia="Arial" w:hAnsi="Arial"/>
          <w:sz w:val="15"/>
          <w:szCs w:val="15"/>
          <w:color w:val="auto"/>
        </w:rPr>
      </w:pPr>
      <w:r>
        <w:rPr>
          <w:rFonts w:ascii="Arial" w:cs="Arial" w:eastAsia="Arial" w:hAnsi="Arial"/>
          <w:sz w:val="15"/>
          <w:szCs w:val="15"/>
          <w:color w:val="auto"/>
        </w:rPr>
        <w:t>During the year ended December 31, 2020, GreenAcreage Real Estate Corp. declared an aggregate of $317,617 in dividend distributions. SuRo Capital Corp. does not anticipate that Green Acreage Real Estate Corp. will pay distributions on a recurring or regular basis or become a predictable distributor of distributions.</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240"/>
          </w:cols>
          <w:pgMar w:left="320" w:top="122" w:right="339" w:bottom="1440" w:gutter="0" w:footer="0" w:header="0"/>
        </w:sectPr>
      </w:pPr>
    </w:p>
    <w:bookmarkStart w:id="44" w:name="page45"/>
    <w:bookmarkEnd w:id="4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SURO CAPITAL CORP. AND SUBSIDIARIES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2021</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5—COMMON STOCK</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Repurchase Program</w:t>
      </w:r>
    </w:p>
    <w:p>
      <w:pPr>
        <w:spacing w:after="0" w:line="239" w:lineRule="exact"/>
        <w:rPr>
          <w:sz w:val="20"/>
          <w:szCs w:val="20"/>
          <w:color w:val="auto"/>
        </w:rPr>
      </w:pPr>
    </w:p>
    <w:p>
      <w:pPr>
        <w:jc w:val="both"/>
        <w:ind w:firstLine="324"/>
        <w:spacing w:after="0" w:line="285" w:lineRule="auto"/>
        <w:rPr>
          <w:sz w:val="20"/>
          <w:szCs w:val="20"/>
          <w:color w:val="auto"/>
        </w:rPr>
      </w:pPr>
      <w:r>
        <w:rPr>
          <w:rFonts w:ascii="Arial" w:cs="Arial" w:eastAsia="Arial" w:hAnsi="Arial"/>
          <w:sz w:val="16"/>
          <w:szCs w:val="16"/>
          <w:color w:val="auto"/>
        </w:rPr>
        <w:t>On August 8, 2017, the Company announced a $5.0 million discretionary open-market share repurchase program of shares of the Company’s common stock, $0.01 par value per share, of up to $5.0 million until the earlier of (i) August 6, 2018 or (ii) the repurchase of $5.0 million in aggregate amount of the Company’s common stock (the “Share Repurchase Program”). On November 7, 2017, the Company’s Board of Directors authorized an extension of, and an increase in the amount of shares of the Company’s common stock that may be repurchased under the discretionary Share Repurchase Program until the earlier of (i) November 6, 2018 or (ii) the repurchase of $10.0 million in aggregate amount of the Company’s common stock. On May 3, 2018, the Company’s Board of Directors authorized a $5.0 million increase in the amount of shares of the Company’s common stock that may be repurchased under the discretionary Share Repurchase Program until the earlier of (i) November 6, 2018 or (ii) the repurchase of $15.0 million in aggregate amount of the Company’s common stock. On November 1, 2018, our Board of Directors authorized a $5.0 million increase in the amount of shares of our common stock that may be repurchased under the discretionary Share Repurchase Program until the earlier of (i) October 31, 2019 or (ii) the repurchase of $20.0 million in aggregate amount of our common stock. On August 5, 2019, our Board of Directors authorized a $5.0 million increase in the amount of shares of our common stock that may be repurchased under the discretionary Share Repurchase Program until the earlier of (i) August 4, 2020 or (ii) the repurchase of $25.0 million in aggregate amount of our common stock. On March 9, 2020, our Board of Directors authorized a $5.0 million increase in the amount of shares of our common stock that may be repurchased under the discretionary Share Repurchase Program until the earlier of (i) March 8, 2021 or (ii) the repurchase of $30.0 million in aggregate amount of our common stock. On October 28, 2020, our Board of Directors authorized a $10.0 million increase in the amount of shares of our common stock that may be repurchased under the discretionary Share Repurchase Program until the earlier of (i) October 31, 2021 or (ii) the repurchase of $40.0 million in aggregate amount of our common stock.</w:t>
      </w:r>
    </w:p>
    <w:p>
      <w:pPr>
        <w:spacing w:after="0" w:line="203" w:lineRule="exact"/>
        <w:rPr>
          <w:sz w:val="20"/>
          <w:szCs w:val="20"/>
          <w:color w:val="auto"/>
        </w:rPr>
      </w:pPr>
    </w:p>
    <w:p>
      <w:pPr>
        <w:jc w:val="both"/>
        <w:ind w:firstLine="364"/>
        <w:spacing w:after="0" w:line="257" w:lineRule="auto"/>
        <w:rPr>
          <w:sz w:val="20"/>
          <w:szCs w:val="20"/>
          <w:color w:val="auto"/>
        </w:rPr>
      </w:pPr>
      <w:r>
        <w:rPr>
          <w:rFonts w:ascii="Arial" w:cs="Arial" w:eastAsia="Arial" w:hAnsi="Arial"/>
          <w:sz w:val="18"/>
          <w:szCs w:val="18"/>
          <w:color w:val="auto"/>
        </w:rPr>
        <w:t>The timing and number of shares to be repurchased will depend on a number of factors, including market conditions and alternative investment opportunities. The Share Repurchase Program may be suspended, terminated or modified at any time for any reason and does not obligate the Company to acquire any specific number of shares of its common stock. Under the Share Repurchase Program, we may repurchase our outstanding common stock in the open market provided that we comply with the prohibitions under our insider trading policies and procedures and the applicable provisions of the 1940 Act and the Securities Exchange Act of 1934, as amended.</w:t>
      </w:r>
    </w:p>
    <w:p>
      <w:pPr>
        <w:spacing w:after="0" w:line="215" w:lineRule="exact"/>
        <w:rPr>
          <w:sz w:val="20"/>
          <w:szCs w:val="20"/>
          <w:color w:val="auto"/>
        </w:rPr>
      </w:pPr>
    </w:p>
    <w:p>
      <w:pPr>
        <w:jc w:val="both"/>
        <w:ind w:right="20" w:firstLine="364"/>
        <w:spacing w:after="0" w:line="263" w:lineRule="auto"/>
        <w:rPr>
          <w:sz w:val="20"/>
          <w:szCs w:val="20"/>
          <w:color w:val="auto"/>
        </w:rPr>
      </w:pPr>
      <w:r>
        <w:rPr>
          <w:rFonts w:ascii="Arial" w:cs="Arial" w:eastAsia="Arial" w:hAnsi="Arial"/>
          <w:sz w:val="18"/>
          <w:szCs w:val="18"/>
          <w:color w:val="auto"/>
        </w:rPr>
        <w:t>During the three months ended March 31, 2021, the Company did not repurchase shares of common stock under the Share Repurchase Program. As of March 31, 2021, the dollar value of shares that remained available to be purchased by the Company under the Share Repurchase Program was approximately $9.6 million.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Amended and Restated 2019 Equity Incentive Plan</w:t>
      </w:r>
    </w:p>
    <w:p>
      <w:pPr>
        <w:spacing w:after="0" w:line="23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Refer to “Note 11—Stock-Based Compensation” for a description of the Company’s restricted shares of common stock granted to non-employee directors under the Amended &amp; Restated 2019 Equity Incentive Plan (as defined herein).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Conversion of 4.75% Convertible Senior Notes due 2023</w:t>
      </w:r>
    </w:p>
    <w:p>
      <w:pPr>
        <w:spacing w:after="0" w:line="23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For the three months ended March 31, 2021 the Company issued 4,097,808 shares of its common stock and cash for fractional shares upon the conversion of approximately $37.9 million in aggregate principal amount of the 4.75% Convertible Senior Notes due 2023. The Company also redeemed approximately $0.3 million of aggregate principal amount for cash plus accrued and unpaid interest on March 29, 2021. Refer to “Note 10—Debt Capital Activities” for more detail regarding conversion terms.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At-the-Market Offering</w:t>
      </w:r>
    </w:p>
    <w:p>
      <w:pPr>
        <w:spacing w:after="0" w:line="23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On July 29, 2020, the Company entered into an At-the-Market Sales Agreement, dated July 29, 2020 (the “Initial Sales Agreement”), with BTIG, LLC, JMP Securities LLC and Ladenburg Thalmann &amp; Co., Inc. (collectively, the “Agents”). Under</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240"/>
          </w:cols>
          <w:pgMar w:left="320" w:top="122" w:right="339" w:bottom="1440" w:gutter="0" w:footer="0" w:header="0"/>
        </w:sectPr>
      </w:pPr>
    </w:p>
    <w:bookmarkStart w:id="45" w:name="page46"/>
    <w:bookmarkEnd w:id="4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SURO CAPITAL CORP. AND SUBSIDIARIES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2021</w:t>
      </w:r>
    </w:p>
    <w:p>
      <w:pPr>
        <w:spacing w:after="0" w:line="40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Initial Sales Agreement, the Company may, but has no obligation to, issue and sell up to $50.0 million in aggregate amount of shares of its common stock (the “Shares”) from time to time through the Agents or to them as principal for their own account (the "ATM Program"). On September 23, 2020, the Company increased the maximum amount of Shares to be sold through the ATM Program to $150.0 million from $50.0 million. In connection with the upsize of the ATM Program to $150.0 million, the Company entered into Amendment No. 1 to the At-the-Market Sales Agreement, dated September 23, 2020, with the Agents (the “Amendment No. 1 to the Sales Agreement,” and together with the Initial Sales Agreement, the “Sales Agreement”). The Company intends to use the net proceeds from the ATM Program to make investments in portfolio companies in accordance with its investment objective and strategy and for general corporate purposes.</w:t>
      </w:r>
    </w:p>
    <w:p>
      <w:pPr>
        <w:spacing w:after="0" w:line="22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Sales of the Shares, if any, will be made by any method that is deemed to be an “at-the-market” offering as defined in Rule 415 under the Securities Act of 1933, as amended, including sales made directly on the Nasdaq Capital Market or sales made to or through a market maker other than on an exchange, at market prices prevailing at the time of sale, at prices related to prevailing market prices or at other negotiated prices. Actual sales in the ATM Program will depend on a variety of factors to be determined by the Company from time to time.</w:t>
      </w:r>
    </w:p>
    <w:p>
      <w:pPr>
        <w:spacing w:after="0" w:line="214"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 Agents will receive a commission from the Company equal to up to 2.0% of the gross sales price of any Shares sold through the Agents under the Sales Agreement and reimbursement of certain expenses. The Sales Agreement contains customary representations, warranties and agreements of the Company, conditions to closing, indemnification rights and obligations of the parties and termination provisions.</w:t>
      </w:r>
    </w:p>
    <w:p>
      <w:pPr>
        <w:spacing w:after="0" w:line="19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During the three months ended March 31, 2021, the Company did not issue or sell shares under the ATM Program. As of March 31, 2021, up to approximately $99.1 million in aggregate amount of the Shares remain available for sale under the ATM Program.</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Modified Dutch Auction Tender Offer</w:t>
      </w:r>
    </w:p>
    <w:p>
      <w:pPr>
        <w:spacing w:after="0" w:line="252"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On October 21, 2019, the Company commenced a modified “Dutch Auction” tender offer (the “Modified Dutch Auction Tender Offer”) to purchase for cash up to $10.0 million in shares of its common stock from its stockholders at a price per share of not less than $6.00 and not greater than $8.00 in $0.10 increments, using available cash. Upon expiration of the Modified Dutch Auction Tender Offer on November 20, 2019, the Company repurchased 1,449,275 shares, representing 7.6% of its outstanding shares, at a price of $6.90 per share on a pro rata basis, excluding fees and expenses relating to the self-tender offer. The Company has determined that the proration factor for the tender offer was 78.1%.</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240"/>
          </w:cols>
          <w:pgMar w:left="320" w:top="122" w:right="339" w:bottom="1440" w:gutter="0" w:footer="0" w:header="0"/>
        </w:sectPr>
      </w:pPr>
    </w:p>
    <w:bookmarkStart w:id="46" w:name="page47"/>
    <w:bookmarkEnd w:id="46"/>
    <w:p>
      <w:pPr>
        <w:ind w:left="73"/>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87" w:lineRule="exact"/>
        <w:rPr>
          <w:sz w:val="20"/>
          <w:szCs w:val="20"/>
          <w:color w:val="auto"/>
        </w:rPr>
      </w:pPr>
    </w:p>
    <w:p>
      <w:pPr>
        <w:jc w:val="center"/>
        <w:ind w:right="-72"/>
        <w:spacing w:after="0"/>
        <w:rPr>
          <w:sz w:val="20"/>
          <w:szCs w:val="20"/>
          <w:color w:val="auto"/>
        </w:rPr>
      </w:pPr>
      <w:r>
        <w:rPr>
          <w:rFonts w:ascii="Arial" w:cs="Arial" w:eastAsia="Arial" w:hAnsi="Arial"/>
          <w:sz w:val="18"/>
          <w:szCs w:val="18"/>
          <w:b w:val="1"/>
          <w:bCs w:val="1"/>
          <w:color w:val="auto"/>
        </w:rPr>
        <w:t>SURO CAPITAL CORP. AND SUBSIDIARIES</w:t>
      </w:r>
    </w:p>
    <w:p>
      <w:pPr>
        <w:spacing w:after="0" w:line="252" w:lineRule="exact"/>
        <w:rPr>
          <w:sz w:val="20"/>
          <w:szCs w:val="20"/>
          <w:color w:val="auto"/>
        </w:rPr>
      </w:pPr>
    </w:p>
    <w:p>
      <w:pPr>
        <w:jc w:val="center"/>
        <w:ind w:right="-72"/>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ind w:right="-72"/>
        <w:spacing w:after="0"/>
        <w:rPr>
          <w:sz w:val="20"/>
          <w:szCs w:val="20"/>
          <w:color w:val="auto"/>
        </w:rPr>
      </w:pPr>
      <w:r>
        <w:rPr>
          <w:rFonts w:ascii="Arial" w:cs="Arial" w:eastAsia="Arial" w:hAnsi="Arial"/>
          <w:sz w:val="18"/>
          <w:szCs w:val="18"/>
          <w:b w:val="1"/>
          <w:bCs w:val="1"/>
          <w:color w:val="auto"/>
        </w:rPr>
        <w:t>March 31, 2021</w:t>
      </w:r>
    </w:p>
    <w:p>
      <w:pPr>
        <w:spacing w:after="0" w:line="396" w:lineRule="exact"/>
        <w:rPr>
          <w:sz w:val="20"/>
          <w:szCs w:val="20"/>
          <w:color w:val="auto"/>
        </w:rPr>
      </w:pPr>
    </w:p>
    <w:p>
      <w:pPr>
        <w:ind w:left="73"/>
        <w:spacing w:after="0"/>
        <w:rPr>
          <w:sz w:val="20"/>
          <w:szCs w:val="20"/>
          <w:color w:val="auto"/>
        </w:rPr>
      </w:pPr>
      <w:r>
        <w:rPr>
          <w:rFonts w:ascii="Arial" w:cs="Arial" w:eastAsia="Arial" w:hAnsi="Arial"/>
          <w:sz w:val="18"/>
          <w:szCs w:val="18"/>
          <w:b w:val="1"/>
          <w:bCs w:val="1"/>
          <w:color w:val="auto"/>
        </w:rPr>
        <w:t>NOTE 6—NET CHANGE IN NET ASSETS RESULTING FROM OPERATIONS PER COMMON SHARE—BASIC AND DILUTED</w:t>
      </w:r>
    </w:p>
    <w:p>
      <w:pPr>
        <w:spacing w:after="0" w:line="256" w:lineRule="exact"/>
        <w:rPr>
          <w:sz w:val="20"/>
          <w:szCs w:val="20"/>
          <w:color w:val="auto"/>
        </w:rPr>
      </w:pPr>
    </w:p>
    <w:p>
      <w:pPr>
        <w:ind w:left="73" w:firstLine="364"/>
        <w:spacing w:after="0" w:line="269" w:lineRule="auto"/>
        <w:rPr>
          <w:sz w:val="20"/>
          <w:szCs w:val="20"/>
          <w:color w:val="auto"/>
        </w:rPr>
      </w:pPr>
      <w:r>
        <w:rPr>
          <w:rFonts w:ascii="Arial" w:cs="Arial" w:eastAsia="Arial" w:hAnsi="Arial"/>
          <w:sz w:val="18"/>
          <w:szCs w:val="18"/>
          <w:color w:val="auto"/>
        </w:rPr>
        <w:t>The following information sets forth the computation of basic and diluted net increase in net assets resulting from operations per common share, pursuant to ASC 260, for the three months ended March 31, 2021 and 2020.</w:t>
      </w:r>
    </w:p>
    <w:tbl>
      <w:tblPr>
        <w:tblLayout w:type="fixed"/>
        <w:tblInd w:w="73"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7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160" w:type="dxa"/>
            <w:vAlign w:val="bottom"/>
            <w:gridSpan w:val="5"/>
          </w:tcPr>
          <w:p>
            <w:pPr>
              <w:ind w:left="34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740" w:type="dxa"/>
            <w:vAlign w:val="bottom"/>
          </w:tcPr>
          <w:p>
            <w:pPr>
              <w:spacing w:after="0"/>
              <w:rPr>
                <w:sz w:val="16"/>
                <w:szCs w:val="16"/>
                <w:color w:val="auto"/>
              </w:rPr>
            </w:pPr>
          </w:p>
        </w:tc>
        <w:tc>
          <w:tcPr>
            <w:tcW w:w="400" w:type="dxa"/>
            <w:vAlign w:val="bottom"/>
            <w:tcBorders>
              <w:top w:val="single" w:sz="8" w:color="auto"/>
              <w:bottom w:val="single" w:sz="8" w:color="auto"/>
            </w:tcBorders>
          </w:tcPr>
          <w:p>
            <w:pPr>
              <w:spacing w:after="0"/>
              <w:rPr>
                <w:sz w:val="16"/>
                <w:szCs w:val="16"/>
                <w:color w:val="auto"/>
              </w:rPr>
            </w:pPr>
          </w:p>
        </w:tc>
        <w:tc>
          <w:tcPr>
            <w:tcW w:w="1280" w:type="dxa"/>
            <w:vAlign w:val="bottom"/>
            <w:tcBorders>
              <w:top w:val="single" w:sz="8" w:color="auto"/>
              <w:bottom w:val="single" w:sz="8" w:color="auto"/>
            </w:tcBorders>
          </w:tcPr>
          <w:p>
            <w:pPr>
              <w:jc w:val="right"/>
              <w:ind w:right="62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tcBorders>
          </w:tcPr>
          <w:p>
            <w:pPr>
              <w:spacing w:after="0"/>
              <w:rPr>
                <w:sz w:val="16"/>
                <w:szCs w:val="16"/>
                <w:color w:val="auto"/>
              </w:rPr>
            </w:pPr>
          </w:p>
        </w:tc>
        <w:tc>
          <w:tcPr>
            <w:tcW w:w="400" w:type="dxa"/>
            <w:vAlign w:val="bottom"/>
            <w:tcBorders>
              <w:top w:val="single" w:sz="8" w:color="auto"/>
              <w:bottom w:val="single" w:sz="8" w:color="auto"/>
            </w:tcBorders>
          </w:tcPr>
          <w:p>
            <w:pPr>
              <w:spacing w:after="0"/>
              <w:rPr>
                <w:sz w:val="16"/>
                <w:szCs w:val="16"/>
                <w:color w:val="auto"/>
              </w:rPr>
            </w:pPr>
          </w:p>
        </w:tc>
        <w:tc>
          <w:tcPr>
            <w:tcW w:w="1280" w:type="dxa"/>
            <w:vAlign w:val="bottom"/>
            <w:tcBorders>
              <w:top w:val="single" w:sz="8" w:color="auto"/>
              <w:bottom w:val="single" w:sz="8" w:color="auto"/>
            </w:tcBorders>
          </w:tcPr>
          <w:p>
            <w:pPr>
              <w:jc w:val="right"/>
              <w:ind w:right="620"/>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320" w:type="dxa"/>
            <w:vAlign w:val="bottom"/>
            <w:gridSpan w:val="3"/>
          </w:tcPr>
          <w:p>
            <w:pPr>
              <w:spacing w:after="0" w:line="172" w:lineRule="exact"/>
              <w:rPr>
                <w:sz w:val="20"/>
                <w:szCs w:val="20"/>
                <w:color w:val="auto"/>
              </w:rPr>
            </w:pPr>
            <w:r>
              <w:rPr>
                <w:rFonts w:ascii="Arial" w:cs="Arial" w:eastAsia="Arial" w:hAnsi="Arial"/>
                <w:sz w:val="16"/>
                <w:szCs w:val="16"/>
                <w:b w:val="1"/>
                <w:bCs w:val="1"/>
                <w:color w:val="auto"/>
              </w:rPr>
              <w:t>Earnings per common share–basic:</w:t>
            </w:r>
          </w:p>
        </w:tc>
        <w:tc>
          <w:tcPr>
            <w:tcW w:w="4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44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632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Net change in net assets resulting from operations</w:t>
            </w: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108,002,363</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(23,692,247)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6320" w:type="dxa"/>
            <w:vAlign w:val="bottom"/>
            <w:tcBorders>
              <w:bottom w:val="single" w:sz="8" w:color="CCEEFF"/>
            </w:tcBorders>
            <w:gridSpan w:val="3"/>
          </w:tcPr>
          <w:p>
            <w:pPr>
              <w:spacing w:after="0"/>
              <w:rPr>
                <w:sz w:val="20"/>
                <w:szCs w:val="20"/>
                <w:color w:val="auto"/>
              </w:rPr>
            </w:pPr>
            <w:r>
              <w:rPr>
                <w:rFonts w:ascii="Arial" w:cs="Arial" w:eastAsia="Arial" w:hAnsi="Arial"/>
                <w:sz w:val="16"/>
                <w:szCs w:val="16"/>
                <w:color w:val="auto"/>
              </w:rPr>
              <w:t>Weighted-average common shares–basic</w:t>
            </w:r>
          </w:p>
        </w:tc>
        <w:tc>
          <w:tcPr>
            <w:tcW w:w="4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20,486,621</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17,440,994</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Borders>
              <w:bottom w:val="single" w:sz="8" w:color="CCEEFF"/>
            </w:tcBorders>
            <w:shd w:val="clear" w:color="auto" w:fill="CCEEFF"/>
          </w:tcPr>
          <w:p>
            <w:pPr>
              <w:spacing w:after="0"/>
              <w:rPr>
                <w:sz w:val="20"/>
                <w:szCs w:val="20"/>
                <w:color w:val="auto"/>
              </w:rPr>
            </w:pPr>
          </w:p>
        </w:tc>
        <w:tc>
          <w:tcPr>
            <w:tcW w:w="632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6"/>
                <w:szCs w:val="16"/>
                <w:b w:val="1"/>
                <w:bCs w:val="1"/>
                <w:color w:val="auto"/>
              </w:rPr>
              <w:t>Earnings per common share–basic</w:t>
            </w: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5.27</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(1.36)</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6320" w:type="dxa"/>
            <w:vAlign w:val="bottom"/>
            <w:tcBorders>
              <w:top w:val="single" w:sz="8" w:color="CCEEFF"/>
              <w:bottom w:val="single" w:sz="8" w:color="CCEEFF"/>
            </w:tcBorders>
            <w:gridSpan w:val="3"/>
            <w:vMerge w:val="restart"/>
          </w:tcPr>
          <w:p>
            <w:pPr>
              <w:spacing w:after="0" w:line="162" w:lineRule="exact"/>
              <w:rPr>
                <w:sz w:val="20"/>
                <w:szCs w:val="20"/>
                <w:color w:val="auto"/>
              </w:rPr>
            </w:pPr>
            <w:r>
              <w:rPr>
                <w:rFonts w:ascii="Arial" w:cs="Arial" w:eastAsia="Arial" w:hAnsi="Arial"/>
                <w:sz w:val="16"/>
                <w:szCs w:val="16"/>
                <w:b w:val="1"/>
                <w:bCs w:val="1"/>
                <w:color w:val="auto"/>
              </w:rPr>
              <w:t>Earnings per common share–diluted:</w:t>
            </w: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20" w:type="dxa"/>
            <w:vAlign w:val="bottom"/>
            <w:vMerge w:val="continue"/>
          </w:tcPr>
          <w:p>
            <w:pPr>
              <w:spacing w:after="0"/>
              <w:rPr>
                <w:sz w:val="10"/>
                <w:szCs w:val="10"/>
                <w:color w:val="auto"/>
              </w:rPr>
            </w:pPr>
          </w:p>
        </w:tc>
        <w:tc>
          <w:tcPr>
            <w:tcW w:w="6320" w:type="dxa"/>
            <w:vAlign w:val="bottom"/>
            <w:gridSpan w:val="3"/>
            <w:vMerge w:val="continue"/>
          </w:tcPr>
          <w:p>
            <w:pPr>
              <w:spacing w:after="0"/>
              <w:rPr>
                <w:sz w:val="10"/>
                <w:szCs w:val="10"/>
                <w:color w:val="auto"/>
              </w:rPr>
            </w:pPr>
          </w:p>
        </w:tc>
        <w:tc>
          <w:tcPr>
            <w:tcW w:w="40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4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Borders>
              <w:bottom w:val="single" w:sz="8" w:color="CCEEFF"/>
            </w:tcBorders>
            <w:shd w:val="clear" w:color="auto" w:fill="CCEEFF"/>
          </w:tcPr>
          <w:p>
            <w:pPr>
              <w:spacing w:after="0"/>
              <w:rPr>
                <w:sz w:val="18"/>
                <w:szCs w:val="18"/>
                <w:color w:val="auto"/>
              </w:rPr>
            </w:pPr>
          </w:p>
        </w:tc>
        <w:tc>
          <w:tcPr>
            <w:tcW w:w="632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6"/>
                <w:szCs w:val="16"/>
                <w:color w:val="auto"/>
              </w:rPr>
              <w:t>Net change in net assets resulting from operations</w:t>
            </w: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108,002,363</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(23,692,247)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20" w:type="dxa"/>
            <w:vAlign w:val="bottom"/>
            <w:gridSpan w:val="3"/>
          </w:tcPr>
          <w:p>
            <w:pPr>
              <w:ind w:left="120"/>
              <w:spacing w:after="0" w:line="210" w:lineRule="exact"/>
              <w:rPr>
                <w:sz w:val="20"/>
                <w:szCs w:val="20"/>
                <w:color w:val="auto"/>
              </w:rPr>
            </w:pPr>
            <w:r>
              <w:rPr>
                <w:rFonts w:ascii="Arial" w:cs="Arial" w:eastAsia="Arial" w:hAnsi="Arial"/>
                <w:sz w:val="16"/>
                <w:szCs w:val="16"/>
                <w:color w:val="auto"/>
                <w:w w:val="98"/>
              </w:rPr>
              <w:t>Adjustment for interest and amortization on 4.75% Convertible Senior Notes due 2023</w:t>
            </w:r>
            <w:r>
              <w:rPr>
                <w:rFonts w:ascii="Arial" w:cs="Arial" w:eastAsia="Arial" w:hAnsi="Arial"/>
                <w:sz w:val="21"/>
                <w:szCs w:val="21"/>
                <w:color w:val="auto"/>
                <w:w w:val="98"/>
                <w:vertAlign w:val="superscript"/>
              </w:rPr>
              <w:t>(1)</w:t>
            </w:r>
          </w:p>
        </w:tc>
        <w:tc>
          <w:tcPr>
            <w:tcW w:w="400" w:type="dxa"/>
            <w:vAlign w:val="bottom"/>
          </w:tcPr>
          <w:p>
            <w:pPr>
              <w:spacing w:after="0"/>
              <w:rPr>
                <w:sz w:val="18"/>
                <w:szCs w:val="18"/>
                <w:color w:val="auto"/>
              </w:rPr>
            </w:pPr>
          </w:p>
        </w:tc>
        <w:tc>
          <w:tcPr>
            <w:tcW w:w="1280" w:type="dxa"/>
            <w:vAlign w:val="bottom"/>
          </w:tcPr>
          <w:p>
            <w:pPr>
              <w:jc w:val="right"/>
              <w:ind w:right="1"/>
              <w:spacing w:after="0"/>
              <w:rPr>
                <w:sz w:val="20"/>
                <w:szCs w:val="20"/>
                <w:color w:val="auto"/>
              </w:rPr>
            </w:pPr>
            <w:r>
              <w:rPr>
                <w:rFonts w:ascii="Arial" w:cs="Arial" w:eastAsia="Arial" w:hAnsi="Arial"/>
                <w:sz w:val="16"/>
                <w:szCs w:val="16"/>
                <w:color w:val="auto"/>
              </w:rPr>
              <w:t>501,065</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6320" w:type="dxa"/>
            <w:vAlign w:val="bottom"/>
            <w:tcBorders>
              <w:top w:val="single" w:sz="8" w:color="CCEEFF"/>
              <w:bottom w:val="single" w:sz="8" w:color="CCEEFF"/>
            </w:tcBorders>
            <w:gridSpan w:val="3"/>
            <w:shd w:val="clear" w:color="auto" w:fill="CCEEFF"/>
          </w:tcPr>
          <w:p>
            <w:pPr>
              <w:ind w:left="80"/>
              <w:spacing w:after="0"/>
              <w:rPr>
                <w:sz w:val="20"/>
                <w:szCs w:val="20"/>
                <w:color w:val="auto"/>
              </w:rPr>
            </w:pPr>
            <w:r>
              <w:rPr>
                <w:rFonts w:ascii="Arial" w:cs="Arial" w:eastAsia="Arial" w:hAnsi="Arial"/>
                <w:sz w:val="16"/>
                <w:szCs w:val="16"/>
                <w:color w:val="auto"/>
              </w:rPr>
              <w:t>Net change in net assets resulting from operations, as adjusted</w:t>
            </w:r>
          </w:p>
        </w:tc>
        <w:tc>
          <w:tcPr>
            <w:tcW w:w="400" w:type="dxa"/>
            <w:vAlign w:val="bottom"/>
            <w:tcBorders>
              <w:top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108,503,428</w:t>
            </w:r>
          </w:p>
        </w:tc>
        <w:tc>
          <w:tcPr>
            <w:tcW w:w="1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(23,692,247)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320" w:type="dxa"/>
            <w:vAlign w:val="bottom"/>
            <w:gridSpan w:val="3"/>
          </w:tcPr>
          <w:p>
            <w:pPr>
              <w:ind w:left="120"/>
              <w:spacing w:after="0" w:line="210" w:lineRule="exact"/>
              <w:rPr>
                <w:sz w:val="20"/>
                <w:szCs w:val="20"/>
                <w:color w:val="auto"/>
              </w:rPr>
            </w:pPr>
            <w:r>
              <w:rPr>
                <w:rFonts w:ascii="Arial" w:cs="Arial" w:eastAsia="Arial" w:hAnsi="Arial"/>
                <w:sz w:val="16"/>
                <w:szCs w:val="16"/>
                <w:color w:val="auto"/>
              </w:rPr>
              <w:t>Adjustment for dilutive effect of 4.75% Convertible Senior Notes due 2023</w:t>
            </w:r>
            <w:r>
              <w:rPr>
                <w:rFonts w:ascii="Arial" w:cs="Arial" w:eastAsia="Arial" w:hAnsi="Arial"/>
                <w:sz w:val="21"/>
                <w:szCs w:val="21"/>
                <w:color w:val="auto"/>
                <w:vertAlign w:val="superscript"/>
              </w:rPr>
              <w:t>(1)</w:t>
            </w:r>
          </w:p>
        </w:tc>
        <w:tc>
          <w:tcPr>
            <w:tcW w:w="400" w:type="dxa"/>
            <w:vAlign w:val="bottom"/>
          </w:tcPr>
          <w:p>
            <w:pPr>
              <w:spacing w:after="0"/>
              <w:rPr>
                <w:sz w:val="18"/>
                <w:szCs w:val="18"/>
                <w:color w:val="auto"/>
              </w:rPr>
            </w:pPr>
          </w:p>
        </w:tc>
        <w:tc>
          <w:tcPr>
            <w:tcW w:w="1280" w:type="dxa"/>
            <w:vAlign w:val="bottom"/>
          </w:tcPr>
          <w:p>
            <w:pPr>
              <w:jc w:val="right"/>
              <w:ind w:right="1"/>
              <w:spacing w:after="0"/>
              <w:rPr>
                <w:sz w:val="20"/>
                <w:szCs w:val="20"/>
                <w:color w:val="auto"/>
              </w:rPr>
            </w:pPr>
            <w:r>
              <w:rPr>
                <w:rFonts w:ascii="Arial" w:cs="Arial" w:eastAsia="Arial" w:hAnsi="Arial"/>
                <w:sz w:val="16"/>
                <w:szCs w:val="16"/>
                <w:color w:val="auto"/>
              </w:rPr>
              <w:t>3,636,717</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7"/>
        </w:trPr>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632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Arial" w:cs="Arial" w:eastAsia="Arial" w:hAnsi="Arial"/>
                <w:sz w:val="16"/>
                <w:szCs w:val="16"/>
                <w:color w:val="auto"/>
              </w:rPr>
              <w:t>Weighted-average common shares outstanding–diluted</w:t>
            </w:r>
          </w:p>
        </w:tc>
        <w:tc>
          <w:tcPr>
            <w:tcW w:w="400" w:type="dxa"/>
            <w:vAlign w:val="bottom"/>
            <w:tcBorders>
              <w:top w:val="single" w:sz="8" w:color="auto"/>
              <w:bottom w:val="single" w:sz="8" w:color="auto"/>
            </w:tcBorders>
            <w:shd w:val="clear" w:color="auto" w:fill="CCEEFF"/>
          </w:tcPr>
          <w:p>
            <w:pPr>
              <w:spacing w:after="0"/>
              <w:rPr>
                <w:sz w:val="17"/>
                <w:szCs w:val="17"/>
                <w:color w:val="auto"/>
              </w:rPr>
            </w:pPr>
          </w:p>
        </w:tc>
        <w:tc>
          <w:tcPr>
            <w:tcW w:w="128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24,123,338</w:t>
            </w:r>
          </w:p>
        </w:tc>
        <w:tc>
          <w:tcPr>
            <w:tcW w:w="10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bottom w:val="single" w:sz="8" w:color="auto"/>
            </w:tcBorders>
            <w:shd w:val="clear" w:color="auto" w:fill="CCEEFF"/>
          </w:tcPr>
          <w:p>
            <w:pPr>
              <w:spacing w:after="0"/>
              <w:rPr>
                <w:sz w:val="17"/>
                <w:szCs w:val="17"/>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17,440,994</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320" w:type="dxa"/>
            <w:vAlign w:val="bottom"/>
            <w:gridSpan w:val="3"/>
          </w:tcPr>
          <w:p>
            <w:pPr>
              <w:spacing w:after="0"/>
              <w:rPr>
                <w:sz w:val="20"/>
                <w:szCs w:val="20"/>
                <w:color w:val="auto"/>
              </w:rPr>
            </w:pPr>
            <w:r>
              <w:rPr>
                <w:rFonts w:ascii="Arial" w:cs="Arial" w:eastAsia="Arial" w:hAnsi="Arial"/>
                <w:sz w:val="16"/>
                <w:szCs w:val="16"/>
                <w:b w:val="1"/>
                <w:bCs w:val="1"/>
                <w:color w:val="auto"/>
              </w:rPr>
              <w:t>Earnings per common share–diluted</w:t>
            </w: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4.50</w:t>
            </w:r>
          </w:p>
        </w:tc>
        <w:tc>
          <w:tcPr>
            <w:tcW w:w="100" w:type="dxa"/>
            <w:vAlign w:val="bottom"/>
          </w:tcPr>
          <w:p>
            <w:pPr>
              <w:spacing w:after="0"/>
              <w:rPr>
                <w:sz w:val="18"/>
                <w:szCs w:val="18"/>
                <w:color w:val="auto"/>
              </w:rPr>
            </w:pP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460" w:type="dxa"/>
            <w:vAlign w:val="bottom"/>
            <w:gridSpan w:val="2"/>
            <w:vMerge w:val="restart"/>
          </w:tcPr>
          <w:p>
            <w:pPr>
              <w:spacing w:after="0"/>
              <w:rPr>
                <w:sz w:val="20"/>
                <w:szCs w:val="20"/>
                <w:color w:val="auto"/>
              </w:rPr>
            </w:pPr>
            <w:r>
              <w:rPr>
                <w:rFonts w:ascii="Arial" w:cs="Arial" w:eastAsia="Arial" w:hAnsi="Arial"/>
                <w:sz w:val="18"/>
                <w:szCs w:val="18"/>
                <w:color w:val="auto"/>
              </w:rPr>
              <w:t>______________________</w:t>
            </w:r>
          </w:p>
        </w:tc>
        <w:tc>
          <w:tcPr>
            <w:tcW w:w="140" w:type="dxa"/>
            <w:vAlign w:val="bottom"/>
            <w:vMerge w:val="restart"/>
          </w:tcPr>
          <w:p>
            <w:pPr>
              <w:spacing w:after="0" w:line="20" w:lineRule="exact"/>
              <w:rPr>
                <w:sz w:val="1"/>
                <w:szCs w:val="1"/>
                <w:color w:val="auto"/>
              </w:rPr>
            </w:pPr>
          </w:p>
        </w:tc>
        <w:tc>
          <w:tcPr>
            <w:tcW w:w="3740" w:type="dxa"/>
            <w:vAlign w:val="bottom"/>
            <w:vMerge w:val="restart"/>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2460" w:type="dxa"/>
            <w:vAlign w:val="bottom"/>
            <w:gridSpan w:val="2"/>
            <w:vMerge w:val="continue"/>
          </w:tcPr>
          <w:p>
            <w:pPr>
              <w:spacing w:after="0"/>
              <w:rPr>
                <w:sz w:val="18"/>
                <w:szCs w:val="18"/>
                <w:color w:val="auto"/>
              </w:rPr>
            </w:pPr>
          </w:p>
        </w:tc>
        <w:tc>
          <w:tcPr>
            <w:tcW w:w="140" w:type="dxa"/>
            <w:vAlign w:val="bottom"/>
            <w:vMerge w:val="continue"/>
          </w:tcPr>
          <w:p>
            <w:pPr>
              <w:spacing w:after="0"/>
              <w:rPr>
                <w:sz w:val="18"/>
                <w:szCs w:val="18"/>
                <w:color w:val="auto"/>
              </w:rPr>
            </w:pPr>
          </w:p>
        </w:tc>
        <w:tc>
          <w:tcPr>
            <w:tcW w:w="3740" w:type="dxa"/>
            <w:vAlign w:val="bottom"/>
            <w:vMerge w:val="continue"/>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8" w:lineRule="exact"/>
        <w:rPr>
          <w:sz w:val="20"/>
          <w:szCs w:val="20"/>
          <w:color w:val="auto"/>
        </w:rPr>
      </w:pPr>
    </w:p>
    <w:p>
      <w:pPr>
        <w:ind w:left="493" w:hanging="493"/>
        <w:spacing w:after="0" w:line="239" w:lineRule="auto"/>
        <w:tabs>
          <w:tab w:leader="none" w:pos="493" w:val="left"/>
        </w:tabs>
        <w:numPr>
          <w:ilvl w:val="0"/>
          <w:numId w:val="31"/>
        </w:numPr>
        <w:rPr>
          <w:rFonts w:ascii="Arial" w:cs="Arial" w:eastAsia="Arial" w:hAnsi="Arial"/>
          <w:sz w:val="16"/>
          <w:szCs w:val="16"/>
          <w:color w:val="auto"/>
        </w:rPr>
      </w:pPr>
      <w:r>
        <w:rPr>
          <w:rFonts w:ascii="Arial" w:cs="Arial" w:eastAsia="Arial" w:hAnsi="Arial"/>
          <w:sz w:val="14"/>
          <w:szCs w:val="14"/>
          <w:color w:val="auto"/>
        </w:rPr>
        <w:t>For the three months ended March 31, 2021 and 2020, 0 and 3,917,792 potentially dilutive common shares, respectively, were excluded from the weighted-average common shares outstanding for diluted net change in net assets resulting from operations per common share because the effect of these shares would have been anti-dilutive.</w:t>
      </w:r>
    </w:p>
    <w:p>
      <w:pPr>
        <w:spacing w:after="0" w:line="224" w:lineRule="exact"/>
        <w:rPr>
          <w:sz w:val="20"/>
          <w:szCs w:val="20"/>
          <w:color w:val="auto"/>
        </w:rPr>
      </w:pPr>
    </w:p>
    <w:p>
      <w:pPr>
        <w:ind w:left="73"/>
        <w:spacing w:after="0"/>
        <w:rPr>
          <w:sz w:val="20"/>
          <w:szCs w:val="20"/>
          <w:color w:val="auto"/>
        </w:rPr>
      </w:pPr>
      <w:r>
        <w:rPr>
          <w:rFonts w:ascii="Arial" w:cs="Arial" w:eastAsia="Arial" w:hAnsi="Arial"/>
          <w:sz w:val="18"/>
          <w:szCs w:val="18"/>
          <w:b w:val="1"/>
          <w:bCs w:val="1"/>
          <w:color w:val="auto"/>
        </w:rPr>
        <w:t>NOTE 7—COMMITMENTS AND CONTINGENCIES</w:t>
      </w:r>
    </w:p>
    <w:p>
      <w:pPr>
        <w:spacing w:after="0" w:line="256" w:lineRule="exact"/>
        <w:rPr>
          <w:sz w:val="20"/>
          <w:szCs w:val="20"/>
          <w:color w:val="auto"/>
        </w:rPr>
      </w:pPr>
    </w:p>
    <w:p>
      <w:pPr>
        <w:jc w:val="both"/>
        <w:ind w:left="73" w:firstLine="364"/>
        <w:spacing w:after="0" w:line="311" w:lineRule="auto"/>
        <w:rPr>
          <w:sz w:val="20"/>
          <w:szCs w:val="20"/>
          <w:color w:val="auto"/>
        </w:rPr>
      </w:pPr>
      <w:r>
        <w:rPr>
          <w:rFonts w:ascii="Arial" w:cs="Arial" w:eastAsia="Arial" w:hAnsi="Arial"/>
          <w:sz w:val="16"/>
          <w:szCs w:val="16"/>
          <w:color w:val="auto"/>
        </w:rPr>
        <w:t>In the normal course of business, the Company may enter into investment agreements under which it commits to make an investment in a portfolio company at some future date or over a specified period of time. As of March 31, 2021 and December 31, 2020, the Company had $19,500,000 and $10,000,000, respectively, in non-binding investment agreements that required it to make a future investment in a portfolio company.</w:t>
      </w:r>
    </w:p>
    <w:p>
      <w:pPr>
        <w:spacing w:after="0" w:line="176" w:lineRule="exact"/>
        <w:rPr>
          <w:sz w:val="20"/>
          <w:szCs w:val="20"/>
          <w:color w:val="auto"/>
        </w:rPr>
      </w:pPr>
    </w:p>
    <w:p>
      <w:pPr>
        <w:jc w:val="both"/>
        <w:ind w:left="73" w:firstLine="364"/>
        <w:spacing w:after="0" w:line="259" w:lineRule="auto"/>
        <w:rPr>
          <w:sz w:val="20"/>
          <w:szCs w:val="20"/>
          <w:color w:val="auto"/>
        </w:rPr>
      </w:pPr>
      <w:r>
        <w:rPr>
          <w:rFonts w:ascii="Arial" w:cs="Arial" w:eastAsia="Arial" w:hAnsi="Arial"/>
          <w:sz w:val="18"/>
          <w:szCs w:val="18"/>
          <w:color w:val="auto"/>
        </w:rPr>
        <w:t>From time to time, the Company may be a party to certain legal proceedings in the ordinary course of business, including proceedings relating to the enforcement of its rights under contracts with its portfolio companies. While the outcome of these legal proceedings cannot be predicted with certainty, the Company does not expect that these proceedings will have a material effect upon its business, financial condition or results of operations. The Company is not currently a party to any material legal proceedings.</w:t>
      </w:r>
    </w:p>
    <w:p>
      <w:pPr>
        <w:spacing w:after="0" w:line="187" w:lineRule="exact"/>
        <w:rPr>
          <w:sz w:val="20"/>
          <w:szCs w:val="20"/>
          <w:color w:val="auto"/>
        </w:rPr>
      </w:pPr>
    </w:p>
    <w:p>
      <w:pPr>
        <w:ind w:left="73"/>
        <w:spacing w:after="0"/>
        <w:rPr>
          <w:sz w:val="20"/>
          <w:szCs w:val="20"/>
          <w:color w:val="auto"/>
        </w:rPr>
      </w:pPr>
      <w:r>
        <w:rPr>
          <w:rFonts w:ascii="Arial" w:cs="Arial" w:eastAsia="Arial" w:hAnsi="Arial"/>
          <w:sz w:val="18"/>
          <w:szCs w:val="18"/>
          <w:b w:val="1"/>
          <w:bCs w:val="1"/>
          <w:i w:val="1"/>
          <w:iCs w:val="1"/>
          <w:color w:val="auto"/>
        </w:rPr>
        <w:t>Operating Leases &amp; Related Deposits</w:t>
      </w:r>
    </w:p>
    <w:p>
      <w:pPr>
        <w:spacing w:after="0" w:line="252" w:lineRule="exact"/>
        <w:rPr>
          <w:sz w:val="20"/>
          <w:szCs w:val="20"/>
          <w:color w:val="auto"/>
        </w:rPr>
      </w:pPr>
    </w:p>
    <w:p>
      <w:pPr>
        <w:jc w:val="both"/>
        <w:ind w:left="73" w:firstLine="364"/>
        <w:spacing w:after="0" w:line="263" w:lineRule="auto"/>
        <w:rPr>
          <w:sz w:val="20"/>
          <w:szCs w:val="20"/>
          <w:color w:val="auto"/>
        </w:rPr>
      </w:pPr>
      <w:r>
        <w:rPr>
          <w:rFonts w:ascii="Arial" w:cs="Arial" w:eastAsia="Arial" w:hAnsi="Arial"/>
          <w:sz w:val="18"/>
          <w:szCs w:val="18"/>
          <w:color w:val="auto"/>
        </w:rPr>
        <w:t>The Company currently has one operating lease for office space for which the Company has recorded a right-of-use asset and lease liability for the operating lease obligation. The lease commenced June 3, 2019 and expires July 31, 2024. The lease expense is presented as a single lease cost that is amortized on a straight-line basis over the life of the lease.</w:t>
      </w:r>
    </w:p>
    <w:p>
      <w:pPr>
        <w:spacing w:after="0" w:line="211" w:lineRule="exact"/>
        <w:rPr>
          <w:sz w:val="20"/>
          <w:szCs w:val="20"/>
          <w:color w:val="auto"/>
        </w:rPr>
      </w:pPr>
    </w:p>
    <w:p>
      <w:pPr>
        <w:jc w:val="both"/>
        <w:ind w:left="73" w:firstLine="364"/>
        <w:spacing w:after="0" w:line="296" w:lineRule="auto"/>
        <w:rPr>
          <w:sz w:val="20"/>
          <w:szCs w:val="20"/>
          <w:color w:val="auto"/>
        </w:rPr>
      </w:pPr>
      <w:r>
        <w:rPr>
          <w:rFonts w:ascii="Arial" w:cs="Arial" w:eastAsia="Arial" w:hAnsi="Arial"/>
          <w:sz w:val="16"/>
          <w:szCs w:val="16"/>
          <w:color w:val="auto"/>
        </w:rPr>
        <w:t>As of March 31, 2021, the Company booked a right of use asset and operating lease liability of $594,150 on the Condensed Consolidated Statement of Assets and Liabilities. As of December 31, 2020, the Company booked a right of use asset and operating lease liability of $633,736 on the Condensed Consolidated Statement of Assets and Liabilities. As of March 31, 2021 and December 31, 2020, the Company recorded a security deposit of $16,574 and $16,574, respectively, on the Condensed Consolidated Statement of Assets and Liabilities. For the three months ended March 31, 2021 and 2020, the Company incurred $45,723 and $44,401 of operating lease expense, respectively. The amounts reflected on the Condensed</w:t>
      </w:r>
    </w:p>
    <w:p>
      <w:pPr>
        <w:spacing w:after="0" w:line="200" w:lineRule="exact"/>
        <w:rPr>
          <w:sz w:val="20"/>
          <w:szCs w:val="20"/>
          <w:color w:val="auto"/>
        </w:rPr>
      </w:pPr>
    </w:p>
    <w:p>
      <w:pPr>
        <w:spacing w:after="0" w:line="339" w:lineRule="exact"/>
        <w:rPr>
          <w:sz w:val="20"/>
          <w:szCs w:val="20"/>
          <w:color w:val="auto"/>
        </w:rPr>
      </w:pPr>
    </w:p>
    <w:p>
      <w:pPr>
        <w:jc w:val="center"/>
        <w:ind w:right="-72"/>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313"/>
          </w:cols>
          <w:pgMar w:left="247" w:top="122" w:right="339" w:bottom="1440" w:gutter="0" w:footer="0" w:header="0"/>
        </w:sectPr>
      </w:pPr>
    </w:p>
    <w:bookmarkStart w:id="47" w:name="page48"/>
    <w:bookmarkEnd w:id="4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SURO CAPITAL CORP. AND SUBSIDIARIES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March 31, 2021</w:t>
      </w:r>
    </w:p>
    <w:p>
      <w:pPr>
        <w:spacing w:after="0" w:line="40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Consolidated Statement of Assets and Liabilities have been discounted using the rate implicit in the lease. As of March 31, 2021, the remaining lease term was 3.3 years and the discount rate was 3.00%.</w:t>
      </w:r>
    </w:p>
    <w:p>
      <w:pPr>
        <w:spacing w:after="0" w:line="197"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following table shows future minimum payments under the Company's operating lease as of March 31, 2021:</w:t>
      </w:r>
    </w:p>
    <w:p>
      <w:pPr>
        <w:spacing w:after="0" w:line="136" w:lineRule="exact"/>
        <w:rPr>
          <w:sz w:val="20"/>
          <w:szCs w:val="20"/>
          <w:color w:val="auto"/>
        </w:rPr>
      </w:pPr>
    </w:p>
    <w:tbl>
      <w:tblPr>
        <w:tblLayout w:type="fixed"/>
        <w:tblInd w:w="1400" w:type="dxa"/>
        <w:tblCellMar>
          <w:top w:w="0" w:type="dxa"/>
          <w:left w:w="0" w:type="dxa"/>
          <w:bottom w:w="0" w:type="dxa"/>
          <w:right w:w="0" w:type="dxa"/>
        </w:tblCellMar>
      </w:tblPr>
      <w:tr>
        <w:trPr>
          <w:trHeight w:val="192"/>
        </w:trPr>
        <w:tc>
          <w:tcPr>
            <w:tcW w:w="5620" w:type="dxa"/>
            <w:vAlign w:val="bottom"/>
            <w:gridSpan w:val="2"/>
          </w:tcPr>
          <w:p>
            <w:pPr>
              <w:spacing w:after="0"/>
              <w:rPr>
                <w:sz w:val="20"/>
                <w:szCs w:val="20"/>
                <w:color w:val="auto"/>
              </w:rPr>
            </w:pPr>
            <w:r>
              <w:rPr>
                <w:rFonts w:ascii="Arial" w:cs="Arial" w:eastAsia="Arial" w:hAnsi="Arial"/>
                <w:sz w:val="14"/>
                <w:szCs w:val="14"/>
                <w:b w:val="1"/>
                <w:bCs w:val="1"/>
                <w:color w:val="auto"/>
              </w:rPr>
              <w:t>For the Years Ended December 31,</w:t>
            </w:r>
          </w:p>
        </w:tc>
        <w:tc>
          <w:tcPr>
            <w:tcW w:w="2840" w:type="dxa"/>
            <w:vAlign w:val="bottom"/>
          </w:tcPr>
          <w:p>
            <w:pPr>
              <w:jc w:val="right"/>
              <w:ind w:right="1513"/>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229"/>
        </w:trPr>
        <w:tc>
          <w:tcPr>
            <w:tcW w:w="4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2021</w:t>
            </w:r>
          </w:p>
        </w:tc>
        <w:tc>
          <w:tcPr>
            <w:tcW w:w="840" w:type="dxa"/>
            <w:vAlign w:val="bottom"/>
            <w:tcBorders>
              <w:top w:val="single" w:sz="8" w:color="auto"/>
            </w:tcBorders>
            <w:shd w:val="clear" w:color="auto" w:fill="CCEEFF"/>
          </w:tcPr>
          <w:p>
            <w:pPr>
              <w:spacing w:after="0"/>
              <w:rPr>
                <w:sz w:val="19"/>
                <w:szCs w:val="19"/>
                <w:color w:val="auto"/>
              </w:rPr>
            </w:pPr>
          </w:p>
        </w:tc>
        <w:tc>
          <w:tcPr>
            <w:tcW w:w="2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135,623</w:t>
            </w:r>
          </w:p>
        </w:tc>
        <w:tc>
          <w:tcPr>
            <w:tcW w:w="0" w:type="dxa"/>
            <w:vAlign w:val="bottom"/>
          </w:tcPr>
          <w:p>
            <w:pPr>
              <w:spacing w:after="0"/>
              <w:rPr>
                <w:sz w:val="1"/>
                <w:szCs w:val="1"/>
                <w:color w:val="auto"/>
              </w:rPr>
            </w:pPr>
          </w:p>
        </w:tc>
      </w:tr>
      <w:tr>
        <w:trPr>
          <w:trHeight w:val="230"/>
        </w:trPr>
        <w:tc>
          <w:tcPr>
            <w:tcW w:w="4780" w:type="dxa"/>
            <w:vAlign w:val="bottom"/>
          </w:tcPr>
          <w:p>
            <w:pPr>
              <w:spacing w:after="0"/>
              <w:rPr>
                <w:sz w:val="20"/>
                <w:szCs w:val="20"/>
                <w:color w:val="auto"/>
              </w:rPr>
            </w:pPr>
            <w:r>
              <w:rPr>
                <w:rFonts w:ascii="Arial" w:cs="Arial" w:eastAsia="Arial" w:hAnsi="Arial"/>
                <w:sz w:val="18"/>
                <w:szCs w:val="18"/>
                <w:color w:val="auto"/>
              </w:rPr>
              <w:t>2022</w:t>
            </w:r>
          </w:p>
        </w:tc>
        <w:tc>
          <w:tcPr>
            <w:tcW w:w="840" w:type="dxa"/>
            <w:vAlign w:val="bottom"/>
          </w:tcPr>
          <w:p>
            <w:pPr>
              <w:spacing w:after="0"/>
              <w:rPr>
                <w:sz w:val="19"/>
                <w:szCs w:val="19"/>
                <w:color w:val="auto"/>
              </w:rPr>
            </w:pPr>
          </w:p>
        </w:tc>
        <w:tc>
          <w:tcPr>
            <w:tcW w:w="2840" w:type="dxa"/>
            <w:vAlign w:val="bottom"/>
          </w:tcPr>
          <w:p>
            <w:pPr>
              <w:jc w:val="right"/>
              <w:spacing w:after="0"/>
              <w:rPr>
                <w:sz w:val="20"/>
                <w:szCs w:val="20"/>
                <w:color w:val="auto"/>
              </w:rPr>
            </w:pPr>
            <w:r>
              <w:rPr>
                <w:rFonts w:ascii="Arial" w:cs="Arial" w:eastAsia="Arial" w:hAnsi="Arial"/>
                <w:sz w:val="18"/>
                <w:szCs w:val="18"/>
                <w:color w:val="auto"/>
              </w:rPr>
              <w:t>185,194</w:t>
            </w:r>
          </w:p>
        </w:tc>
        <w:tc>
          <w:tcPr>
            <w:tcW w:w="0" w:type="dxa"/>
            <w:vAlign w:val="bottom"/>
          </w:tcPr>
          <w:p>
            <w:pPr>
              <w:spacing w:after="0"/>
              <w:rPr>
                <w:sz w:val="1"/>
                <w:szCs w:val="1"/>
                <w:color w:val="auto"/>
              </w:rPr>
            </w:pPr>
          </w:p>
        </w:tc>
      </w:tr>
      <w:tr>
        <w:trPr>
          <w:trHeight w:val="229"/>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840" w:type="dxa"/>
            <w:vAlign w:val="bottom"/>
            <w:shd w:val="clear" w:color="auto" w:fill="CCEEFF"/>
          </w:tcPr>
          <w:p>
            <w:pPr>
              <w:spacing w:after="0"/>
              <w:rPr>
                <w:sz w:val="19"/>
                <w:szCs w:val="19"/>
                <w:color w:val="auto"/>
              </w:rPr>
            </w:pPr>
          </w:p>
        </w:tc>
        <w:tc>
          <w:tcPr>
            <w:tcW w:w="2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190,750</w:t>
            </w:r>
          </w:p>
        </w:tc>
        <w:tc>
          <w:tcPr>
            <w:tcW w:w="0" w:type="dxa"/>
            <w:vAlign w:val="bottom"/>
          </w:tcPr>
          <w:p>
            <w:pPr>
              <w:spacing w:after="0"/>
              <w:rPr>
                <w:sz w:val="1"/>
                <w:szCs w:val="1"/>
                <w:color w:val="auto"/>
              </w:rPr>
            </w:pPr>
          </w:p>
        </w:tc>
      </w:tr>
      <w:tr>
        <w:trPr>
          <w:trHeight w:val="230"/>
        </w:trPr>
        <w:tc>
          <w:tcPr>
            <w:tcW w:w="4780" w:type="dxa"/>
            <w:vAlign w:val="bottom"/>
          </w:tcPr>
          <w:p>
            <w:pPr>
              <w:spacing w:after="0"/>
              <w:rPr>
                <w:sz w:val="20"/>
                <w:szCs w:val="20"/>
                <w:color w:val="auto"/>
              </w:rPr>
            </w:pPr>
            <w:r>
              <w:rPr>
                <w:rFonts w:ascii="Arial" w:cs="Arial" w:eastAsia="Arial" w:hAnsi="Arial"/>
                <w:sz w:val="18"/>
                <w:szCs w:val="18"/>
                <w:color w:val="auto"/>
              </w:rPr>
              <w:t>2024</w:t>
            </w:r>
          </w:p>
        </w:tc>
        <w:tc>
          <w:tcPr>
            <w:tcW w:w="840" w:type="dxa"/>
            <w:vAlign w:val="bottom"/>
          </w:tcPr>
          <w:p>
            <w:pPr>
              <w:spacing w:after="0"/>
              <w:rPr>
                <w:sz w:val="19"/>
                <w:szCs w:val="19"/>
                <w:color w:val="auto"/>
              </w:rPr>
            </w:pPr>
          </w:p>
        </w:tc>
        <w:tc>
          <w:tcPr>
            <w:tcW w:w="2840" w:type="dxa"/>
            <w:vAlign w:val="bottom"/>
          </w:tcPr>
          <w:p>
            <w:pPr>
              <w:jc w:val="right"/>
              <w:spacing w:after="0"/>
              <w:rPr>
                <w:sz w:val="20"/>
                <w:szCs w:val="20"/>
                <w:color w:val="auto"/>
              </w:rPr>
            </w:pPr>
            <w:r>
              <w:rPr>
                <w:rFonts w:ascii="Arial" w:cs="Arial" w:eastAsia="Arial" w:hAnsi="Arial"/>
                <w:sz w:val="18"/>
                <w:szCs w:val="18"/>
                <w:color w:val="auto"/>
              </w:rPr>
              <w:t>113,604</w:t>
            </w:r>
          </w:p>
        </w:tc>
        <w:tc>
          <w:tcPr>
            <w:tcW w:w="0" w:type="dxa"/>
            <w:vAlign w:val="bottom"/>
          </w:tcPr>
          <w:p>
            <w:pPr>
              <w:spacing w:after="0"/>
              <w:rPr>
                <w:sz w:val="1"/>
                <w:szCs w:val="1"/>
                <w:color w:val="auto"/>
              </w:rPr>
            </w:pPr>
          </w:p>
        </w:tc>
      </w:tr>
      <w:tr>
        <w:trPr>
          <w:trHeight w:val="243"/>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840" w:type="dxa"/>
            <w:vAlign w:val="bottom"/>
            <w:tcBorders>
              <w:bottom w:val="single" w:sz="8" w:color="auto"/>
            </w:tcBorders>
            <w:shd w:val="clear" w:color="auto" w:fill="CCEEFF"/>
          </w:tcPr>
          <w:p>
            <w:pPr>
              <w:spacing w:after="0"/>
              <w:rPr>
                <w:sz w:val="21"/>
                <w:szCs w:val="21"/>
                <w:color w:val="auto"/>
              </w:rPr>
            </w:pPr>
          </w:p>
        </w:tc>
        <w:tc>
          <w:tcPr>
            <w:tcW w:w="2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780" w:type="dxa"/>
            <w:vAlign w:val="bottom"/>
          </w:tcPr>
          <w:p>
            <w:pPr>
              <w:spacing w:after="0"/>
              <w:rPr>
                <w:sz w:val="19"/>
                <w:szCs w:val="19"/>
                <w:color w:val="auto"/>
              </w:rPr>
            </w:pPr>
          </w:p>
        </w:tc>
        <w:tc>
          <w:tcPr>
            <w:tcW w:w="84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color w:val="auto"/>
                <w:w w:val="79"/>
              </w:rPr>
              <w:t>$</w:t>
            </w:r>
          </w:p>
        </w:tc>
        <w:tc>
          <w:tcPr>
            <w:tcW w:w="2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625,171</w:t>
            </w:r>
          </w:p>
        </w:tc>
        <w:tc>
          <w:tcPr>
            <w:tcW w:w="0" w:type="dxa"/>
            <w:vAlign w:val="bottom"/>
          </w:tcPr>
          <w:p>
            <w:pPr>
              <w:spacing w:after="0"/>
              <w:rPr>
                <w:sz w:val="1"/>
                <w:szCs w:val="1"/>
                <w:color w:val="auto"/>
              </w:rPr>
            </w:pPr>
          </w:p>
        </w:tc>
      </w:tr>
      <w:tr>
        <w:trPr>
          <w:trHeight w:val="20"/>
        </w:trPr>
        <w:tc>
          <w:tcPr>
            <w:tcW w:w="4780" w:type="dxa"/>
            <w:vAlign w:val="bottom"/>
            <w:vMerge w:val="restart"/>
          </w:tcPr>
          <w:p>
            <w:pPr>
              <w:ind w:left="4140"/>
              <w:spacing w:after="0"/>
              <w:rPr>
                <w:sz w:val="20"/>
                <w:szCs w:val="20"/>
                <w:color w:val="auto"/>
              </w:rPr>
            </w:pPr>
            <w:r>
              <w:rPr>
                <w:rFonts w:ascii="Arial" w:cs="Arial" w:eastAsia="Arial" w:hAnsi="Arial"/>
                <w:sz w:val="18"/>
                <w:szCs w:val="18"/>
                <w:color w:val="auto"/>
              </w:rPr>
              <w:t>46</w:t>
            </w:r>
          </w:p>
        </w:tc>
        <w:tc>
          <w:tcPr>
            <w:tcW w:w="840" w:type="dxa"/>
            <w:vAlign w:val="bottom"/>
            <w:tcBorders>
              <w:bottom w:val="single" w:sz="8" w:color="auto"/>
            </w:tcBorders>
          </w:tcPr>
          <w:p>
            <w:pPr>
              <w:spacing w:after="0" w:line="20" w:lineRule="exact"/>
              <w:rPr>
                <w:sz w:val="1"/>
                <w:szCs w:val="1"/>
                <w:color w:val="auto"/>
              </w:rPr>
            </w:pPr>
          </w:p>
        </w:tc>
        <w:tc>
          <w:tcPr>
            <w:tcW w:w="2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85"/>
        </w:trPr>
        <w:tc>
          <w:tcPr>
            <w:tcW w:w="4780" w:type="dxa"/>
            <w:vAlign w:val="bottom"/>
            <w:vMerge w:val="continue"/>
          </w:tcPr>
          <w:p>
            <w:pPr>
              <w:spacing w:after="0"/>
              <w:rPr>
                <w:sz w:val="24"/>
                <w:szCs w:val="24"/>
                <w:color w:val="auto"/>
              </w:rPr>
            </w:pPr>
          </w:p>
        </w:tc>
        <w:tc>
          <w:tcPr>
            <w:tcW w:w="84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887730</wp:posOffset>
            </wp:positionH>
            <wp:positionV relativeFrom="paragraph">
              <wp:posOffset>-1054100</wp:posOffset>
            </wp:positionV>
            <wp:extent cx="3034665" cy="15430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034665" cy="154305"/>
                    </a:xfrm>
                    <a:prstGeom prst="rect">
                      <a:avLst/>
                    </a:prstGeom>
                    <a:noFill/>
                  </pic:spPr>
                </pic:pic>
              </a:graphicData>
            </a:graphic>
          </wp:anchor>
        </w:drawing>
        <w:drawing>
          <wp:anchor simplePos="0" relativeHeight="251657728" behindDoc="1" locked="0" layoutInCell="0" allowOverlap="1">
            <wp:simplePos x="0" y="0"/>
            <wp:positionH relativeFrom="column">
              <wp:posOffset>887730</wp:posOffset>
            </wp:positionH>
            <wp:positionV relativeFrom="paragraph">
              <wp:posOffset>-1499870</wp:posOffset>
            </wp:positionV>
            <wp:extent cx="303466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034665" cy="825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8" w:name="page49"/>
    <w:bookmarkEnd w:id="4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SURO CAPITAL CORP. AND SUBSIDIARIES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2021</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8—FINANCIAL HIGHLIGHTS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52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3300" w:type="dxa"/>
            <w:vAlign w:val="bottom"/>
            <w:tcBorders>
              <w:bottom w:val="single" w:sz="8" w:color="auto"/>
            </w:tcBorders>
            <w:gridSpan w:val="4"/>
          </w:tcPr>
          <w:p>
            <w:pPr>
              <w:jc w:val="right"/>
              <w:ind w:right="799"/>
              <w:spacing w:after="0"/>
              <w:rPr>
                <w:sz w:val="20"/>
                <w:szCs w:val="20"/>
                <w:color w:val="auto"/>
              </w:rPr>
            </w:pPr>
            <w:r>
              <w:rPr>
                <w:rFonts w:ascii="Arial" w:cs="Arial" w:eastAsia="Arial" w:hAnsi="Arial"/>
                <w:sz w:val="14"/>
                <w:szCs w:val="14"/>
                <w:b w:val="1"/>
                <w:bCs w:val="1"/>
                <w:color w:val="auto"/>
              </w:rPr>
              <w:t>Three Months Ended March 31,</w:t>
            </w:r>
          </w:p>
        </w:tc>
      </w:tr>
      <w:tr>
        <w:trPr>
          <w:trHeight w:val="187"/>
        </w:trPr>
        <w:tc>
          <w:tcPr>
            <w:tcW w:w="752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680"/>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679"/>
              <w:spacing w:after="0"/>
              <w:rPr>
                <w:sz w:val="20"/>
                <w:szCs w:val="20"/>
                <w:color w:val="auto"/>
              </w:rPr>
            </w:pPr>
            <w:r>
              <w:rPr>
                <w:rFonts w:ascii="Arial" w:cs="Arial" w:eastAsia="Arial" w:hAnsi="Arial"/>
                <w:sz w:val="14"/>
                <w:szCs w:val="14"/>
                <w:b w:val="1"/>
                <w:bCs w:val="1"/>
                <w:color w:val="auto"/>
              </w:rPr>
              <w:t>2020</w:t>
            </w:r>
          </w:p>
        </w:tc>
      </w:tr>
      <w:tr>
        <w:trPr>
          <w:trHeight w:val="170"/>
        </w:trPr>
        <w:tc>
          <w:tcPr>
            <w:tcW w:w="75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Per Basic Share Data</w:t>
            </w:r>
          </w:p>
        </w:tc>
        <w:tc>
          <w:tcPr>
            <w:tcW w:w="42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r>
      <w:tr>
        <w:trPr>
          <w:trHeight w:val="213"/>
        </w:trPr>
        <w:tc>
          <w:tcPr>
            <w:tcW w:w="7520" w:type="dxa"/>
            <w:vAlign w:val="bottom"/>
          </w:tcPr>
          <w:p>
            <w:pPr>
              <w:ind w:left="20"/>
              <w:spacing w:after="0"/>
              <w:rPr>
                <w:sz w:val="20"/>
                <w:szCs w:val="20"/>
                <w:color w:val="auto"/>
              </w:rPr>
            </w:pPr>
            <w:r>
              <w:rPr>
                <w:rFonts w:ascii="Arial" w:cs="Arial" w:eastAsia="Arial" w:hAnsi="Arial"/>
                <w:sz w:val="16"/>
                <w:szCs w:val="16"/>
                <w:color w:val="auto"/>
              </w:rPr>
              <w:t>Net asset value at beginning of the year</w:t>
            </w: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ind w:right="120"/>
              <w:spacing w:after="0"/>
              <w:rPr>
                <w:sz w:val="20"/>
                <w:szCs w:val="20"/>
                <w:color w:val="auto"/>
              </w:rPr>
            </w:pPr>
            <w:r>
              <w:rPr>
                <w:rFonts w:ascii="Arial" w:cs="Arial" w:eastAsia="Arial" w:hAnsi="Arial"/>
                <w:sz w:val="16"/>
                <w:szCs w:val="16"/>
                <w:color w:val="auto"/>
              </w:rPr>
              <w:t>15.14</w:t>
            </w:r>
          </w:p>
        </w:tc>
        <w:tc>
          <w:tcPr>
            <w:tcW w:w="120" w:type="dxa"/>
            <w:vAlign w:val="bottom"/>
          </w:tcPr>
          <w:p>
            <w:pPr>
              <w:spacing w:after="0"/>
              <w:rPr>
                <w:sz w:val="18"/>
                <w:szCs w:val="18"/>
                <w:color w:val="auto"/>
              </w:rPr>
            </w:pP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ind w:right="119"/>
              <w:spacing w:after="0"/>
              <w:rPr>
                <w:sz w:val="20"/>
                <w:szCs w:val="20"/>
                <w:color w:val="auto"/>
              </w:rPr>
            </w:pPr>
            <w:r>
              <w:rPr>
                <w:rFonts w:ascii="Arial" w:cs="Arial" w:eastAsia="Arial" w:hAnsi="Arial"/>
                <w:sz w:val="16"/>
                <w:szCs w:val="16"/>
                <w:color w:val="auto"/>
              </w:rPr>
              <w:t>11.38</w:t>
            </w:r>
          </w:p>
        </w:tc>
      </w:tr>
      <w:tr>
        <w:trPr>
          <w:trHeight w:val="219"/>
        </w:trPr>
        <w:tc>
          <w:tcPr>
            <w:tcW w:w="7520" w:type="dxa"/>
            <w:vAlign w:val="bottom"/>
            <w:shd w:val="clear" w:color="auto" w:fill="CCEEFF"/>
          </w:tcPr>
          <w:p>
            <w:pPr>
              <w:ind w:left="140"/>
              <w:spacing w:after="0" w:line="219" w:lineRule="exact"/>
              <w:rPr>
                <w:sz w:val="20"/>
                <w:szCs w:val="20"/>
                <w:color w:val="auto"/>
              </w:rPr>
            </w:pPr>
            <w:r>
              <w:rPr>
                <w:rFonts w:ascii="Arial" w:cs="Arial" w:eastAsia="Arial" w:hAnsi="Arial"/>
                <w:sz w:val="16"/>
                <w:szCs w:val="16"/>
                <w:color w:val="auto"/>
              </w:rPr>
              <w:t>Net investment loss</w:t>
            </w:r>
            <w:r>
              <w:rPr>
                <w:rFonts w:ascii="Arial" w:cs="Arial" w:eastAsia="Arial" w:hAnsi="Arial"/>
                <w:sz w:val="21"/>
                <w:szCs w:val="21"/>
                <w:color w:val="auto"/>
                <w:vertAlign w:val="superscript"/>
              </w:rPr>
              <w:t>(1)</w:t>
            </w: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ind w:left="820"/>
              <w:spacing w:after="0"/>
              <w:rPr>
                <w:sz w:val="20"/>
                <w:szCs w:val="20"/>
                <w:color w:val="auto"/>
              </w:rPr>
            </w:pPr>
            <w:r>
              <w:rPr>
                <w:rFonts w:ascii="Arial" w:cs="Arial" w:eastAsia="Arial" w:hAnsi="Arial"/>
                <w:sz w:val="16"/>
                <w:szCs w:val="16"/>
                <w:color w:val="auto"/>
              </w:rPr>
              <w:t>(0.14)</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(0.17)</w:t>
            </w:r>
          </w:p>
        </w:tc>
      </w:tr>
      <w:tr>
        <w:trPr>
          <w:trHeight w:val="216"/>
        </w:trPr>
        <w:tc>
          <w:tcPr>
            <w:tcW w:w="7520" w:type="dxa"/>
            <w:vAlign w:val="bottom"/>
          </w:tcPr>
          <w:p>
            <w:pPr>
              <w:ind w:left="140"/>
              <w:spacing w:after="0" w:line="216" w:lineRule="exact"/>
              <w:rPr>
                <w:sz w:val="20"/>
                <w:szCs w:val="20"/>
                <w:color w:val="auto"/>
              </w:rPr>
            </w:pPr>
            <w:r>
              <w:rPr>
                <w:rFonts w:ascii="Arial" w:cs="Arial" w:eastAsia="Arial" w:hAnsi="Arial"/>
                <w:sz w:val="16"/>
                <w:szCs w:val="16"/>
                <w:color w:val="auto"/>
              </w:rPr>
              <w:t>Net realized gain on investments</w:t>
            </w:r>
            <w:r>
              <w:rPr>
                <w:rFonts w:ascii="Arial" w:cs="Arial" w:eastAsia="Arial" w:hAnsi="Arial"/>
                <w:sz w:val="21"/>
                <w:szCs w:val="21"/>
                <w:color w:val="auto"/>
                <w:vertAlign w:val="superscript"/>
              </w:rPr>
              <w:t>(1)</w:t>
            </w:r>
          </w:p>
        </w:tc>
        <w:tc>
          <w:tcPr>
            <w:tcW w:w="420" w:type="dxa"/>
            <w:vAlign w:val="bottom"/>
          </w:tcPr>
          <w:p>
            <w:pPr>
              <w:spacing w:after="0"/>
              <w:rPr>
                <w:sz w:val="18"/>
                <w:szCs w:val="18"/>
                <w:color w:val="auto"/>
              </w:rPr>
            </w:pPr>
          </w:p>
        </w:tc>
        <w:tc>
          <w:tcPr>
            <w:tcW w:w="1380" w:type="dxa"/>
            <w:vAlign w:val="bottom"/>
          </w:tcPr>
          <w:p>
            <w:pPr>
              <w:jc w:val="right"/>
              <w:ind w:right="120"/>
              <w:spacing w:after="0"/>
              <w:rPr>
                <w:sz w:val="20"/>
                <w:szCs w:val="20"/>
                <w:color w:val="auto"/>
              </w:rPr>
            </w:pPr>
            <w:r>
              <w:rPr>
                <w:rFonts w:ascii="Arial" w:cs="Arial" w:eastAsia="Arial" w:hAnsi="Arial"/>
                <w:sz w:val="16"/>
                <w:szCs w:val="16"/>
                <w:color w:val="auto"/>
              </w:rPr>
              <w:t>5.47</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jc w:val="right"/>
              <w:ind w:right="119"/>
              <w:spacing w:after="0"/>
              <w:rPr>
                <w:sz w:val="20"/>
                <w:szCs w:val="20"/>
                <w:color w:val="auto"/>
              </w:rPr>
            </w:pPr>
            <w:r>
              <w:rPr>
                <w:rFonts w:ascii="Arial" w:cs="Arial" w:eastAsia="Arial" w:hAnsi="Arial"/>
                <w:sz w:val="16"/>
                <w:szCs w:val="16"/>
                <w:color w:val="auto"/>
              </w:rPr>
              <w:t>0.40</w:t>
            </w:r>
          </w:p>
        </w:tc>
      </w:tr>
      <w:tr>
        <w:trPr>
          <w:trHeight w:val="216"/>
        </w:trPr>
        <w:tc>
          <w:tcPr>
            <w:tcW w:w="7520" w:type="dxa"/>
            <w:vAlign w:val="bottom"/>
            <w:shd w:val="clear" w:color="auto" w:fill="CCEEFF"/>
          </w:tcPr>
          <w:p>
            <w:pPr>
              <w:ind w:left="140"/>
              <w:spacing w:after="0" w:line="216" w:lineRule="exact"/>
              <w:rPr>
                <w:sz w:val="20"/>
                <w:szCs w:val="20"/>
                <w:color w:val="auto"/>
              </w:rPr>
            </w:pPr>
            <w:r>
              <w:rPr>
                <w:rFonts w:ascii="Arial" w:cs="Arial" w:eastAsia="Arial" w:hAnsi="Arial"/>
                <w:sz w:val="16"/>
                <w:szCs w:val="16"/>
                <w:color w:val="auto"/>
              </w:rPr>
              <w:t>Net change in unrealized depreciation of investments</w:t>
            </w:r>
            <w:r>
              <w:rPr>
                <w:rFonts w:ascii="Arial" w:cs="Arial" w:eastAsia="Arial" w:hAnsi="Arial"/>
                <w:sz w:val="21"/>
                <w:szCs w:val="21"/>
                <w:color w:val="auto"/>
                <w:vertAlign w:val="superscript"/>
              </w:rPr>
              <w:t>(1)</w:t>
            </w:r>
          </w:p>
        </w:tc>
        <w:tc>
          <w:tcPr>
            <w:tcW w:w="420" w:type="dxa"/>
            <w:vAlign w:val="bottom"/>
            <w:shd w:val="clear" w:color="auto" w:fill="CCEEFF"/>
          </w:tcPr>
          <w:p>
            <w:pPr>
              <w:spacing w:after="0"/>
              <w:rPr>
                <w:sz w:val="18"/>
                <w:szCs w:val="18"/>
                <w:color w:val="auto"/>
              </w:rPr>
            </w:pPr>
          </w:p>
        </w:tc>
        <w:tc>
          <w:tcPr>
            <w:tcW w:w="1380" w:type="dxa"/>
            <w:vAlign w:val="bottom"/>
            <w:shd w:val="clear" w:color="auto" w:fill="CCEEFF"/>
          </w:tcPr>
          <w:p>
            <w:pPr>
              <w:ind w:left="820"/>
              <w:spacing w:after="0"/>
              <w:rPr>
                <w:sz w:val="20"/>
                <w:szCs w:val="20"/>
                <w:color w:val="auto"/>
              </w:rPr>
            </w:pPr>
            <w:r>
              <w:rPr>
                <w:rFonts w:ascii="Arial" w:cs="Arial" w:eastAsia="Arial" w:hAnsi="Arial"/>
                <w:sz w:val="16"/>
                <w:szCs w:val="16"/>
                <w:color w:val="auto"/>
              </w:rPr>
              <w:t>(0.06)</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(1.59)</w:t>
            </w:r>
          </w:p>
        </w:tc>
      </w:tr>
      <w:tr>
        <w:trPr>
          <w:trHeight w:val="213"/>
        </w:trPr>
        <w:tc>
          <w:tcPr>
            <w:tcW w:w="7520" w:type="dxa"/>
            <w:vAlign w:val="bottom"/>
          </w:tcPr>
          <w:p>
            <w:pPr>
              <w:ind w:left="140"/>
              <w:spacing w:after="0"/>
              <w:rPr>
                <w:sz w:val="20"/>
                <w:szCs w:val="20"/>
                <w:color w:val="auto"/>
              </w:rPr>
            </w:pPr>
            <w:r>
              <w:rPr>
                <w:rFonts w:ascii="Arial" w:cs="Arial" w:eastAsia="Arial" w:hAnsi="Arial"/>
                <w:sz w:val="16"/>
                <w:szCs w:val="16"/>
                <w:color w:val="auto"/>
              </w:rPr>
              <w:t>Dividends declared</w:t>
            </w:r>
          </w:p>
        </w:tc>
        <w:tc>
          <w:tcPr>
            <w:tcW w:w="420" w:type="dxa"/>
            <w:vAlign w:val="bottom"/>
          </w:tcPr>
          <w:p>
            <w:pPr>
              <w:spacing w:after="0"/>
              <w:rPr>
                <w:sz w:val="18"/>
                <w:szCs w:val="18"/>
                <w:color w:val="auto"/>
              </w:rPr>
            </w:pPr>
          </w:p>
        </w:tc>
        <w:tc>
          <w:tcPr>
            <w:tcW w:w="1380" w:type="dxa"/>
            <w:vAlign w:val="bottom"/>
          </w:tcPr>
          <w:p>
            <w:pPr>
              <w:ind w:left="820"/>
              <w:spacing w:after="0"/>
              <w:rPr>
                <w:sz w:val="20"/>
                <w:szCs w:val="20"/>
                <w:color w:val="auto"/>
              </w:rPr>
            </w:pPr>
            <w:r>
              <w:rPr>
                <w:rFonts w:ascii="Arial" w:cs="Arial" w:eastAsia="Arial" w:hAnsi="Arial"/>
                <w:sz w:val="16"/>
                <w:szCs w:val="16"/>
                <w:color w:val="auto"/>
              </w:rPr>
              <w:t>(0.50)</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jc w:val="right"/>
              <w:ind w:right="119"/>
              <w:spacing w:after="0"/>
              <w:rPr>
                <w:sz w:val="20"/>
                <w:szCs w:val="20"/>
                <w:color w:val="auto"/>
              </w:rPr>
            </w:pPr>
            <w:r>
              <w:rPr>
                <w:rFonts w:ascii="Arial" w:cs="Arial" w:eastAsia="Arial" w:hAnsi="Arial"/>
                <w:sz w:val="16"/>
                <w:szCs w:val="16"/>
                <w:color w:val="auto"/>
              </w:rPr>
              <w:t>—</w:t>
            </w:r>
          </w:p>
        </w:tc>
      </w:tr>
      <w:tr>
        <w:trPr>
          <w:trHeight w:val="219"/>
        </w:trPr>
        <w:tc>
          <w:tcPr>
            <w:tcW w:w="7520" w:type="dxa"/>
            <w:vAlign w:val="bottom"/>
            <w:shd w:val="clear" w:color="auto" w:fill="CCEEFF"/>
          </w:tcPr>
          <w:p>
            <w:pPr>
              <w:ind w:left="140"/>
              <w:spacing w:after="0" w:line="219" w:lineRule="exact"/>
              <w:rPr>
                <w:sz w:val="20"/>
                <w:szCs w:val="20"/>
                <w:color w:val="auto"/>
              </w:rPr>
            </w:pPr>
            <w:r>
              <w:rPr>
                <w:rFonts w:ascii="Arial" w:cs="Arial" w:eastAsia="Arial" w:hAnsi="Arial"/>
                <w:sz w:val="16"/>
                <w:szCs w:val="16"/>
                <w:color w:val="auto"/>
              </w:rPr>
              <w:t>Issuance of common stock from conversion of 4.75% Convertible Notes due 2023</w:t>
            </w:r>
            <w:r>
              <w:rPr>
                <w:rFonts w:ascii="Arial" w:cs="Arial" w:eastAsia="Arial" w:hAnsi="Arial"/>
                <w:sz w:val="21"/>
                <w:szCs w:val="21"/>
                <w:color w:val="auto"/>
                <w:vertAlign w:val="superscript"/>
              </w:rPr>
              <w:t>(1)</w:t>
            </w: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ind w:left="820"/>
              <w:spacing w:after="0"/>
              <w:rPr>
                <w:sz w:val="20"/>
                <w:szCs w:val="20"/>
                <w:color w:val="auto"/>
              </w:rPr>
            </w:pPr>
            <w:r>
              <w:rPr>
                <w:rFonts w:ascii="Arial" w:cs="Arial" w:eastAsia="Arial" w:hAnsi="Arial"/>
                <w:sz w:val="16"/>
                <w:szCs w:val="16"/>
                <w:color w:val="auto"/>
              </w:rPr>
              <w:t>(1.91)</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r>
      <w:tr>
        <w:trPr>
          <w:trHeight w:val="213"/>
        </w:trPr>
        <w:tc>
          <w:tcPr>
            <w:tcW w:w="7520" w:type="dxa"/>
            <w:vAlign w:val="bottom"/>
          </w:tcPr>
          <w:p>
            <w:pPr>
              <w:ind w:left="140"/>
              <w:spacing w:after="0"/>
              <w:rPr>
                <w:sz w:val="20"/>
                <w:szCs w:val="20"/>
                <w:color w:val="auto"/>
              </w:rPr>
            </w:pPr>
            <w:r>
              <w:rPr>
                <w:rFonts w:ascii="Arial" w:cs="Arial" w:eastAsia="Arial" w:hAnsi="Arial"/>
                <w:sz w:val="16"/>
                <w:szCs w:val="16"/>
                <w:color w:val="auto"/>
              </w:rPr>
              <w:t>Repurchase of common stock</w:t>
            </w:r>
          </w:p>
        </w:tc>
        <w:tc>
          <w:tcPr>
            <w:tcW w:w="420" w:type="dxa"/>
            <w:vAlign w:val="bottom"/>
          </w:tcPr>
          <w:p>
            <w:pPr>
              <w:spacing w:after="0"/>
              <w:rPr>
                <w:sz w:val="18"/>
                <w:szCs w:val="18"/>
                <w:color w:val="auto"/>
              </w:rPr>
            </w:pPr>
          </w:p>
        </w:tc>
        <w:tc>
          <w:tcPr>
            <w:tcW w:w="150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8"/>
                <w:szCs w:val="18"/>
                <w:color w:val="auto"/>
              </w:rPr>
            </w:pPr>
          </w:p>
        </w:tc>
        <w:tc>
          <w:tcPr>
            <w:tcW w:w="1380" w:type="dxa"/>
            <w:vAlign w:val="bottom"/>
          </w:tcPr>
          <w:p>
            <w:pPr>
              <w:jc w:val="right"/>
              <w:ind w:right="119"/>
              <w:spacing w:after="0"/>
              <w:rPr>
                <w:sz w:val="20"/>
                <w:szCs w:val="20"/>
                <w:color w:val="auto"/>
              </w:rPr>
            </w:pPr>
            <w:r>
              <w:rPr>
                <w:rFonts w:ascii="Arial" w:cs="Arial" w:eastAsia="Arial" w:hAnsi="Arial"/>
                <w:sz w:val="16"/>
                <w:szCs w:val="16"/>
                <w:color w:val="auto"/>
              </w:rPr>
              <w:t>0.20</w:t>
            </w:r>
          </w:p>
        </w:tc>
      </w:tr>
      <w:tr>
        <w:trPr>
          <w:trHeight w:val="219"/>
        </w:trPr>
        <w:tc>
          <w:tcPr>
            <w:tcW w:w="7520" w:type="dxa"/>
            <w:vAlign w:val="bottom"/>
            <w:shd w:val="clear" w:color="auto" w:fill="CCEEFF"/>
          </w:tcPr>
          <w:p>
            <w:pPr>
              <w:ind w:left="140"/>
              <w:spacing w:after="0" w:line="219" w:lineRule="exact"/>
              <w:rPr>
                <w:sz w:val="20"/>
                <w:szCs w:val="20"/>
                <w:color w:val="auto"/>
              </w:rPr>
            </w:pPr>
            <w:r>
              <w:rPr>
                <w:rFonts w:ascii="Arial" w:cs="Arial" w:eastAsia="Arial" w:hAnsi="Arial"/>
                <w:sz w:val="16"/>
                <w:szCs w:val="16"/>
                <w:color w:val="auto"/>
              </w:rPr>
              <w:t>Stock-based compensation</w:t>
            </w:r>
            <w:r>
              <w:rPr>
                <w:rFonts w:ascii="Arial" w:cs="Arial" w:eastAsia="Arial" w:hAnsi="Arial"/>
                <w:sz w:val="21"/>
                <w:szCs w:val="21"/>
                <w:color w:val="auto"/>
                <w:vertAlign w:val="superscript"/>
              </w:rPr>
              <w:t>(1)</w:t>
            </w:r>
          </w:p>
        </w:tc>
        <w:tc>
          <w:tcPr>
            <w:tcW w:w="4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0.01</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r>
      <w:tr>
        <w:trPr>
          <w:trHeight w:val="209"/>
        </w:trPr>
        <w:tc>
          <w:tcPr>
            <w:tcW w:w="7520" w:type="dxa"/>
            <w:vAlign w:val="bottom"/>
          </w:tcPr>
          <w:p>
            <w:pPr>
              <w:ind w:left="20"/>
              <w:spacing w:after="0"/>
              <w:rPr>
                <w:sz w:val="20"/>
                <w:szCs w:val="20"/>
                <w:color w:val="auto"/>
              </w:rPr>
            </w:pPr>
            <w:r>
              <w:rPr>
                <w:rFonts w:ascii="Arial" w:cs="Arial" w:eastAsia="Arial" w:hAnsi="Arial"/>
                <w:sz w:val="16"/>
                <w:szCs w:val="16"/>
                <w:color w:val="auto"/>
              </w:rPr>
              <w:t>Net asset value at end of period</w:t>
            </w:r>
          </w:p>
        </w:tc>
        <w:tc>
          <w:tcPr>
            <w:tcW w:w="4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18.01</w:t>
            </w:r>
          </w:p>
        </w:tc>
        <w:tc>
          <w:tcPr>
            <w:tcW w:w="120" w:type="dxa"/>
            <w:vAlign w:val="bottom"/>
          </w:tcPr>
          <w:p>
            <w:pPr>
              <w:spacing w:after="0"/>
              <w:rPr>
                <w:sz w:val="18"/>
                <w:szCs w:val="18"/>
                <w:color w:val="auto"/>
              </w:rPr>
            </w:pPr>
          </w:p>
        </w:tc>
        <w:tc>
          <w:tcPr>
            <w:tcW w:w="4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10.22</w:t>
            </w:r>
          </w:p>
        </w:tc>
      </w:tr>
      <w:tr>
        <w:trPr>
          <w:trHeight w:val="20"/>
        </w:trPr>
        <w:tc>
          <w:tcPr>
            <w:tcW w:w="75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210"/>
        </w:trPr>
        <w:tc>
          <w:tcPr>
            <w:tcW w:w="7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Per share market value at end of period</w:t>
            </w:r>
          </w:p>
        </w:tc>
        <w:tc>
          <w:tcPr>
            <w:tcW w:w="4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13.55</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5.86</w:t>
            </w:r>
          </w:p>
        </w:tc>
      </w:tr>
      <w:tr>
        <w:trPr>
          <w:trHeight w:val="216"/>
        </w:trPr>
        <w:tc>
          <w:tcPr>
            <w:tcW w:w="7520" w:type="dxa"/>
            <w:vAlign w:val="bottom"/>
          </w:tcPr>
          <w:p>
            <w:pPr>
              <w:ind w:left="20"/>
              <w:spacing w:after="0" w:line="216" w:lineRule="exact"/>
              <w:rPr>
                <w:sz w:val="20"/>
                <w:szCs w:val="20"/>
                <w:color w:val="auto"/>
              </w:rPr>
            </w:pPr>
            <w:r>
              <w:rPr>
                <w:rFonts w:ascii="Arial" w:cs="Arial" w:eastAsia="Arial" w:hAnsi="Arial"/>
                <w:sz w:val="16"/>
                <w:szCs w:val="16"/>
                <w:color w:val="auto"/>
              </w:rPr>
              <w:t>Total return based on market value</w:t>
            </w:r>
            <w:r>
              <w:rPr>
                <w:rFonts w:ascii="Arial" w:cs="Arial" w:eastAsia="Arial" w:hAnsi="Arial"/>
                <w:sz w:val="21"/>
                <w:szCs w:val="21"/>
                <w:color w:val="auto"/>
                <w:vertAlign w:val="superscript"/>
              </w:rPr>
              <w:t>(2)</w:t>
            </w:r>
          </w:p>
        </w:tc>
        <w:tc>
          <w:tcPr>
            <w:tcW w:w="4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7.28 %</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(10.53)%</w:t>
            </w:r>
          </w:p>
        </w:tc>
      </w:tr>
      <w:tr>
        <w:trPr>
          <w:trHeight w:val="216"/>
        </w:trPr>
        <w:tc>
          <w:tcPr>
            <w:tcW w:w="752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Total return based on net asset value</w:t>
            </w:r>
            <w:r>
              <w:rPr>
                <w:rFonts w:ascii="Arial" w:cs="Arial" w:eastAsia="Arial" w:hAnsi="Arial"/>
                <w:sz w:val="21"/>
                <w:szCs w:val="21"/>
                <w:color w:val="auto"/>
                <w:vertAlign w:val="superscript"/>
              </w:rPr>
              <w:t>(2)</w:t>
            </w:r>
          </w:p>
        </w:tc>
        <w:tc>
          <w:tcPr>
            <w:tcW w:w="4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18.96 %</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(10.19)%</w:t>
            </w:r>
          </w:p>
        </w:tc>
      </w:tr>
      <w:tr>
        <w:trPr>
          <w:trHeight w:val="213"/>
        </w:trPr>
        <w:tc>
          <w:tcPr>
            <w:tcW w:w="7520" w:type="dxa"/>
            <w:vAlign w:val="bottom"/>
          </w:tcPr>
          <w:p>
            <w:pPr>
              <w:ind w:left="20"/>
              <w:spacing w:after="0"/>
              <w:rPr>
                <w:sz w:val="20"/>
                <w:szCs w:val="20"/>
                <w:color w:val="auto"/>
              </w:rPr>
            </w:pPr>
            <w:r>
              <w:rPr>
                <w:rFonts w:ascii="Arial" w:cs="Arial" w:eastAsia="Arial" w:hAnsi="Arial"/>
                <w:sz w:val="16"/>
                <w:szCs w:val="16"/>
                <w:color w:val="auto"/>
              </w:rPr>
              <w:t>Shares outstanding at end of period</w:t>
            </w:r>
          </w:p>
        </w:tc>
        <w:tc>
          <w:tcPr>
            <w:tcW w:w="420" w:type="dxa"/>
            <w:vAlign w:val="bottom"/>
          </w:tcPr>
          <w:p>
            <w:pPr>
              <w:spacing w:after="0"/>
              <w:rPr>
                <w:sz w:val="18"/>
                <w:szCs w:val="18"/>
                <w:color w:val="auto"/>
              </w:rPr>
            </w:pPr>
          </w:p>
        </w:tc>
        <w:tc>
          <w:tcPr>
            <w:tcW w:w="1380" w:type="dxa"/>
            <w:vAlign w:val="bottom"/>
          </w:tcPr>
          <w:p>
            <w:pPr>
              <w:jc w:val="right"/>
              <w:ind w:right="120"/>
              <w:spacing w:after="0"/>
              <w:rPr>
                <w:sz w:val="20"/>
                <w:szCs w:val="20"/>
                <w:color w:val="auto"/>
              </w:rPr>
            </w:pPr>
            <w:r>
              <w:rPr>
                <w:rFonts w:ascii="Arial" w:cs="Arial" w:eastAsia="Arial" w:hAnsi="Arial"/>
                <w:sz w:val="16"/>
                <w:szCs w:val="16"/>
                <w:color w:val="auto"/>
              </w:rPr>
              <w:t>24,205,216</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jc w:val="right"/>
              <w:ind w:right="119"/>
              <w:spacing w:after="0"/>
              <w:rPr>
                <w:sz w:val="20"/>
                <w:szCs w:val="20"/>
                <w:color w:val="auto"/>
              </w:rPr>
            </w:pPr>
            <w:r>
              <w:rPr>
                <w:rFonts w:ascii="Arial" w:cs="Arial" w:eastAsia="Arial" w:hAnsi="Arial"/>
                <w:sz w:val="16"/>
                <w:szCs w:val="16"/>
                <w:color w:val="auto"/>
              </w:rPr>
              <w:t>16,874,316</w:t>
            </w:r>
          </w:p>
        </w:tc>
      </w:tr>
      <w:tr>
        <w:trPr>
          <w:trHeight w:val="219"/>
        </w:trPr>
        <w:tc>
          <w:tcPr>
            <w:tcW w:w="75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Ratios/Supplemental Data:</w:t>
            </w: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13"/>
        </w:trPr>
        <w:tc>
          <w:tcPr>
            <w:tcW w:w="7520" w:type="dxa"/>
            <w:vAlign w:val="bottom"/>
          </w:tcPr>
          <w:p>
            <w:pPr>
              <w:ind w:left="20"/>
              <w:spacing w:after="0"/>
              <w:rPr>
                <w:sz w:val="20"/>
                <w:szCs w:val="20"/>
                <w:color w:val="auto"/>
              </w:rPr>
            </w:pPr>
            <w:r>
              <w:rPr>
                <w:rFonts w:ascii="Arial" w:cs="Arial" w:eastAsia="Arial" w:hAnsi="Arial"/>
                <w:sz w:val="16"/>
                <w:szCs w:val="16"/>
                <w:color w:val="auto"/>
              </w:rPr>
              <w:t>Net assets at end of period</w:t>
            </w: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ind w:right="120"/>
              <w:spacing w:after="0"/>
              <w:rPr>
                <w:sz w:val="20"/>
                <w:szCs w:val="20"/>
                <w:color w:val="auto"/>
              </w:rPr>
            </w:pPr>
            <w:r>
              <w:rPr>
                <w:rFonts w:ascii="Arial" w:cs="Arial" w:eastAsia="Arial" w:hAnsi="Arial"/>
                <w:sz w:val="16"/>
                <w:szCs w:val="16"/>
                <w:color w:val="auto"/>
              </w:rPr>
              <w:t>435,961,621</w:t>
            </w:r>
          </w:p>
        </w:tc>
        <w:tc>
          <w:tcPr>
            <w:tcW w:w="120" w:type="dxa"/>
            <w:vAlign w:val="bottom"/>
          </w:tcPr>
          <w:p>
            <w:pPr>
              <w:spacing w:after="0"/>
              <w:rPr>
                <w:sz w:val="18"/>
                <w:szCs w:val="18"/>
                <w:color w:val="auto"/>
              </w:rPr>
            </w:pP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ind w:right="119"/>
              <w:spacing w:after="0"/>
              <w:rPr>
                <w:sz w:val="20"/>
                <w:szCs w:val="20"/>
                <w:color w:val="auto"/>
              </w:rPr>
            </w:pPr>
            <w:r>
              <w:rPr>
                <w:rFonts w:ascii="Arial" w:cs="Arial" w:eastAsia="Arial" w:hAnsi="Arial"/>
                <w:sz w:val="16"/>
                <w:szCs w:val="16"/>
                <w:color w:val="auto"/>
              </w:rPr>
              <w:t>172,515,798</w:t>
            </w:r>
          </w:p>
        </w:tc>
      </w:tr>
      <w:tr>
        <w:trPr>
          <w:trHeight w:val="216"/>
        </w:trPr>
        <w:tc>
          <w:tcPr>
            <w:tcW w:w="7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Average net assets</w:t>
            </w:r>
          </w:p>
        </w:tc>
        <w:tc>
          <w:tcPr>
            <w:tcW w:w="42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312,796,110</w:t>
            </w:r>
          </w:p>
        </w:tc>
        <w:tc>
          <w:tcPr>
            <w:tcW w:w="12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198,994,124</w:t>
            </w:r>
          </w:p>
        </w:tc>
      </w:tr>
      <w:tr>
        <w:trPr>
          <w:trHeight w:val="213"/>
        </w:trPr>
        <w:tc>
          <w:tcPr>
            <w:tcW w:w="7520" w:type="dxa"/>
            <w:vAlign w:val="bottom"/>
          </w:tcPr>
          <w:p>
            <w:pPr>
              <w:ind w:left="20"/>
              <w:spacing w:after="0" w:line="213" w:lineRule="exact"/>
              <w:rPr>
                <w:sz w:val="20"/>
                <w:szCs w:val="20"/>
                <w:color w:val="auto"/>
              </w:rPr>
            </w:pPr>
            <w:r>
              <w:rPr>
                <w:rFonts w:ascii="Arial" w:cs="Arial" w:eastAsia="Arial" w:hAnsi="Arial"/>
                <w:sz w:val="16"/>
                <w:szCs w:val="16"/>
                <w:color w:val="auto"/>
              </w:rPr>
              <w:t>Ratio of net operating expenses to average net assets</w:t>
            </w:r>
            <w:r>
              <w:rPr>
                <w:rFonts w:ascii="Arial" w:cs="Arial" w:eastAsia="Arial" w:hAnsi="Arial"/>
                <w:sz w:val="21"/>
                <w:szCs w:val="21"/>
                <w:color w:val="auto"/>
                <w:vertAlign w:val="superscript"/>
              </w:rPr>
              <w:t>(3)</w:t>
            </w:r>
          </w:p>
        </w:tc>
        <w:tc>
          <w:tcPr>
            <w:tcW w:w="4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4.05 %</w:t>
            </w:r>
          </w:p>
        </w:tc>
        <w:tc>
          <w:tcPr>
            <w:tcW w:w="12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6.65 %</w:t>
            </w:r>
          </w:p>
        </w:tc>
      </w:tr>
      <w:tr>
        <w:trPr>
          <w:trHeight w:val="20"/>
        </w:trPr>
        <w:tc>
          <w:tcPr>
            <w:tcW w:w="75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210"/>
        </w:trPr>
        <w:tc>
          <w:tcPr>
            <w:tcW w:w="7520" w:type="dxa"/>
            <w:vAlign w:val="bottom"/>
            <w:shd w:val="clear" w:color="auto" w:fill="CCEEFF"/>
          </w:tcPr>
          <w:p>
            <w:pPr>
              <w:ind w:left="20"/>
              <w:spacing w:after="0" w:line="210" w:lineRule="exact"/>
              <w:rPr>
                <w:sz w:val="20"/>
                <w:szCs w:val="20"/>
                <w:color w:val="auto"/>
              </w:rPr>
            </w:pPr>
            <w:r>
              <w:rPr>
                <w:rFonts w:ascii="Arial" w:cs="Arial" w:eastAsia="Arial" w:hAnsi="Arial"/>
                <w:sz w:val="16"/>
                <w:szCs w:val="16"/>
                <w:color w:val="auto"/>
              </w:rPr>
              <w:t>Ratio of net investment loss to average net assets</w:t>
            </w:r>
            <w:r>
              <w:rPr>
                <w:rFonts w:ascii="Arial" w:cs="Arial" w:eastAsia="Arial" w:hAnsi="Arial"/>
                <w:sz w:val="21"/>
                <w:szCs w:val="21"/>
                <w:color w:val="auto"/>
                <w:vertAlign w:val="superscript"/>
              </w:rPr>
              <w:t>(3)</w:t>
            </w:r>
          </w:p>
        </w:tc>
        <w:tc>
          <w:tcPr>
            <w:tcW w:w="420" w:type="dxa"/>
            <w:vAlign w:val="bottom"/>
            <w:shd w:val="clear" w:color="auto" w:fill="CCEEFF"/>
          </w:tcPr>
          <w:p>
            <w:pPr>
              <w:spacing w:after="0"/>
              <w:rPr>
                <w:sz w:val="18"/>
                <w:szCs w:val="18"/>
                <w:color w:val="auto"/>
              </w:rPr>
            </w:pPr>
          </w:p>
        </w:tc>
        <w:tc>
          <w:tcPr>
            <w:tcW w:w="1380" w:type="dxa"/>
            <w:vAlign w:val="bottom"/>
            <w:shd w:val="clear" w:color="auto" w:fill="CCEEFF"/>
          </w:tcPr>
          <w:p>
            <w:pPr>
              <w:ind w:left="820"/>
              <w:spacing w:after="0"/>
              <w:rPr>
                <w:sz w:val="20"/>
                <w:szCs w:val="20"/>
                <w:color w:val="auto"/>
              </w:rPr>
            </w:pPr>
            <w:r>
              <w:rPr>
                <w:rFonts w:ascii="Arial" w:cs="Arial" w:eastAsia="Arial" w:hAnsi="Arial"/>
                <w:sz w:val="16"/>
                <w:szCs w:val="16"/>
                <w:color w:val="auto"/>
                <w:w w:val="96"/>
              </w:rPr>
              <w:t>(3.67)%</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(6.07)%</w:t>
            </w:r>
          </w:p>
        </w:tc>
      </w:tr>
      <w:tr>
        <w:trPr>
          <w:trHeight w:val="202"/>
        </w:trPr>
        <w:tc>
          <w:tcPr>
            <w:tcW w:w="7520" w:type="dxa"/>
            <w:vAlign w:val="bottom"/>
          </w:tcPr>
          <w:p>
            <w:pPr>
              <w:ind w:left="20"/>
              <w:spacing w:after="0"/>
              <w:rPr>
                <w:sz w:val="20"/>
                <w:szCs w:val="20"/>
                <w:color w:val="auto"/>
              </w:rPr>
            </w:pPr>
            <w:r>
              <w:rPr>
                <w:rFonts w:ascii="Arial" w:cs="Arial" w:eastAsia="Arial" w:hAnsi="Arial"/>
                <w:sz w:val="16"/>
                <w:szCs w:val="16"/>
                <w:color w:val="auto"/>
              </w:rPr>
              <w:t>Portfolio Turnover Ratio</w:t>
            </w:r>
          </w:p>
        </w:tc>
        <w:tc>
          <w:tcPr>
            <w:tcW w:w="42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3.41 %</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 %</w:t>
            </w:r>
          </w:p>
        </w:tc>
      </w:tr>
      <w:tr>
        <w:trPr>
          <w:trHeight w:val="207"/>
        </w:trPr>
        <w:tc>
          <w:tcPr>
            <w:tcW w:w="7520" w:type="dxa"/>
            <w:vAlign w:val="bottom"/>
          </w:tcPr>
          <w:p>
            <w:pPr>
              <w:spacing w:after="0"/>
              <w:rPr>
                <w:sz w:val="20"/>
                <w:szCs w:val="20"/>
                <w:color w:val="auto"/>
              </w:rPr>
            </w:pPr>
            <w:r>
              <w:rPr>
                <w:rFonts w:ascii="Arial" w:cs="Arial" w:eastAsia="Arial" w:hAnsi="Arial"/>
                <w:sz w:val="16"/>
                <w:szCs w:val="16"/>
                <w:b w:val="1"/>
                <w:bCs w:val="1"/>
                <w:color w:val="auto"/>
              </w:rPr>
              <w:t>__________________</w:t>
            </w:r>
          </w:p>
        </w:tc>
        <w:tc>
          <w:tcPr>
            <w:tcW w:w="4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spacing w:after="0"/>
              <w:rPr>
                <w:sz w:val="18"/>
                <w:szCs w:val="18"/>
                <w:color w:val="auto"/>
              </w:rPr>
            </w:pPr>
          </w:p>
        </w:tc>
      </w:tr>
    </w:tbl>
    <w:p>
      <w:pPr>
        <w:ind w:left="500" w:hanging="492"/>
        <w:spacing w:after="0"/>
        <w:tabs>
          <w:tab w:leader="none" w:pos="5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Based on weighted-average number of shares outstanding for the relevant period.</w:t>
      </w:r>
    </w:p>
    <w:p>
      <w:pPr>
        <w:spacing w:after="0" w:line="5" w:lineRule="exact"/>
        <w:rPr>
          <w:rFonts w:ascii="Arial" w:cs="Arial" w:eastAsia="Arial" w:hAnsi="Arial"/>
          <w:sz w:val="16"/>
          <w:szCs w:val="16"/>
          <w:color w:val="auto"/>
        </w:rPr>
      </w:pPr>
    </w:p>
    <w:p>
      <w:pPr>
        <w:ind w:left="500" w:right="20" w:hanging="492"/>
        <w:spacing w:after="0" w:line="262" w:lineRule="auto"/>
        <w:tabs>
          <w:tab w:leader="none" w:pos="500" w:val="left"/>
        </w:tabs>
        <w:numPr>
          <w:ilvl w:val="0"/>
          <w:numId w:val="32"/>
        </w:numPr>
        <w:rPr>
          <w:rFonts w:ascii="Arial" w:cs="Arial" w:eastAsia="Arial" w:hAnsi="Arial"/>
          <w:sz w:val="15"/>
          <w:szCs w:val="15"/>
          <w:color w:val="auto"/>
        </w:rPr>
      </w:pPr>
      <w:r>
        <w:rPr>
          <w:rFonts w:ascii="Arial" w:cs="Arial" w:eastAsia="Arial" w:hAnsi="Arial"/>
          <w:sz w:val="15"/>
          <w:szCs w:val="15"/>
          <w:color w:val="auto"/>
        </w:rPr>
        <w:t>Total return based on market value is based on the change in market price per share between the opening and ending market values per share in the period. Total return based on net asset value is based upon the change in net asset value per share between the opening and ending net asset values per share.</w:t>
      </w:r>
    </w:p>
    <w:p>
      <w:pPr>
        <w:spacing w:after="0" w:line="1" w:lineRule="exact"/>
        <w:rPr>
          <w:rFonts w:ascii="Arial" w:cs="Arial" w:eastAsia="Arial" w:hAnsi="Arial"/>
          <w:sz w:val="15"/>
          <w:szCs w:val="15"/>
          <w:color w:val="auto"/>
        </w:rPr>
      </w:pPr>
    </w:p>
    <w:p>
      <w:pPr>
        <w:jc w:val="both"/>
        <w:ind w:left="500" w:hanging="492"/>
        <w:spacing w:after="0" w:line="250" w:lineRule="auto"/>
        <w:tabs>
          <w:tab w:leader="none" w:pos="5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Financial highlights for periods of less than one year are annualized and the ratios of operating expenses to average net assets and net investment loss to average net assets are adjusted accordingly. Significant and material non-recurring expenses are not annualized. For the three months ended March 31, 2021 and 2020, the Company excluded $0 and $0 of non-recurring expenses, respectively. Because the ratios are calculated for the Company’s common stock taken as a whole, an individual investor’s ratios may vary from these ratios.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240"/>
          </w:cols>
          <w:pgMar w:left="320" w:top="122" w:right="339" w:bottom="1440" w:gutter="0" w:footer="0" w:header="0"/>
        </w:sectPr>
      </w:pPr>
    </w:p>
    <w:bookmarkStart w:id="49" w:name="page50"/>
    <w:bookmarkEnd w:id="4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SURO CAPITAL CORP. AND SUBSIDIARIES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2021</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9—INCOME TAXES</w:t>
      </w:r>
    </w:p>
    <w:p>
      <w:pPr>
        <w:spacing w:after="0" w:line="256" w:lineRule="exact"/>
        <w:rPr>
          <w:sz w:val="20"/>
          <w:szCs w:val="20"/>
          <w:color w:val="auto"/>
        </w:rPr>
      </w:pPr>
    </w:p>
    <w:p>
      <w:pPr>
        <w:jc w:val="both"/>
        <w:ind w:firstLine="364"/>
        <w:spacing w:after="0" w:line="272" w:lineRule="auto"/>
        <w:rPr>
          <w:sz w:val="20"/>
          <w:szCs w:val="20"/>
          <w:color w:val="auto"/>
        </w:rPr>
      </w:pPr>
      <w:r>
        <w:rPr>
          <w:rFonts w:ascii="Arial" w:cs="Arial" w:eastAsia="Arial" w:hAnsi="Arial"/>
          <w:sz w:val="17"/>
          <w:szCs w:val="17"/>
          <w:color w:val="auto"/>
        </w:rPr>
        <w:t>The Company elected to be treated as a RIC under Subchapter M of the Code beginning with its taxable year ended December 31, 2014, has qualified to be treated as a RIC for subsequent taxable years. The Company intends to continue to operate so as to qualify to be subject to tax treatment as a RIC under Subchapter M of the Code and, as such, will not be subject to U.S. federal income tax on the portion of taxable income (including gains) distributed as dividends for U.S. federal income tax purposes to stockholders. Taxable income includes the Company’s taxable interest, dividend and fee income, reduced by certain deductions, as well as taxable net realized investment gains. Taxable income generally differs from net income for financial reporting purposes due to temporary and permanent differences in the recognition of income and expenses, and generally excludes net unrealized appreciation or depreciation, as such gains or losses are not included in taxable income until they are realized.</w:t>
      </w:r>
    </w:p>
    <w:p>
      <w:pPr>
        <w:spacing w:after="0" w:line="20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To qualify and be subject to tax as a RIC, the Company is required to meet certain income and asset diversification tests in addition to distributing dividends of an amount generally at least equal to 90% of its investment company taxable income, as defined by the Code and determined without regard to any deduction for distributions paid, to its stockholders. The amount to be paid out as a distribution is determined by the Board of Directors each quarter and is based upon the annual earnings estimated by the management of the Company. To the extent that the Company’s earnings fall below the amount of dividend distributions declared, however, a portion of the total amount of the Company’s distributions for the fiscal year may be deemed a return of capital for tax purposes to the Company’s stockholders.</w:t>
      </w:r>
    </w:p>
    <w:p>
      <w:pPr>
        <w:spacing w:after="0" w:line="219"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During the three months ended March 31, 2021, the Company declared distributions of $0.50 per share. The determination of the tax attributes of the Company’s distributions is made annually as of the end of the Company’s taxable year generally based upon its taxable income for the full taxable year and distributions paid for the full taxable year. As a result, a determination made on a by-dividend basis may not be representative of the actual tax attributes of the Company’s distributions for a full taxable year. If the Company had determined the tax attributes of our distributions taxable year-to-date as of March 31, 2021, 100% would be from net realized investment gains. However, there can be no certainty to stockholders that this determination is representative of what the actual tax attributes of the Company’s fiscal year of 2020 distributions to stockholders will be.</w:t>
      </w:r>
    </w:p>
    <w:p>
      <w:pPr>
        <w:spacing w:after="0" w:line="20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As a RIC, the Company will be subject to a 4% nondeductible U.S. federal excise tax on certain undistributed income unless the Company makes distributions treated as dividends for U.S. federal income tax purposes in a timely manner to its stockholders in respect of each calendar year of an amount at least equal to the sum of (1) 98% of our ordinary income (taking into account certain deferrals and elections) for each calendar year, (2) 98.2% of our capital gain net income (adjusted for certain ordinary losses) for the 1-year period ending October 31 of each such calendar year and (3) any ordinary income and net capital gains for preceding years, but not distributed during such years and on which the Company paid no U.S. federal income tax. The Company will not be subject to this excise tax on any amount on which the Company incurred U.S. federal corporate income tax (such as the tax imposed on a RIC’s retained net capital gains).</w:t>
      </w:r>
    </w:p>
    <w:p>
      <w:pPr>
        <w:spacing w:after="0" w:line="222"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Depending on the level of taxable income earned in a taxable year, the Company may choose to carry over taxable income in excess of current taxable year distributions from such taxable income into the next taxable year and incur a 4% excise tax on such taxable income, as required. The maximum amount of excess taxable income that may be carried over for distribution in the next taxable year under the Code is the total amount of distributions paid in the following taxable year, subject to certain declaration and payment guidelines. To the extent the Company chooses to carry over taxable income into the next taxable year, distributions declared and paid by the Company in a taxable year may differ from the Company’s taxable income for that taxable year as such distributions may include the distribution of current taxable year taxable income, the distribution of prior taxable year taxable income carried over into and distributed in the current taxable year, or returns of capital.</w:t>
      </w:r>
    </w:p>
    <w:p>
      <w:pPr>
        <w:spacing w:after="0" w:line="20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Company has taxable subsidiaries which hold certain portfolio investments in an effort to limit potential legal liability and/or comply with source-income type requirements contained in the RIC tax provisions of the Code. These taxable subsidiaries are consolidated for U.S. GAAP and the portfolio investments held by the taxable subsidiaries are included in the Company’s consolidated financial statements and are recorded at fair value. These taxable subsidiaries are not consolidated with the Company for income tax purposes and may generate income tax expense, or benefit, and tax assets and liabilities as a</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240"/>
          </w:cols>
          <w:pgMar w:left="320" w:top="122" w:right="339" w:bottom="1440" w:gutter="0" w:footer="0" w:header="0"/>
        </w:sectPr>
      </w:pPr>
    </w:p>
    <w:bookmarkStart w:id="50" w:name="page51"/>
    <w:bookmarkEnd w:id="5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SURO CAPITAL CORP. AND SUBSIDIARIES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2021</w:t>
      </w:r>
    </w:p>
    <w:p>
      <w:pPr>
        <w:spacing w:after="0" w:line="40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result of their ownership of certain portfolio investments. Any income generated by these taxable subsidiaries generally would be subject to tax at normal corporate tax rates based on its taxable income.</w:t>
      </w:r>
    </w:p>
    <w:p>
      <w:pPr>
        <w:spacing w:after="0" w:line="19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Company intends to timely distribute to its stockholders substantially all of its annual taxable income for each year, except that it may retain certain net capital gains for reinvestment and, depending upon the level of taxable income earned in a year, may choose to carry forward taxable income for distribution in the following year and pay any applicable U.S. federal excise tax.</w:t>
      </w:r>
    </w:p>
    <w:p>
      <w:pPr>
        <w:spacing w:after="0" w:line="211" w:lineRule="exact"/>
        <w:rPr>
          <w:sz w:val="20"/>
          <w:szCs w:val="20"/>
          <w:color w:val="auto"/>
        </w:rPr>
      </w:pPr>
    </w:p>
    <w:p>
      <w:pPr>
        <w:jc w:val="both"/>
        <w:ind w:firstLine="364"/>
        <w:spacing w:after="0" w:line="257" w:lineRule="auto"/>
        <w:rPr>
          <w:sz w:val="20"/>
          <w:szCs w:val="20"/>
          <w:color w:val="auto"/>
        </w:rPr>
      </w:pPr>
      <w:r>
        <w:rPr>
          <w:rFonts w:ascii="Arial" w:cs="Arial" w:eastAsia="Arial" w:hAnsi="Arial"/>
          <w:sz w:val="18"/>
          <w:szCs w:val="18"/>
          <w:color w:val="auto"/>
        </w:rPr>
        <w:t>As of March 31, 2021 and December 31, 2020, the Company recorded a deferred tax liability of approximately $0 and $0, respectively. The Company is required to include net deferred tax provision/benefit in calculating its total expenses even though these net deferred taxes are not currently payable/receivable. Taxable income generally differs from net income for financial reporting purposes due to temporary and permanent differences in the recognition of income and expenses, and generally excludes net unrealized appreciation or depreciation, as such gains or losses are not included in taxable income until they are realized.</w:t>
      </w:r>
    </w:p>
    <w:p>
      <w:pPr>
        <w:spacing w:after="0" w:line="215" w:lineRule="exact"/>
        <w:rPr>
          <w:sz w:val="20"/>
          <w:szCs w:val="20"/>
          <w:color w:val="auto"/>
        </w:rPr>
      </w:pPr>
    </w:p>
    <w:p>
      <w:pPr>
        <w:jc w:val="both"/>
        <w:ind w:firstLine="364"/>
        <w:spacing w:after="0" w:line="259" w:lineRule="auto"/>
        <w:rPr>
          <w:sz w:val="20"/>
          <w:szCs w:val="20"/>
          <w:color w:val="auto"/>
        </w:rPr>
      </w:pPr>
      <w:r>
        <w:rPr>
          <w:rFonts w:ascii="Arial" w:cs="Arial" w:eastAsia="Arial" w:hAnsi="Arial"/>
          <w:sz w:val="18"/>
          <w:szCs w:val="18"/>
          <w:color w:val="auto"/>
        </w:rPr>
        <w:t>For U.S. federal and state income tax purposes, a portion of the Taxable Subsidiaries’ net operating loss carryforwards and basis differences may be subject to limitations on annual utilization in case of a change in ownership, as defined by federal and state law. The amount of such limitations, if any, has not been determined. Accordingly, the amount of such tax attributes available to offset future profits may be significantly less than the actual amounts of the tax attributes.</w:t>
      </w:r>
    </w:p>
    <w:p>
      <w:pPr>
        <w:spacing w:after="0" w:line="214" w:lineRule="exact"/>
        <w:rPr>
          <w:sz w:val="20"/>
          <w:szCs w:val="20"/>
          <w:color w:val="auto"/>
        </w:rPr>
      </w:pPr>
    </w:p>
    <w:p>
      <w:pPr>
        <w:jc w:val="both"/>
        <w:ind w:firstLine="364"/>
        <w:spacing w:after="0" w:line="259" w:lineRule="auto"/>
        <w:rPr>
          <w:sz w:val="20"/>
          <w:szCs w:val="20"/>
          <w:color w:val="auto"/>
        </w:rPr>
      </w:pPr>
      <w:r>
        <w:rPr>
          <w:rFonts w:ascii="Arial" w:cs="Arial" w:eastAsia="Arial" w:hAnsi="Arial"/>
          <w:sz w:val="18"/>
          <w:szCs w:val="18"/>
          <w:color w:val="auto"/>
        </w:rPr>
        <w:t>The Company and the Taxable Subsidiaries identified their major tax jurisdictions as U.S. federal and California and may be subject to the taxing authorities’ examination for the tax years 2017–2020 and 2016–2020, respectively. Further, the Company and the Taxable Subsidiaries accrue all interest and penalties related to uncertain tax positions as incurred. As of March 31, 2021, there were no material interest or penalties incurred related to uncertain tax positions.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10—DEBT CAPITAL ACTIVITIES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4.75% Convertible Senior Notes due 2023</w:t>
      </w:r>
    </w:p>
    <w:p>
      <w:pPr>
        <w:spacing w:after="0" w:line="256" w:lineRule="exact"/>
        <w:rPr>
          <w:sz w:val="20"/>
          <w:szCs w:val="20"/>
          <w:color w:val="auto"/>
        </w:rPr>
      </w:pPr>
    </w:p>
    <w:p>
      <w:pPr>
        <w:jc w:val="both"/>
        <w:ind w:firstLine="364"/>
        <w:spacing w:after="0" w:line="284" w:lineRule="auto"/>
        <w:rPr>
          <w:sz w:val="20"/>
          <w:szCs w:val="20"/>
          <w:color w:val="auto"/>
        </w:rPr>
      </w:pPr>
      <w:r>
        <w:rPr>
          <w:rFonts w:ascii="Arial" w:cs="Arial" w:eastAsia="Arial" w:hAnsi="Arial"/>
          <w:sz w:val="16"/>
          <w:szCs w:val="16"/>
          <w:color w:val="auto"/>
        </w:rPr>
        <w:t>On March 28, 2018, the Company issued $40.0 million aggregate principal amount of convertible senior notes, which bore interest at a fixed rate of 4.75% per year, payable semi-annually in arrears on March 31 and September 30 of each year, commencing on September 30, 2018. The 4.75% Convertible Senior Notes due 2023 had a maturity date of March 28, 2023 (the "4.75% Convertible Senior Notes due 2023"), unless previously repurchased or converted in accordance with their terms. The Company did not have the right to redeem the 4.75% Convertible Senior Notes due 2023 prior to March 27, 2021. On or after March 27, 2021, the Company could redeem the 4.75% Convertible Senior Notes due 2023 for cash, in whole or from time to time in part, at the Company’s option if (i) the closing sale price of the Company’s common stock for at least 15 trading days (whether or not consecutive) during the period of any 20 consecutive trading days was greater than or equal to 150% of the conversion price on each applicable trading day,</w:t>
      </w:r>
    </w:p>
    <w:p>
      <w:pPr>
        <w:spacing w:after="0" w:line="2" w:lineRule="exact"/>
        <w:rPr>
          <w:sz w:val="20"/>
          <w:szCs w:val="20"/>
          <w:color w:val="auto"/>
        </w:rPr>
      </w:pPr>
    </w:p>
    <w:p>
      <w:pPr>
        <w:jc w:val="both"/>
        <w:ind w:firstLine="8"/>
        <w:spacing w:after="0" w:line="255" w:lineRule="auto"/>
        <w:tabs>
          <w:tab w:leader="none" w:pos="307" w:val="left"/>
        </w:tabs>
        <w:numPr>
          <w:ilvl w:val="0"/>
          <w:numId w:val="33"/>
        </w:numPr>
        <w:rPr>
          <w:rFonts w:ascii="Arial" w:cs="Arial" w:eastAsia="Arial" w:hAnsi="Arial"/>
          <w:sz w:val="18"/>
          <w:szCs w:val="18"/>
          <w:color w:val="auto"/>
        </w:rPr>
      </w:pPr>
      <w:r>
        <w:rPr>
          <w:rFonts w:ascii="Arial" w:cs="Arial" w:eastAsia="Arial" w:hAnsi="Arial"/>
          <w:sz w:val="18"/>
          <w:szCs w:val="18"/>
          <w:color w:val="auto"/>
        </w:rPr>
        <w:t>no public announcement of a pending, proposed or intended fundamental change had occurred which had not been abandoned, terminated or consummated, and (iii) no event of default under the indenture governing the 4.75% Convertible Senior Notes due 2023, and no event that with the passage of time or giving of notice would constitute an event of default under such indenture, had occurred or existed.</w:t>
      </w:r>
    </w:p>
    <w:p>
      <w:pPr>
        <w:spacing w:after="0" w:line="217"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All of these conditions were met and on February 19, 2021, the Company caused notices to be issued to the holders of the 4.75% Convertible Senior Notes due 2023 regarding the Company’s exercise of its option to redeem, in whole, the issued and outstanding 4.75% Convertible Senior Notes due 2023, pursuant to the governing indenture. The Company established March 29, 2021 as the date on which all of the 4.75% Convertible Senior Notes due 2023 would be redeemed (the “Redemption Date”), at 100% of their principal amount ($1,000 per convertible note), plus the accrued and unpaid interest thereon from September 30, 2020, through, but excluding, the Redemption Date. Holders of the 4.75% Convertible Senior Notes due 2023 had the option to surrender their 4.75% Convertible Senior Notes due 2023 for conversion into shares of the Company’s common stock at the then existing conversion rate, in lieu of receiving cash, at any time prior to the close of business on the business day immediately preceding the Redemption Date.</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240"/>
          </w:cols>
          <w:pgMar w:left="320" w:top="122" w:right="339" w:bottom="1440" w:gutter="0" w:footer="0" w:header="0"/>
        </w:sectPr>
      </w:pPr>
    </w:p>
    <w:bookmarkStart w:id="51" w:name="page52"/>
    <w:bookmarkEnd w:id="5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SURO CAPITAL CORP. AND SUBSIDIARIES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2021</w:t>
      </w:r>
    </w:p>
    <w:p>
      <w:pPr>
        <w:spacing w:after="0" w:line="400"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On the Redemption Date, the Company redeemed $290,000 in aggregate principal amount of the 4.75% Convertible Senior Notes due 2023 at a redemption price equal to 100% of their principal amount ($1,000 per convertible note), plus accrued and unpaid interest thereon. Due to the election of certain holders to surrender their 4.75% Convertible Senior Notes due 2023 for conversion into shares of the Company’s common stock prior to the Redemption Date, the Company issued a total of 4,272,696 shares since the 4.75% Convertible Senior Notes due 2023 were initially issued. As result of such redemption and conversions, the 4.75% Convertible Senior Notes due 2023 were no longer outstanding as of the Redemption Date.</w:t>
      </w:r>
    </w:p>
    <w:p>
      <w:pPr>
        <w:spacing w:after="0" w:line="20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initial conversion rate for the 4.75% Convertible Senior Notes due 2023 was 93.2836 shares of the Company’s common stock for each $1,000 principal amount of the 4.75% Convertible Senior Notes due 2023, which represented an initial conversion price of approximately $10.72 per share. As a result of the Company’s Modified Dutch Auction Tender Offer and cash dividends, the conversion rate for the 4.75% Convertible Senior Notes due 2023 had changed to 108.0505 shares of the Company’s common stock for each $1,000 principal amount of the 4.75% Convertible Senior Notes due 2023, which represented a conversion price of approximately $9.25 per share.</w:t>
      </w:r>
    </w:p>
    <w:p>
      <w:pPr>
        <w:spacing w:after="0" w:line="215" w:lineRule="exact"/>
        <w:rPr>
          <w:sz w:val="20"/>
          <w:szCs w:val="20"/>
          <w:color w:val="auto"/>
        </w:rPr>
      </w:pPr>
    </w:p>
    <w:p>
      <w:pPr>
        <w:jc w:val="both"/>
        <w:ind w:firstLine="364"/>
        <w:spacing w:after="0" w:line="286" w:lineRule="auto"/>
        <w:rPr>
          <w:sz w:val="20"/>
          <w:szCs w:val="20"/>
          <w:color w:val="auto"/>
        </w:rPr>
      </w:pPr>
      <w:r>
        <w:rPr>
          <w:rFonts w:ascii="Arial" w:cs="Arial" w:eastAsia="Arial" w:hAnsi="Arial"/>
          <w:sz w:val="17"/>
          <w:szCs w:val="17"/>
          <w:color w:val="auto"/>
        </w:rPr>
        <w:t>The indenture governing the 4.75% Convertible Senior Notes due 2023 contained customary financial reporting requirements and contained certain restrictions on mergers, consolidations, and asset sales. The indenture also contained certain events of default, the occurrence of which could have caused the 4.75% Convertible Senior Notes due 2023 to become due and payable before their maturity or immediately.</w:t>
      </w:r>
    </w:p>
    <w:p>
      <w:pPr>
        <w:spacing w:after="0" w:line="19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For the three months ended March 31, 2021 the Company issued 4,097,808 shares of its common stock and cash for fractional shares upon the conversion of $37,925,000 in aggregate principal amount of the 4.75% Convertible Senior Notes due 2023. The Company also redeemed $290,000 of aggregate principal amount for cash plus accrued and unpaid interest on March 29, 2021.</w:t>
      </w:r>
    </w:p>
    <w:p>
      <w:pPr>
        <w:spacing w:after="0" w:line="211" w:lineRule="exact"/>
        <w:rPr>
          <w:sz w:val="20"/>
          <w:szCs w:val="20"/>
          <w:color w:val="auto"/>
        </w:rPr>
      </w:pPr>
    </w:p>
    <w:p>
      <w:pPr>
        <w:jc w:val="both"/>
        <w:ind w:firstLine="364"/>
        <w:spacing w:after="0" w:line="277" w:lineRule="auto"/>
        <w:rPr>
          <w:sz w:val="20"/>
          <w:szCs w:val="20"/>
          <w:color w:val="auto"/>
        </w:rPr>
      </w:pPr>
      <w:r>
        <w:rPr>
          <w:rFonts w:ascii="Arial" w:cs="Arial" w:eastAsia="Arial" w:hAnsi="Arial"/>
          <w:sz w:val="18"/>
          <w:szCs w:val="18"/>
          <w:color w:val="auto"/>
        </w:rPr>
        <w:t>The table below shows a reconciliation from the aggregate principal amount of 4.75% Convertible Senior Notes due 2023 to the balance shown on the Condensed Consolidated Statement of Assets and Liabilities.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3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720" w:type="dxa"/>
            <w:vAlign w:val="bottom"/>
            <w:gridSpan w:val="2"/>
          </w:tcPr>
          <w:p>
            <w:pPr>
              <w:ind w:left="180"/>
              <w:spacing w:after="0"/>
              <w:rPr>
                <w:sz w:val="20"/>
                <w:szCs w:val="20"/>
                <w:color w:val="auto"/>
              </w:rPr>
            </w:pPr>
            <w:r>
              <w:rPr>
                <w:rFonts w:ascii="Arial" w:cs="Arial" w:eastAsia="Arial" w:hAnsi="Arial"/>
                <w:sz w:val="14"/>
                <w:szCs w:val="14"/>
                <w:b w:val="1"/>
                <w:bCs w:val="1"/>
                <w:color w:val="auto"/>
              </w:rPr>
              <w:t>March 31, 2021</w:t>
            </w:r>
          </w:p>
        </w:tc>
        <w:tc>
          <w:tcPr>
            <w:tcW w:w="240" w:type="dxa"/>
            <w:vAlign w:val="bottom"/>
          </w:tcPr>
          <w:p>
            <w:pPr>
              <w:spacing w:after="0"/>
              <w:rPr>
                <w:sz w:val="16"/>
                <w:szCs w:val="16"/>
                <w:color w:val="auto"/>
              </w:rPr>
            </w:pPr>
          </w:p>
        </w:tc>
        <w:tc>
          <w:tcPr>
            <w:tcW w:w="1660" w:type="dxa"/>
            <w:vAlign w:val="bottom"/>
          </w:tcPr>
          <w:p>
            <w:pPr>
              <w:jc w:val="right"/>
              <w:ind w:right="293"/>
              <w:spacing w:after="0"/>
              <w:rPr>
                <w:sz w:val="20"/>
                <w:szCs w:val="20"/>
                <w:color w:val="auto"/>
              </w:rPr>
            </w:pPr>
            <w:r>
              <w:rPr>
                <w:rFonts w:ascii="Arial" w:cs="Arial" w:eastAsia="Arial" w:hAnsi="Arial"/>
                <w:sz w:val="14"/>
                <w:szCs w:val="14"/>
                <w:b w:val="1"/>
                <w:bCs w:val="1"/>
                <w:color w:val="auto"/>
                <w:w w:val="99"/>
              </w:rPr>
              <w:t>December 31, 2020</w:t>
            </w:r>
          </w:p>
        </w:tc>
      </w:tr>
      <w:tr>
        <w:trPr>
          <w:trHeight w:val="229"/>
        </w:trPr>
        <w:tc>
          <w:tcPr>
            <w:tcW w:w="7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Initial aggregate principal amount of 4.75% Convertible Senior Notes due 2023</w:t>
            </w: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38,215,000</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40,000,000</w:t>
            </w:r>
          </w:p>
        </w:tc>
      </w:tr>
      <w:tr>
        <w:trPr>
          <w:trHeight w:val="229"/>
        </w:trPr>
        <w:tc>
          <w:tcPr>
            <w:tcW w:w="7320" w:type="dxa"/>
            <w:vAlign w:val="bottom"/>
          </w:tcPr>
          <w:p>
            <w:pPr>
              <w:ind w:left="20"/>
              <w:spacing w:after="0"/>
              <w:rPr>
                <w:sz w:val="20"/>
                <w:szCs w:val="20"/>
                <w:color w:val="auto"/>
              </w:rPr>
            </w:pPr>
            <w:r>
              <w:rPr>
                <w:rFonts w:ascii="Arial" w:cs="Arial" w:eastAsia="Arial" w:hAnsi="Arial"/>
                <w:sz w:val="18"/>
                <w:szCs w:val="18"/>
                <w:color w:val="auto"/>
              </w:rPr>
              <w:t>Conversion of 4.75% Convertible Senior Notes due 2023</w:t>
            </w:r>
          </w:p>
        </w:tc>
        <w:tc>
          <w:tcPr>
            <w:tcW w:w="3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(37,925,000)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(1,785,000)</w:t>
            </w:r>
          </w:p>
        </w:tc>
      </w:tr>
      <w:tr>
        <w:trPr>
          <w:trHeight w:val="230"/>
        </w:trPr>
        <w:tc>
          <w:tcPr>
            <w:tcW w:w="7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Redemption of 4.75% Convertible Senior Notes due 2023</w:t>
            </w:r>
          </w:p>
        </w:tc>
        <w:tc>
          <w:tcPr>
            <w:tcW w:w="3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(290,000)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320" w:type="dxa"/>
            <w:vAlign w:val="bottom"/>
          </w:tcPr>
          <w:p>
            <w:pPr>
              <w:ind w:left="20"/>
              <w:spacing w:after="0"/>
              <w:rPr>
                <w:sz w:val="20"/>
                <w:szCs w:val="20"/>
                <w:color w:val="auto"/>
              </w:rPr>
            </w:pPr>
            <w:r>
              <w:rPr>
                <w:rFonts w:ascii="Arial" w:cs="Arial" w:eastAsia="Arial" w:hAnsi="Arial"/>
                <w:sz w:val="18"/>
                <w:szCs w:val="18"/>
                <w:color w:val="auto"/>
              </w:rPr>
              <w:t>Direct deduction of deferred debt issuance costs</w:t>
            </w:r>
          </w:p>
        </w:tc>
        <w:tc>
          <w:tcPr>
            <w:tcW w:w="300" w:type="dxa"/>
            <w:vAlign w:val="bottom"/>
          </w:tcPr>
          <w:p>
            <w:pPr>
              <w:spacing w:after="0"/>
              <w:rPr>
                <w:sz w:val="19"/>
                <w:szCs w:val="19"/>
                <w:color w:val="auto"/>
              </w:rPr>
            </w:pPr>
          </w:p>
        </w:tc>
        <w:tc>
          <w:tcPr>
            <w:tcW w:w="17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(819,563)</w:t>
            </w:r>
          </w:p>
        </w:tc>
      </w:tr>
      <w:tr>
        <w:trPr>
          <w:trHeight w:val="248"/>
        </w:trPr>
        <w:tc>
          <w:tcPr>
            <w:tcW w:w="73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4.75% Convertible Senior Notes due 2023 Payable</w:t>
            </w: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37,395,437</w:t>
            </w: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-779145</wp:posOffset>
            </wp:positionV>
            <wp:extent cx="464629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4646295" cy="8255"/>
                    </a:xfrm>
                    <a:prstGeom prst="rect">
                      <a:avLst/>
                    </a:prstGeom>
                    <a:noFill/>
                  </pic:spPr>
                </pic:pic>
              </a:graphicData>
            </a:graphic>
          </wp:anchor>
        </w:drawing>
      </w:r>
    </w:p>
    <w:p>
      <w:pPr>
        <w:spacing w:after="0" w:line="290" w:lineRule="exact"/>
        <w:rPr>
          <w:sz w:val="20"/>
          <w:szCs w:val="20"/>
          <w:color w:val="auto"/>
        </w:rPr>
      </w:pPr>
    </w:p>
    <w:p>
      <w:pPr>
        <w:jc w:val="both"/>
        <w:ind w:firstLine="364"/>
        <w:spacing w:after="0" w:line="257" w:lineRule="auto"/>
        <w:rPr>
          <w:sz w:val="20"/>
          <w:szCs w:val="20"/>
          <w:color w:val="auto"/>
        </w:rPr>
      </w:pPr>
      <w:r>
        <w:rPr>
          <w:rFonts w:ascii="Arial" w:cs="Arial" w:eastAsia="Arial" w:hAnsi="Arial"/>
          <w:sz w:val="18"/>
          <w:szCs w:val="18"/>
          <w:color w:val="auto"/>
        </w:rPr>
        <w:t>The 4.75% Convertible Senior Notes due 2023 were the Company’s general, unsecured, senior obligations and ranked senior in right of payment to any future indebtedness that was expressly subordinated in right of payment to the 4.75% Convertible Senior Notes due 2023, equal in right of payment to any existing and future unsecured indebtedness that was not so subordinated to the 4.75% Convertible Senior Notes due 2023, effectively junior to any future secured indebtedness to the extent of the value of the assets securing such indebtedness, and structurally junior to all future indebtedness (including trade payables) incurred by the Company’s subsidiaries.</w:t>
      </w:r>
    </w:p>
    <w:p>
      <w:pPr>
        <w:spacing w:after="0" w:line="21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In connection with the issuance of the 4.75% Convertible Senior Notes due 2023, the Company was required under the terms of the Credit Facility (defined below) to deposit any proceeds from the 4.75% Convertible Senior Notes due 2023 offering into an account at Western Alliance Bank and was required to maintain at least $65.0 million (or such lesser amount to the extent such funds are used to repay or repurchase a portion of the outstanding 5.25% Convertible Senior Notes due 2018 prior to their maturity and repayment in full) in an account at Western Alliance Bank until such time as the</w:t>
      </w:r>
    </w:p>
    <w:p>
      <w:pPr>
        <w:spacing w:after="0" w:line="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5.25% Convertible Senior Notes due 2018 were repaid in full. The 5.25% Convertible Senior Notes due 2018 matured on September 15, 2018, at which time the Company repaid the remaining outstanding aggregate principal amount of the 5.25% Convertible Senior Notes due 2018, including accrued but unpaid interest. In addition, the Credit Facility matured on May 31, 2019. As a result, the company is no longer subject to such requirements.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240"/>
          </w:cols>
          <w:pgMar w:left="320" w:top="122" w:right="339" w:bottom="1440" w:gutter="0" w:footer="0" w:header="0"/>
        </w:sectPr>
      </w:pPr>
    </w:p>
    <w:bookmarkStart w:id="52" w:name="page53"/>
    <w:bookmarkEnd w:id="5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SURO CAPITAL CORP. AND SUBSIDIARIES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2021</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Western Alliance Bank Credit Facility</w:t>
      </w:r>
    </w:p>
    <w:p>
      <w:pPr>
        <w:spacing w:after="0" w:line="256" w:lineRule="exact"/>
        <w:rPr>
          <w:sz w:val="20"/>
          <w:szCs w:val="20"/>
          <w:color w:val="auto"/>
        </w:rPr>
      </w:pPr>
    </w:p>
    <w:p>
      <w:pPr>
        <w:jc w:val="both"/>
        <w:ind w:right="20" w:firstLine="364"/>
        <w:spacing w:after="0" w:line="277" w:lineRule="auto"/>
        <w:rPr>
          <w:sz w:val="20"/>
          <w:szCs w:val="20"/>
          <w:color w:val="auto"/>
        </w:rPr>
      </w:pPr>
      <w:r>
        <w:rPr>
          <w:rFonts w:ascii="Arial" w:cs="Arial" w:eastAsia="Arial" w:hAnsi="Arial"/>
          <w:sz w:val="18"/>
          <w:szCs w:val="18"/>
          <w:color w:val="auto"/>
        </w:rPr>
        <w:t>The Credit Facility (defined below) matured on May 31, 2019 and was no longer outstanding as of such date. There were no borrowings by the Company from the Credit Facility during the three months ended March 31, 2021 and the year ended December 31, 2020.</w:t>
      </w:r>
    </w:p>
    <w:p>
      <w:pPr>
        <w:spacing w:after="0" w:line="197" w:lineRule="exact"/>
        <w:rPr>
          <w:sz w:val="20"/>
          <w:szCs w:val="20"/>
          <w:color w:val="auto"/>
        </w:rPr>
      </w:pPr>
    </w:p>
    <w:p>
      <w:pPr>
        <w:jc w:val="both"/>
        <w:ind w:firstLine="364"/>
        <w:spacing w:after="0" w:line="263" w:lineRule="auto"/>
        <w:rPr>
          <w:sz w:val="20"/>
          <w:szCs w:val="20"/>
          <w:color w:val="auto"/>
        </w:rPr>
      </w:pPr>
      <w:r>
        <w:rPr>
          <w:rFonts w:ascii="Arial" w:cs="Arial" w:eastAsia="Arial" w:hAnsi="Arial"/>
          <w:sz w:val="18"/>
          <w:szCs w:val="18"/>
          <w:color w:val="auto"/>
        </w:rPr>
        <w:t>The Company entered into a Loan and Security Agreement, effective May 31, 2017 and amended on March 22, 2018 (the “Loan Agreement”), with Western Alliance Bank, pursuant to which Western Alliance Bank agreed to provide the Company with a $12.0 million senior secured revolving credit facility (the “Credit Facility”).</w:t>
      </w:r>
    </w:p>
    <w:p>
      <w:pPr>
        <w:spacing w:after="0" w:line="211" w:lineRule="exact"/>
        <w:rPr>
          <w:sz w:val="20"/>
          <w:szCs w:val="20"/>
          <w:color w:val="auto"/>
        </w:rPr>
      </w:pPr>
    </w:p>
    <w:p>
      <w:pPr>
        <w:jc w:val="both"/>
        <w:ind w:firstLine="364"/>
        <w:spacing w:after="0" w:line="286" w:lineRule="auto"/>
        <w:rPr>
          <w:sz w:val="20"/>
          <w:szCs w:val="20"/>
          <w:color w:val="auto"/>
        </w:rPr>
      </w:pPr>
      <w:r>
        <w:rPr>
          <w:rFonts w:ascii="Arial" w:cs="Arial" w:eastAsia="Arial" w:hAnsi="Arial"/>
          <w:sz w:val="17"/>
          <w:szCs w:val="17"/>
          <w:color w:val="auto"/>
        </w:rPr>
        <w:t>The Credit Facility matured on May 31, 2019 and bore interest at a per annum rate equal to the prime rate plus 3.50%. In addition, a facility fee of $60,000 was charged upon closing of the Credit Facility, and the Loan Agreement required payment of a fee for unused amounts during the revolving period in an amount equal to 0.50% per annum of the average unused portion of the Credit Facility payable quarterly in arrears.</w:t>
      </w:r>
    </w:p>
    <w:p>
      <w:pPr>
        <w:spacing w:after="0" w:line="192" w:lineRule="exact"/>
        <w:rPr>
          <w:sz w:val="20"/>
          <w:szCs w:val="20"/>
          <w:color w:val="auto"/>
        </w:rPr>
      </w:pPr>
    </w:p>
    <w:p>
      <w:pPr>
        <w:jc w:val="both"/>
        <w:ind w:firstLine="364"/>
        <w:spacing w:after="0" w:line="290" w:lineRule="auto"/>
        <w:rPr>
          <w:sz w:val="20"/>
          <w:szCs w:val="20"/>
          <w:color w:val="auto"/>
        </w:rPr>
      </w:pPr>
      <w:r>
        <w:rPr>
          <w:rFonts w:ascii="Arial" w:cs="Arial" w:eastAsia="Arial" w:hAnsi="Arial"/>
          <w:sz w:val="16"/>
          <w:szCs w:val="16"/>
          <w:color w:val="auto"/>
        </w:rPr>
        <w:t>Under the Loan Agreement, the Company made certain customary representations and warranties and was required to comply with various affirmative and negative covenants, reporting requirements, and other customary requirements for similar credit facilities, including, without limitation, restrictions on incurring additional indebtedness (with unsecured longer-term indebtedness limited to $70.0 million in the aggregate), compliance with the asset coverage requirements under the 1940 Act, a minimum net asset value requirement of at least the greater of $60.0 million or five times the amount of the Credit Facility, a limitation on the Company’s net asset value being reduced by more than 15% of its net asset value at December 31, 2016, and maintenance of RIC and BDC status. The Loan Agreement included usual and customary events of default for credit facilities of this nature, including, without limitation, nonpayment, misrepresentation of representations and warranties in a material respect, breach of covenant, cross-default to certain other indebtedness, bankruptcy, the cessation of the Investment Advisory Agreement, and the occurrence of a material adverse effect.</w:t>
      </w:r>
    </w:p>
    <w:p>
      <w:pPr>
        <w:spacing w:after="0" w:line="192" w:lineRule="exact"/>
        <w:rPr>
          <w:sz w:val="20"/>
          <w:szCs w:val="20"/>
          <w:color w:val="auto"/>
        </w:rPr>
      </w:pPr>
    </w:p>
    <w:p>
      <w:pPr>
        <w:jc w:val="both"/>
        <w:ind w:firstLine="364"/>
        <w:spacing w:after="0" w:line="263" w:lineRule="auto"/>
        <w:rPr>
          <w:sz w:val="20"/>
          <w:szCs w:val="20"/>
          <w:color w:val="auto"/>
        </w:rPr>
      </w:pPr>
      <w:r>
        <w:rPr>
          <w:rFonts w:ascii="Arial" w:cs="Arial" w:eastAsia="Arial" w:hAnsi="Arial"/>
          <w:sz w:val="18"/>
          <w:szCs w:val="18"/>
          <w:color w:val="auto"/>
        </w:rPr>
        <w:t>The Credit Facility was secured by substantially all of the Company’s property and assets. As of March 31, 2021 and December 31, 2020, the Company had no borrowings outstanding under the Credit Facility, as the Credit Facility matured on May 31, 2019 and was no longer outstanding as of such date.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11—STOCK-BASED COMPENSATION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2019 Equity Incentive Plan</w:t>
      </w:r>
    </w:p>
    <w:p>
      <w:pPr>
        <w:spacing w:after="0" w:line="229"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On June 5, 2019, our Board of Directors adopted, and our stockholders approved, an equity-based incentive plan (the "2019 Equity Incentive Plan”), which authorized equity awards to be granted for up to 1,976,264 shares of our common stock. Under the 2019 Equity Incentive Plan, the exercise price of awards would be set on the grant date and could not be less than the fair market value per share on such date, however, that in the case of an incentive stock option granted to an employee who, at the time of the grant of such option, owned stock representing more than ten percent (10%) of the voting power of all classes of stock of the Company or the Company’s present or future parent or subsidiary corporations, as defined in Section 424(e) or (f) of the Code, or other Affiliates the employees of which were eligible to receive incentive stock options under the Code (the “10% Shareholders”), the exercise price per share would be no less than one hundred ten percent (110%) of the fair market value per share on the date of grant. The fair market value would be the closing price of the shares on the Nasdaq Capital Market on the date of grant.</w:t>
      </w:r>
    </w:p>
    <w:p>
      <w:pPr>
        <w:spacing w:after="0" w:line="20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On July 17, 2019, stock options providing the right to purchase up to 1,165,000 shares were granted under the 2019 Equity Incentive Plan with an exercise price equal to the market price of our common stock at the grant date. These stock options had a vesting period of 3 years with 1/3 vesting immediately on the grant date, 1/3 vesting on July 17, 2020, and the remaining 1/3 vesting on July 17,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240"/>
          </w:cols>
          <w:pgMar w:left="320" w:top="122" w:right="339" w:bottom="1440" w:gutter="0" w:footer="0" w:header="0"/>
        </w:sectPr>
      </w:pPr>
    </w:p>
    <w:bookmarkStart w:id="53" w:name="page54"/>
    <w:bookmarkEnd w:id="5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SURO CAPITAL CORP. AND SUBSIDIARIES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2021</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Cancellation of Stock Option Awards Under 2019 Equity Incentive Plan</w:t>
      </w:r>
    </w:p>
    <w:p>
      <w:pPr>
        <w:spacing w:after="0" w:line="252"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 xml:space="preserve">On April 28, 2020, all stock option awards granted under the 2019 Equity Incentive Plan were canceled for no payment pursuant to an option cancellation agreement (the "Option Cancellation Agreement"). As a result, there are no stock option awards outstanding under the 2019 Equity Incentive Plan. In accordance with FASB ASC 718, </w:t>
      </w:r>
      <w:r>
        <w:rPr>
          <w:rFonts w:ascii="Arial" w:cs="Arial" w:eastAsia="Arial" w:hAnsi="Arial"/>
          <w:sz w:val="18"/>
          <w:szCs w:val="18"/>
          <w:i w:val="1"/>
          <w:iCs w:val="1"/>
          <w:color w:val="auto"/>
        </w:rPr>
        <w:t>Compensation</w:t>
      </w:r>
      <w:r>
        <w:rPr>
          <w:rFonts w:ascii="Arial" w:cs="Arial" w:eastAsia="Arial" w:hAnsi="Arial"/>
          <w:sz w:val="18"/>
          <w:szCs w:val="18"/>
          <w:color w:val="auto"/>
        </w:rPr>
        <w:t xml:space="preserve"> – </w:t>
      </w:r>
      <w:r>
        <w:rPr>
          <w:rFonts w:ascii="Arial" w:cs="Arial" w:eastAsia="Arial" w:hAnsi="Arial"/>
          <w:sz w:val="18"/>
          <w:szCs w:val="18"/>
          <w:i w:val="1"/>
          <w:iCs w:val="1"/>
          <w:color w:val="auto"/>
        </w:rPr>
        <w:t>Stock Compensation</w:t>
      </w:r>
      <w:r>
        <w:rPr>
          <w:rFonts w:ascii="Arial" w:cs="Arial" w:eastAsia="Arial" w:hAnsi="Arial"/>
          <w:sz w:val="18"/>
          <w:szCs w:val="18"/>
          <w:color w:val="auto"/>
        </w:rPr>
        <w:t xml:space="preserve"> ("ASC 718"), all unrecognized compensation cost related to still unvested shares was recognized as of the date of cancellation. For more information, including a description of the Option Cancellation Agreement, please refer to our current report on Form 8-K filed with the SEC on April 29, 2020. Such description of the Option Cancellation Agreement is qualified in its entirety by reference to the text of such Option Cancellation Agreement filed as Exhibit 10.3 to our quarterly report on Form 10-Q for the period ended March 31, 2020 filed with the SEC on May 8, 2020.</w:t>
      </w:r>
    </w:p>
    <w:p>
      <w:pPr>
        <w:spacing w:after="0" w:line="22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Company follows ASC 718 to account for stock options granted. Under ASC 718, compensation expense associated with stock-based compensation is measured at the grant date based on the fair value of the award and is recognized over the vesting period. Determining the appropriate fair value model and calculating the fair value of stock-based awards at the grant date requires judgment, including estimating stock price volatility, forfeiture rate, and expected option life. The time-based options granted on July 17, 2019 were ascribed a weighted-average fair value of $2.57 per share. The fair value of options granted under the 2019 Equity Incentive Plan was based upon a Black Scholes option pricing model using the assumptions in the following table:</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36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Input Assumptions</w:t>
            </w:r>
          </w:p>
        </w:tc>
        <w:tc>
          <w:tcPr>
            <w:tcW w:w="18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020" w:type="dxa"/>
            <w:vAlign w:val="bottom"/>
            <w:tcBorders>
              <w:bottom w:val="single" w:sz="8" w:color="auto"/>
            </w:tcBorders>
            <w:gridSpan w:val="5"/>
          </w:tcPr>
          <w:p>
            <w:pPr>
              <w:ind w:left="460"/>
              <w:spacing w:after="0"/>
              <w:rPr>
                <w:sz w:val="20"/>
                <w:szCs w:val="20"/>
                <w:color w:val="auto"/>
              </w:rPr>
            </w:pPr>
            <w:r>
              <w:rPr>
                <w:rFonts w:ascii="Arial" w:cs="Arial" w:eastAsia="Arial" w:hAnsi="Arial"/>
                <w:sz w:val="16"/>
                <w:szCs w:val="16"/>
                <w:b w:val="1"/>
                <w:bCs w:val="1"/>
                <w:color w:val="auto"/>
              </w:rPr>
              <w:t>As of July 17, 2019 Grant Date</w:t>
            </w:r>
          </w:p>
        </w:tc>
        <w:tc>
          <w:tcPr>
            <w:tcW w:w="0" w:type="dxa"/>
            <w:vAlign w:val="bottom"/>
          </w:tcPr>
          <w:p>
            <w:pPr>
              <w:spacing w:after="0"/>
              <w:rPr>
                <w:sz w:val="1"/>
                <w:szCs w:val="1"/>
                <w:color w:val="auto"/>
              </w:rPr>
            </w:pPr>
          </w:p>
        </w:tc>
      </w:tr>
      <w:tr>
        <w:trPr>
          <w:trHeight w:val="226"/>
        </w:trPr>
        <w:tc>
          <w:tcPr>
            <w:tcW w:w="5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Term (years)</w:t>
            </w:r>
          </w:p>
        </w:tc>
        <w:tc>
          <w:tcPr>
            <w:tcW w:w="1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40" w:type="dxa"/>
            <w:vAlign w:val="bottom"/>
            <w:shd w:val="clear" w:color="auto" w:fill="CCEEFF"/>
          </w:tcPr>
          <w:p>
            <w:pPr>
              <w:jc w:val="center"/>
              <w:ind w:right="1015"/>
              <w:spacing w:after="0"/>
              <w:rPr>
                <w:sz w:val="20"/>
                <w:szCs w:val="20"/>
                <w:color w:val="auto"/>
              </w:rPr>
            </w:pPr>
            <w:r>
              <w:rPr>
                <w:rFonts w:ascii="Arial" w:cs="Arial" w:eastAsia="Arial" w:hAnsi="Arial"/>
                <w:sz w:val="18"/>
                <w:szCs w:val="18"/>
                <w:color w:val="auto"/>
                <w:w w:val="91"/>
              </w:rPr>
              <w:t>5.55</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60" w:type="dxa"/>
            <w:vAlign w:val="bottom"/>
            <w:gridSpan w:val="2"/>
          </w:tcPr>
          <w:p>
            <w:pPr>
              <w:ind w:left="20"/>
              <w:spacing w:after="0"/>
              <w:rPr>
                <w:sz w:val="20"/>
                <w:szCs w:val="20"/>
                <w:color w:val="auto"/>
              </w:rPr>
            </w:pPr>
            <w:r>
              <w:rPr>
                <w:rFonts w:ascii="Arial" w:cs="Arial" w:eastAsia="Arial" w:hAnsi="Arial"/>
                <w:sz w:val="18"/>
                <w:szCs w:val="18"/>
                <w:color w:val="auto"/>
              </w:rPr>
              <w:t>Volatility</w:t>
            </w:r>
          </w:p>
        </w:tc>
        <w:tc>
          <w:tcPr>
            <w:tcW w:w="1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40" w:type="dxa"/>
            <w:vAlign w:val="bottom"/>
          </w:tcPr>
          <w:p>
            <w:pPr>
              <w:jc w:val="center"/>
              <w:ind w:right="1015"/>
              <w:spacing w:after="0"/>
              <w:rPr>
                <w:sz w:val="20"/>
                <w:szCs w:val="20"/>
                <w:color w:val="auto"/>
              </w:rPr>
            </w:pPr>
            <w:r>
              <w:rPr>
                <w:rFonts w:ascii="Arial" w:cs="Arial" w:eastAsia="Arial" w:hAnsi="Arial"/>
                <w:sz w:val="18"/>
                <w:szCs w:val="18"/>
                <w:color w:val="auto"/>
                <w:w w:val="91"/>
              </w:rPr>
              <w:t>39.47%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Risk-free rate</w:t>
            </w:r>
          </w:p>
        </w:tc>
        <w:tc>
          <w:tcPr>
            <w:tcW w:w="18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740" w:type="dxa"/>
            <w:vAlign w:val="bottom"/>
            <w:shd w:val="clear" w:color="auto" w:fill="CCEEFF"/>
          </w:tcPr>
          <w:p>
            <w:pPr>
              <w:jc w:val="center"/>
              <w:ind w:right="1035"/>
              <w:spacing w:after="0"/>
              <w:rPr>
                <w:sz w:val="20"/>
                <w:szCs w:val="20"/>
                <w:color w:val="auto"/>
              </w:rPr>
            </w:pPr>
            <w:r>
              <w:rPr>
                <w:rFonts w:ascii="Arial" w:cs="Arial" w:eastAsia="Arial" w:hAnsi="Arial"/>
                <w:sz w:val="18"/>
                <w:szCs w:val="18"/>
                <w:color w:val="auto"/>
                <w:w w:val="90"/>
              </w:rPr>
              <w:t>1.86%</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360" w:type="dxa"/>
            <w:vAlign w:val="bottom"/>
            <w:gridSpan w:val="2"/>
          </w:tcPr>
          <w:p>
            <w:pPr>
              <w:ind w:left="20"/>
              <w:spacing w:after="0"/>
              <w:rPr>
                <w:sz w:val="20"/>
                <w:szCs w:val="20"/>
                <w:color w:val="auto"/>
              </w:rPr>
            </w:pPr>
            <w:r>
              <w:rPr>
                <w:rFonts w:ascii="Arial" w:cs="Arial" w:eastAsia="Arial" w:hAnsi="Arial"/>
                <w:sz w:val="18"/>
                <w:szCs w:val="18"/>
                <w:color w:val="auto"/>
              </w:rPr>
              <w:t>Dividend yield</w:t>
            </w:r>
          </w:p>
        </w:tc>
        <w:tc>
          <w:tcPr>
            <w:tcW w:w="1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20" w:type="dxa"/>
            <w:vAlign w:val="bottom"/>
            <w:gridSpan w:val="2"/>
          </w:tcPr>
          <w:p>
            <w:pPr>
              <w:jc w:val="center"/>
              <w:ind w:right="120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69"/>
        </w:trPr>
        <w:tc>
          <w:tcPr>
            <w:tcW w:w="100" w:type="dxa"/>
            <w:vAlign w:val="bottom"/>
          </w:tcPr>
          <w:p>
            <w:pPr>
              <w:spacing w:after="0"/>
              <w:rPr>
                <w:sz w:val="23"/>
                <w:szCs w:val="23"/>
                <w:color w:val="auto"/>
              </w:rPr>
            </w:pPr>
          </w:p>
        </w:tc>
        <w:tc>
          <w:tcPr>
            <w:tcW w:w="5260" w:type="dxa"/>
            <w:vAlign w:val="bottom"/>
          </w:tcPr>
          <w:p>
            <w:pPr>
              <w:spacing w:after="0"/>
              <w:rPr>
                <w:sz w:val="23"/>
                <w:szCs w:val="23"/>
                <w:color w:val="auto"/>
              </w:rPr>
            </w:pPr>
          </w:p>
        </w:tc>
        <w:tc>
          <w:tcPr>
            <w:tcW w:w="1880" w:type="dxa"/>
            <w:vAlign w:val="bottom"/>
            <w:vMerge w:val="restart"/>
          </w:tcPr>
          <w:p>
            <w:pPr>
              <w:jc w:val="right"/>
              <w:ind w:right="295"/>
              <w:spacing w:after="0"/>
              <w:rPr>
                <w:sz w:val="20"/>
                <w:szCs w:val="20"/>
                <w:color w:val="auto"/>
              </w:rPr>
            </w:pPr>
            <w:r>
              <w:rPr>
                <w:rFonts w:ascii="Arial" w:cs="Arial" w:eastAsia="Arial" w:hAnsi="Arial"/>
                <w:sz w:val="14"/>
                <w:szCs w:val="14"/>
                <w:b w:val="1"/>
                <w:bCs w:val="1"/>
                <w:color w:val="auto"/>
              </w:rPr>
              <w:t>Number of Shares</w:t>
            </w:r>
          </w:p>
        </w:tc>
        <w:tc>
          <w:tcPr>
            <w:tcW w:w="100" w:type="dxa"/>
            <w:vAlign w:val="bottom"/>
          </w:tcPr>
          <w:p>
            <w:pPr>
              <w:spacing w:after="0"/>
              <w:rPr>
                <w:sz w:val="23"/>
                <w:szCs w:val="23"/>
                <w:color w:val="auto"/>
              </w:rPr>
            </w:pPr>
          </w:p>
        </w:tc>
        <w:tc>
          <w:tcPr>
            <w:tcW w:w="196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91"/>
              </w:rPr>
              <w:t>Weighted-Average Exercise</w:t>
            </w:r>
          </w:p>
        </w:tc>
        <w:tc>
          <w:tcPr>
            <w:tcW w:w="120" w:type="dxa"/>
            <w:vAlign w:val="bottom"/>
          </w:tcPr>
          <w:p>
            <w:pPr>
              <w:spacing w:after="0"/>
              <w:rPr>
                <w:sz w:val="23"/>
                <w:szCs w:val="23"/>
                <w:color w:val="auto"/>
              </w:rPr>
            </w:pPr>
          </w:p>
        </w:tc>
        <w:tc>
          <w:tcPr>
            <w:tcW w:w="18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Weighted-Average Grant</w:t>
            </w:r>
          </w:p>
        </w:tc>
        <w:tc>
          <w:tcPr>
            <w:tcW w:w="0" w:type="dxa"/>
            <w:vAlign w:val="bottom"/>
          </w:tcPr>
          <w:p>
            <w:pPr>
              <w:spacing w:after="0"/>
              <w:rPr>
                <w:sz w:val="1"/>
                <w:szCs w:val="1"/>
                <w:color w:val="auto"/>
              </w:rPr>
            </w:pPr>
          </w:p>
        </w:tc>
      </w:tr>
      <w:tr>
        <w:trPr>
          <w:trHeight w:val="188"/>
        </w:trPr>
        <w:tc>
          <w:tcPr>
            <w:tcW w:w="100" w:type="dxa"/>
            <w:vAlign w:val="bottom"/>
          </w:tcPr>
          <w:p>
            <w:pPr>
              <w:spacing w:after="0"/>
              <w:rPr>
                <w:sz w:val="16"/>
                <w:szCs w:val="16"/>
                <w:color w:val="auto"/>
              </w:rPr>
            </w:pPr>
          </w:p>
        </w:tc>
        <w:tc>
          <w:tcPr>
            <w:tcW w:w="5260" w:type="dxa"/>
            <w:vAlign w:val="bottom"/>
          </w:tcPr>
          <w:p>
            <w:pPr>
              <w:spacing w:after="0"/>
              <w:rPr>
                <w:sz w:val="16"/>
                <w:szCs w:val="16"/>
                <w:color w:val="auto"/>
              </w:rPr>
            </w:pPr>
          </w:p>
        </w:tc>
        <w:tc>
          <w:tcPr>
            <w:tcW w:w="18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540" w:type="dxa"/>
            <w:vAlign w:val="bottom"/>
            <w:gridSpan w:val="4"/>
          </w:tcPr>
          <w:p>
            <w:pPr>
              <w:jc w:val="center"/>
              <w:ind w:right="540"/>
              <w:spacing w:after="0"/>
              <w:rPr>
                <w:sz w:val="20"/>
                <w:szCs w:val="20"/>
                <w:color w:val="auto"/>
              </w:rPr>
            </w:pPr>
            <w:r>
              <w:rPr>
                <w:rFonts w:ascii="Arial" w:cs="Arial" w:eastAsia="Arial" w:hAnsi="Arial"/>
                <w:sz w:val="14"/>
                <w:szCs w:val="14"/>
                <w:b w:val="1"/>
                <w:bCs w:val="1"/>
                <w:color w:val="auto"/>
                <w:w w:val="93"/>
              </w:rPr>
              <w:t>Price</w:t>
            </w:r>
          </w:p>
        </w:tc>
        <w:tc>
          <w:tcPr>
            <w:tcW w:w="120" w:type="dxa"/>
            <w:vAlign w:val="bottom"/>
          </w:tcPr>
          <w:p>
            <w:pPr>
              <w:spacing w:after="0"/>
              <w:rPr>
                <w:sz w:val="16"/>
                <w:szCs w:val="16"/>
                <w:color w:val="auto"/>
              </w:rPr>
            </w:pPr>
          </w:p>
        </w:tc>
        <w:tc>
          <w:tcPr>
            <w:tcW w:w="18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Date Fair Value</w:t>
            </w:r>
          </w:p>
        </w:tc>
        <w:tc>
          <w:tcPr>
            <w:tcW w:w="0" w:type="dxa"/>
            <w:vAlign w:val="bottom"/>
          </w:tcPr>
          <w:p>
            <w:pPr>
              <w:spacing w:after="0"/>
              <w:rPr>
                <w:sz w:val="1"/>
                <w:szCs w:val="1"/>
                <w:color w:val="auto"/>
              </w:rPr>
            </w:pPr>
          </w:p>
        </w:tc>
      </w:tr>
      <w:tr>
        <w:trPr>
          <w:trHeight w:val="224"/>
        </w:trPr>
        <w:tc>
          <w:tcPr>
            <w:tcW w:w="100" w:type="dxa"/>
            <w:vAlign w:val="bottom"/>
          </w:tcPr>
          <w:p>
            <w:pPr>
              <w:spacing w:after="0"/>
              <w:rPr>
                <w:sz w:val="19"/>
                <w:szCs w:val="19"/>
                <w:color w:val="auto"/>
              </w:rPr>
            </w:pPr>
          </w:p>
        </w:tc>
        <w:tc>
          <w:tcPr>
            <w:tcW w:w="52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as of December 31, 2019</w:t>
            </w:r>
          </w:p>
        </w:tc>
        <w:tc>
          <w:tcPr>
            <w:tcW w:w="1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1,155,000</w:t>
            </w: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39"/>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6.57</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100" w:type="dxa"/>
            <w:vAlign w:val="bottom"/>
          </w:tcPr>
          <w:p>
            <w:pPr>
              <w:spacing w:after="0"/>
              <w:rPr>
                <w:sz w:val="21"/>
                <w:szCs w:val="21"/>
                <w:color w:val="auto"/>
              </w:rPr>
            </w:pPr>
          </w:p>
        </w:tc>
        <w:tc>
          <w:tcPr>
            <w:tcW w:w="526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Cancelled</w:t>
            </w: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(1,155,000)</w:t>
            </w:r>
          </w:p>
        </w:tc>
        <w:tc>
          <w:tcPr>
            <w:tcW w:w="520" w:type="dxa"/>
            <w:vAlign w:val="bottom"/>
            <w:tcBorders>
              <w:bottom w:val="single" w:sz="8" w:color="CCEEFF"/>
            </w:tcBorders>
            <w:gridSpan w:val="2"/>
          </w:tcPr>
          <w:p>
            <w:pPr>
              <w:jc w:val="right"/>
              <w:ind w:right="239"/>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gridSpan w:val="3"/>
          </w:tcPr>
          <w:p>
            <w:pPr>
              <w:jc w:val="right"/>
              <w:spacing w:after="0"/>
              <w:rPr>
                <w:sz w:val="20"/>
                <w:szCs w:val="20"/>
                <w:color w:val="auto"/>
              </w:rPr>
            </w:pPr>
            <w:r>
              <w:rPr>
                <w:rFonts w:ascii="Arial" w:cs="Arial" w:eastAsia="Arial" w:hAnsi="Arial"/>
                <w:sz w:val="18"/>
                <w:szCs w:val="18"/>
                <w:color w:val="auto"/>
              </w:rPr>
              <w:t>6.57</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79"/>
              </w:rPr>
              <w:t>$</w:t>
            </w:r>
          </w:p>
        </w:tc>
        <w:tc>
          <w:tcPr>
            <w:tcW w:w="17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2.57</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100" w:type="dxa"/>
            <w:vAlign w:val="bottom"/>
          </w:tcPr>
          <w:p>
            <w:pPr>
              <w:spacing w:after="0"/>
              <w:rPr>
                <w:sz w:val="19"/>
                <w:szCs w:val="19"/>
                <w:color w:val="auto"/>
              </w:rPr>
            </w:pPr>
          </w:p>
        </w:tc>
        <w:tc>
          <w:tcPr>
            <w:tcW w:w="5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as of March 31, 2021 and December 31, 2020</w:t>
            </w: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-1199515</wp:posOffset>
            </wp:positionV>
            <wp:extent cx="5151755" cy="15430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151755" cy="154305"/>
                    </a:xfrm>
                    <a:prstGeom prst="rect">
                      <a:avLst/>
                    </a:prstGeom>
                    <a:noFill/>
                  </pic:spPr>
                </pic:pic>
              </a:graphicData>
            </a:graphic>
          </wp:anchor>
        </w:drawing>
        <w:drawing>
          <wp:anchor simplePos="0" relativeHeight="251657728" behindDoc="1" locked="0" layoutInCell="0" allowOverlap="1">
            <wp:simplePos x="0" y="0"/>
            <wp:positionH relativeFrom="column">
              <wp:posOffset>64770</wp:posOffset>
            </wp:positionH>
            <wp:positionV relativeFrom="paragraph">
              <wp:posOffset>-462280</wp:posOffset>
            </wp:positionV>
            <wp:extent cx="334327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343275" cy="8890"/>
                    </a:xfrm>
                    <a:prstGeom prst="rect">
                      <a:avLst/>
                    </a:prstGeom>
                    <a:noFill/>
                  </pic:spPr>
                </pic:pic>
              </a:graphicData>
            </a:graphic>
          </wp:anchor>
        </w:drawing>
      </w:r>
    </w:p>
    <w:p>
      <w:pPr>
        <w:spacing w:after="0" w:line="30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For the three months ended March 31, 2021, the amount of cash received from the exercise of stock options was $0. As of March 31, 2021, there was $0 of total unrecognized compensation cost related to non-vested stock options granted under the 2019 Equity Incentive Plan, as the options were cancelled effective April 28, 2020.</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Amended and Restated 2019 Equity Incentive Plan</w:t>
      </w:r>
    </w:p>
    <w:p>
      <w:pPr>
        <w:spacing w:after="0" w:line="256"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On June 19, 2020, our Board of Directors adopted, and our stockholders approved, an amendment and restatement of the Company’s 2019 Equity Incentive Plan (the “Amended &amp; Restated 2019 Equity Incentive Plan”) under which the Company is authorized to grant equity awards for up to 1,627,967 shares of its common stock. In accordance with the exemptive relief granted to the Company by the SEC on June 16, 2020 with respect to the Amended &amp; Restated 2019 Equity Incentive Plan, the Company is generally authorized to (i) issue restricted shares as part of the compensation package for certain of its employees, officers and all directors, including non-employee directors (collectively, the “Participants”), (ii) issue options to acquire shares of its common stock (“Options”) to certain employees, officers and employee directors as a part of such compensation packages, (iii) withhold shares of the Company’s common stock or purchase shares of common stock from the Participants to satisfy tax withholding obligations relating to the vesting of restricted shares or the exercise of Options granted to the certain Participants pursuant to the Amended &amp; Restated 2019 Equity Incentive Plan, and (iv) permit the Participants to pay the exercise price of Options granted to them with shares of the Company’s common stock.</w:t>
      </w:r>
    </w:p>
    <w:p>
      <w:pPr>
        <w:spacing w:after="0" w:line="19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Under the Amended &amp; Restated 2019 Equity Incentive Plan, each non-employee director will receive an annual grant of $50,000 worth of restricted shares of common stock (based on the closing stock price of the common stock on the grant date). Each grant of $50,000 in restricted shares will vest, in full, if the non-employee director is in continuous service as a director of</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240"/>
          </w:cols>
          <w:pgMar w:left="320" w:top="122" w:right="339" w:bottom="1440" w:gutter="0" w:footer="0" w:header="0"/>
        </w:sectPr>
      </w:pPr>
    </w:p>
    <w:bookmarkStart w:id="54" w:name="page55"/>
    <w:bookmarkEnd w:id="5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SURO CAPITAL CORP. AND SUBSIDIARIES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2021</w:t>
      </w:r>
    </w:p>
    <w:p>
      <w:pPr>
        <w:spacing w:after="0" w:line="40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through the anniversary of such grant (or, if earlier, the annual meeting of the Company’s stockholders that is closest to the anniversary of such grant).</w:t>
      </w:r>
    </w:p>
    <w:p>
      <w:pPr>
        <w:spacing w:after="0" w:line="197"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Other than such restricted shares granted to non-employee directors, the Company’s Compensation Committee may determine the time or times at which Options and restricted shares granted to other Participants will vest or become payable or exercisable, as applicable. The exercise price of each Option will not be less than 100% of the fair market value of the Company’s common stock on the date the option is granted. However, any optionee who owns more than 10% of the combined voting power of all classes of the Company’s outstanding common stock (a “10% Stockholder”), will not be eligible for the grant of an incentive stock option unless the exercise price of the incentive stock option is at least 110% of the fair market value of the Company’s common stock on the date of grant. Generally, no Option will be exercisable after the expiration of ten years from the date of grant. In the case of an Option granted to a 10% Stockholder, the term of an incentive stock option will be for no more than five years from the date of grant.</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During the three months ended March 31, 2021, the Company granted 10,500 restricted shares to non-executive employees pursuant to the Amended</w:t>
      </w:r>
    </w:p>
    <w:p>
      <w:pPr>
        <w:spacing w:after="0" w:line="35" w:lineRule="exact"/>
        <w:rPr>
          <w:sz w:val="20"/>
          <w:szCs w:val="20"/>
          <w:color w:val="auto"/>
        </w:rPr>
      </w:pPr>
    </w:p>
    <w:p>
      <w:pPr>
        <w:jc w:val="both"/>
        <w:ind w:firstLine="8"/>
        <w:spacing w:after="0" w:line="252" w:lineRule="auto"/>
        <w:tabs>
          <w:tab w:leader="none" w:pos="189" w:val="left"/>
        </w:tabs>
        <w:numPr>
          <w:ilvl w:val="0"/>
          <w:numId w:val="34"/>
        </w:numPr>
        <w:rPr>
          <w:rFonts w:ascii="Arial" w:cs="Arial" w:eastAsia="Arial" w:hAnsi="Arial"/>
          <w:sz w:val="17"/>
          <w:szCs w:val="17"/>
          <w:color w:val="auto"/>
        </w:rPr>
      </w:pPr>
      <w:r>
        <w:rPr>
          <w:rFonts w:ascii="Arial" w:cs="Arial" w:eastAsia="Arial" w:hAnsi="Arial"/>
          <w:sz w:val="17"/>
          <w:szCs w:val="17"/>
          <w:color w:val="auto"/>
        </w:rPr>
        <w:t>Restated 2019 Equity Incentive Plan. These restricted shares have a vesting period of 1 year. The Company also granted 182,885 restricted shares to the Company's officers pursuant to the Amended &amp; Restated 2019 Equity Incentive Plan. These restricted shares have a vesting period of 3 years with 1/3 vesting on February 10, 2022, 1/3 vesting on February 10, 2023, and the remaining 1/3 vesting on February 10, 2024. The Company determined that the fair values, based on the grant date close price of such restricted shares granted under the Amended &amp; Restated 2019 Equity Incentive Plan during the three months ended March 31, 2021 were approximately $2,878,182 in the aggregate. As of March 31, 2021, there were approximately $2,929,380 of total unrecognized compensation costs related to the restricted share grants. Compensation expense associated with the restricted shares is recognized on a quarterly basis over the respective vesting periods.</w:t>
      </w:r>
    </w:p>
    <w:p>
      <w:pPr>
        <w:spacing w:after="0" w:line="208"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The following table summarizes the activities for the Company’s restricted share grants for the three months ended March 31, 2021 under the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Amended &amp; Restated 2019 Equity Incentive Plan:</w:t>
      </w:r>
    </w:p>
    <w:p>
      <w:pPr>
        <w:spacing w:after="0" w:line="12" w:lineRule="exact"/>
        <w:rPr>
          <w:sz w:val="20"/>
          <w:szCs w:val="20"/>
          <w:color w:val="auto"/>
        </w:rPr>
      </w:pPr>
    </w:p>
    <w:tbl>
      <w:tblPr>
        <w:tblLayout w:type="fixed"/>
        <w:tblInd w:w="1640" w:type="dxa"/>
        <w:tblCellMar>
          <w:top w:w="0" w:type="dxa"/>
          <w:left w:w="0" w:type="dxa"/>
          <w:bottom w:w="0" w:type="dxa"/>
          <w:right w:w="0" w:type="dxa"/>
        </w:tblCellMar>
      </w:tblPr>
      <w:tr>
        <w:trPr>
          <w:trHeight w:val="192"/>
        </w:trPr>
        <w:tc>
          <w:tcPr>
            <w:tcW w:w="5340" w:type="dxa"/>
            <w:vAlign w:val="bottom"/>
            <w:tcBorders>
              <w:bottom w:val="single" w:sz="8" w:color="CCEEFF"/>
            </w:tcBorders>
          </w:tcPr>
          <w:p>
            <w:pPr>
              <w:spacing w:after="0"/>
              <w:rPr>
                <w:sz w:val="16"/>
                <w:szCs w:val="16"/>
                <w:color w:val="auto"/>
              </w:rPr>
            </w:pPr>
          </w:p>
        </w:tc>
        <w:tc>
          <w:tcPr>
            <w:tcW w:w="264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Number of Restricted Shares</w:t>
            </w:r>
          </w:p>
        </w:tc>
      </w:tr>
      <w:tr>
        <w:trPr>
          <w:trHeight w:val="229"/>
        </w:trPr>
        <w:tc>
          <w:tcPr>
            <w:tcW w:w="5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as of December 31, 2020</w:t>
            </w:r>
          </w:p>
        </w:tc>
        <w:tc>
          <w:tcPr>
            <w:tcW w:w="2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21,760</w:t>
            </w:r>
          </w:p>
        </w:tc>
      </w:tr>
      <w:tr>
        <w:trPr>
          <w:trHeight w:val="230"/>
        </w:trPr>
        <w:tc>
          <w:tcPr>
            <w:tcW w:w="5340" w:type="dxa"/>
            <w:vAlign w:val="bottom"/>
          </w:tcPr>
          <w:p>
            <w:pPr>
              <w:ind w:left="140"/>
              <w:spacing w:after="0"/>
              <w:rPr>
                <w:sz w:val="20"/>
                <w:szCs w:val="20"/>
                <w:color w:val="auto"/>
              </w:rPr>
            </w:pPr>
            <w:r>
              <w:rPr>
                <w:rFonts w:ascii="Arial" w:cs="Arial" w:eastAsia="Arial" w:hAnsi="Arial"/>
                <w:sz w:val="18"/>
                <w:szCs w:val="18"/>
                <w:color w:val="auto"/>
              </w:rPr>
              <w:t>Granted</w:t>
            </w:r>
          </w:p>
        </w:tc>
        <w:tc>
          <w:tcPr>
            <w:tcW w:w="2640" w:type="dxa"/>
            <w:vAlign w:val="bottom"/>
          </w:tcPr>
          <w:p>
            <w:pPr>
              <w:jc w:val="right"/>
              <w:spacing w:after="0"/>
              <w:rPr>
                <w:sz w:val="20"/>
                <w:szCs w:val="20"/>
                <w:color w:val="auto"/>
              </w:rPr>
            </w:pPr>
            <w:r>
              <w:rPr>
                <w:rFonts w:ascii="Arial" w:cs="Arial" w:eastAsia="Arial" w:hAnsi="Arial"/>
                <w:sz w:val="18"/>
                <w:szCs w:val="18"/>
                <w:color w:val="auto"/>
              </w:rPr>
              <w:t>193,385</w:t>
            </w:r>
          </w:p>
        </w:tc>
      </w:tr>
      <w:tr>
        <w:trPr>
          <w:trHeight w:val="243"/>
        </w:trPr>
        <w:tc>
          <w:tcPr>
            <w:tcW w:w="53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Exercised</w:t>
            </w:r>
          </w:p>
        </w:tc>
        <w:tc>
          <w:tcPr>
            <w:tcW w:w="2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340" w:type="dxa"/>
            <w:vAlign w:val="bottom"/>
          </w:tcPr>
          <w:p>
            <w:pPr>
              <w:ind w:left="140"/>
              <w:spacing w:after="0"/>
              <w:rPr>
                <w:sz w:val="20"/>
                <w:szCs w:val="20"/>
                <w:color w:val="auto"/>
              </w:rPr>
            </w:pPr>
            <w:r>
              <w:rPr>
                <w:rFonts w:ascii="Arial" w:cs="Arial" w:eastAsia="Arial" w:hAnsi="Arial"/>
                <w:sz w:val="18"/>
                <w:szCs w:val="18"/>
                <w:color w:val="auto"/>
              </w:rPr>
              <w:t>Forfeited</w:t>
            </w:r>
          </w:p>
        </w:tc>
        <w:tc>
          <w:tcPr>
            <w:tcW w:w="26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53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Expired</w:t>
            </w:r>
          </w:p>
        </w:tc>
        <w:tc>
          <w:tcPr>
            <w:tcW w:w="2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5340" w:type="dxa"/>
            <w:vAlign w:val="bottom"/>
          </w:tcPr>
          <w:p>
            <w:pPr>
              <w:ind w:left="20"/>
              <w:spacing w:after="0"/>
              <w:rPr>
                <w:sz w:val="20"/>
                <w:szCs w:val="20"/>
                <w:color w:val="auto"/>
              </w:rPr>
            </w:pPr>
            <w:r>
              <w:rPr>
                <w:rFonts w:ascii="Arial" w:cs="Arial" w:eastAsia="Arial" w:hAnsi="Arial"/>
                <w:sz w:val="18"/>
                <w:szCs w:val="18"/>
                <w:color w:val="auto"/>
              </w:rPr>
              <w:t>Outstanding as of March 31, 2021</w:t>
            </w:r>
          </w:p>
        </w:tc>
        <w:tc>
          <w:tcPr>
            <w:tcW w:w="2640" w:type="dxa"/>
            <w:vAlign w:val="bottom"/>
          </w:tcPr>
          <w:p>
            <w:pPr>
              <w:jc w:val="right"/>
              <w:spacing w:after="0"/>
              <w:rPr>
                <w:sz w:val="20"/>
                <w:szCs w:val="20"/>
                <w:color w:val="auto"/>
              </w:rPr>
            </w:pPr>
            <w:r>
              <w:rPr>
                <w:rFonts w:ascii="Arial" w:cs="Arial" w:eastAsia="Arial" w:hAnsi="Arial"/>
                <w:sz w:val="18"/>
                <w:szCs w:val="18"/>
                <w:color w:val="auto"/>
              </w:rPr>
              <w:t>215,145</w:t>
            </w:r>
          </w:p>
        </w:tc>
      </w:tr>
      <w:tr>
        <w:trPr>
          <w:trHeight w:val="243"/>
        </w:trPr>
        <w:tc>
          <w:tcPr>
            <w:tcW w:w="5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 and Exercisable as of March 31, 2021</w:t>
            </w:r>
          </w:p>
        </w:tc>
        <w:tc>
          <w:tcPr>
            <w:tcW w:w="2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1042035</wp:posOffset>
            </wp:positionH>
            <wp:positionV relativeFrom="paragraph">
              <wp:posOffset>-307975</wp:posOffset>
            </wp:positionV>
            <wp:extent cx="3385820" cy="16319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385820" cy="163195"/>
                    </a:xfrm>
                    <a:prstGeom prst="rect">
                      <a:avLst/>
                    </a:prstGeom>
                    <a:noFill/>
                  </pic:spPr>
                </pic:pic>
              </a:graphicData>
            </a:graphic>
          </wp:anchor>
        </w:drawing>
        <w:drawing>
          <wp:anchor simplePos="0" relativeHeight="251657728" behindDoc="1" locked="0" layoutInCell="0" allowOverlap="1">
            <wp:simplePos x="0" y="0"/>
            <wp:positionH relativeFrom="column">
              <wp:posOffset>1042035</wp:posOffset>
            </wp:positionH>
            <wp:positionV relativeFrom="paragraph">
              <wp:posOffset>-608330</wp:posOffset>
            </wp:positionV>
            <wp:extent cx="3385820" cy="15430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385820" cy="154305"/>
                    </a:xfrm>
                    <a:prstGeom prst="rect">
                      <a:avLst/>
                    </a:prstGeom>
                    <a:noFill/>
                  </pic:spPr>
                </pic:pic>
              </a:graphicData>
            </a:graphic>
          </wp:anchor>
        </w:drawing>
        <w:drawing>
          <wp:anchor simplePos="0" relativeHeight="251657728" behindDoc="1" locked="0" layoutInCell="0" allowOverlap="1">
            <wp:simplePos x="0" y="0"/>
            <wp:positionH relativeFrom="column">
              <wp:posOffset>1042035</wp:posOffset>
            </wp:positionH>
            <wp:positionV relativeFrom="paragraph">
              <wp:posOffset>-908050</wp:posOffset>
            </wp:positionV>
            <wp:extent cx="3385820" cy="15430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385820" cy="154305"/>
                    </a:xfrm>
                    <a:prstGeom prst="rect">
                      <a:avLst/>
                    </a:prstGeom>
                    <a:noFill/>
                  </pic:spPr>
                </pic:pic>
              </a:graphicData>
            </a:graphic>
          </wp:anchor>
        </w:drawing>
        <w:drawing>
          <wp:anchor simplePos="0" relativeHeight="251657728" behindDoc="1" locked="0" layoutInCell="0" allowOverlap="1">
            <wp:simplePos x="0" y="0"/>
            <wp:positionH relativeFrom="column">
              <wp:posOffset>1042035</wp:posOffset>
            </wp:positionH>
            <wp:positionV relativeFrom="paragraph">
              <wp:posOffset>-1062355</wp:posOffset>
            </wp:positionV>
            <wp:extent cx="33858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3858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240"/>
          </w:cols>
          <w:pgMar w:left="320" w:top="122" w:right="339" w:bottom="1440" w:gutter="0" w:footer="0" w:header="0"/>
        </w:sectPr>
      </w:pPr>
    </w:p>
    <w:bookmarkStart w:id="55" w:name="page56"/>
    <w:bookmarkEnd w:id="5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SURO CAPITAL CORP. AND SUBSIDIARIES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2021</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12—SUBSEQUENT EVENTS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Portfolio Activity</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From April 1, 2021 through May 5, 2021, the Company exited or received proceeds from the following investments: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160" w:type="dxa"/>
            <w:vAlign w:val="bottom"/>
            <w:gridSpan w:val="2"/>
          </w:tcPr>
          <w:p>
            <w:pPr>
              <w:ind w:left="20"/>
              <w:spacing w:after="0"/>
              <w:rPr>
                <w:sz w:val="20"/>
                <w:szCs w:val="20"/>
                <w:color w:val="auto"/>
              </w:rPr>
            </w:pPr>
            <w:r>
              <w:rPr>
                <w:rFonts w:ascii="Arial" w:cs="Arial" w:eastAsia="Arial" w:hAnsi="Arial"/>
                <w:sz w:val="16"/>
                <w:szCs w:val="16"/>
                <w:b w:val="1"/>
                <w:bCs w:val="1"/>
                <w:color w:val="auto"/>
              </w:rPr>
              <w:t>Portfolio Company</w:t>
            </w:r>
          </w:p>
        </w:tc>
        <w:tc>
          <w:tcPr>
            <w:tcW w:w="1560" w:type="dxa"/>
            <w:vAlign w:val="bottom"/>
          </w:tcPr>
          <w:p>
            <w:pPr>
              <w:jc w:val="center"/>
              <w:spacing w:after="0"/>
              <w:rPr>
                <w:sz w:val="20"/>
                <w:szCs w:val="20"/>
                <w:color w:val="auto"/>
              </w:rPr>
            </w:pPr>
            <w:r>
              <w:rPr>
                <w:rFonts w:ascii="Arial" w:cs="Arial" w:eastAsia="Arial" w:hAnsi="Arial"/>
                <w:sz w:val="16"/>
                <w:szCs w:val="16"/>
                <w:b w:val="1"/>
                <w:bCs w:val="1"/>
                <w:color w:val="auto"/>
                <w:w w:val="92"/>
              </w:rPr>
              <w:t>Transaction Date</w:t>
            </w:r>
          </w:p>
        </w:tc>
        <w:tc>
          <w:tcPr>
            <w:tcW w:w="260" w:type="dxa"/>
            <w:vAlign w:val="bottom"/>
          </w:tcPr>
          <w:p>
            <w:pPr>
              <w:spacing w:after="0"/>
              <w:rPr>
                <w:sz w:val="18"/>
                <w:szCs w:val="18"/>
                <w:color w:val="auto"/>
              </w:rPr>
            </w:pPr>
          </w:p>
        </w:tc>
        <w:tc>
          <w:tcPr>
            <w:tcW w:w="1560" w:type="dxa"/>
            <w:vAlign w:val="bottom"/>
            <w:gridSpan w:val="2"/>
          </w:tcPr>
          <w:p>
            <w:pPr>
              <w:ind w:left="160"/>
              <w:spacing w:after="0"/>
              <w:rPr>
                <w:sz w:val="20"/>
                <w:szCs w:val="20"/>
                <w:color w:val="auto"/>
              </w:rPr>
            </w:pPr>
            <w:r>
              <w:rPr>
                <w:rFonts w:ascii="Arial" w:cs="Arial" w:eastAsia="Arial" w:hAnsi="Arial"/>
                <w:sz w:val="16"/>
                <w:szCs w:val="16"/>
                <w:b w:val="1"/>
                <w:bCs w:val="1"/>
                <w:color w:val="auto"/>
              </w:rPr>
              <w:t>Net Proceeds</w:t>
            </w:r>
          </w:p>
        </w:tc>
        <w:tc>
          <w:tcPr>
            <w:tcW w:w="220" w:type="dxa"/>
            <w:vAlign w:val="bottom"/>
          </w:tcPr>
          <w:p>
            <w:pPr>
              <w:spacing w:after="0"/>
              <w:rPr>
                <w:sz w:val="18"/>
                <w:szCs w:val="18"/>
                <w:color w:val="auto"/>
              </w:rPr>
            </w:pPr>
          </w:p>
        </w:tc>
        <w:tc>
          <w:tcPr>
            <w:tcW w:w="1480" w:type="dxa"/>
            <w:vAlign w:val="bottom"/>
          </w:tcPr>
          <w:p>
            <w:pPr>
              <w:jc w:val="right"/>
              <w:ind w:right="279"/>
              <w:spacing w:after="0"/>
              <w:rPr>
                <w:sz w:val="20"/>
                <w:szCs w:val="20"/>
                <w:color w:val="auto"/>
              </w:rPr>
            </w:pPr>
            <w:r>
              <w:rPr>
                <w:rFonts w:ascii="Arial" w:cs="Arial" w:eastAsia="Arial" w:hAnsi="Arial"/>
                <w:sz w:val="16"/>
                <w:szCs w:val="16"/>
                <w:b w:val="1"/>
                <w:bCs w:val="1"/>
                <w:color w:val="auto"/>
              </w:rPr>
              <w:t>Realized Gain</w:t>
            </w:r>
          </w:p>
        </w:tc>
      </w:tr>
      <w:tr>
        <w:trPr>
          <w:trHeight w:val="212"/>
        </w:trPr>
        <w:tc>
          <w:tcPr>
            <w:tcW w:w="6040" w:type="dxa"/>
            <w:vAlign w:val="bottom"/>
            <w:tcBorders>
              <w:top w:val="single" w:sz="8" w:color="auto"/>
            </w:tcBorders>
            <w:shd w:val="clear" w:color="auto" w:fill="CCEEFF"/>
          </w:tcPr>
          <w:p>
            <w:pPr>
              <w:ind w:left="20"/>
              <w:spacing w:after="0" w:line="213" w:lineRule="exact"/>
              <w:rPr>
                <w:sz w:val="20"/>
                <w:szCs w:val="20"/>
                <w:color w:val="auto"/>
              </w:rPr>
            </w:pPr>
            <w:r>
              <w:rPr>
                <w:rFonts w:ascii="Arial" w:cs="Arial" w:eastAsia="Arial" w:hAnsi="Arial"/>
                <w:sz w:val="16"/>
                <w:szCs w:val="16"/>
                <w:color w:val="auto"/>
              </w:rPr>
              <w:t>Residential Homes for Rent, LLC (d/b/a Second Avenue)</w:t>
            </w:r>
            <w:r>
              <w:rPr>
                <w:rFonts w:ascii="Arial" w:cs="Arial" w:eastAsia="Arial" w:hAnsi="Arial"/>
                <w:sz w:val="21"/>
                <w:szCs w:val="21"/>
                <w:color w:val="auto"/>
                <w:vertAlign w:val="superscript"/>
              </w:rPr>
              <w:t>(1)</w:t>
            </w:r>
          </w:p>
        </w:tc>
        <w:tc>
          <w:tcPr>
            <w:tcW w:w="120" w:type="dxa"/>
            <w:vAlign w:val="bottom"/>
            <w:tcBorders>
              <w:top w:val="single" w:sz="8" w:color="CCEEFF"/>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89"/>
              </w:rPr>
              <w:t>4/23/2021</w:t>
            </w: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118,854</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6160" w:type="dxa"/>
            <w:vAlign w:val="bottom"/>
            <w:tcBorders>
              <w:bottom w:val="single" w:sz="8" w:color="CCEEFF"/>
            </w:tcBorders>
            <w:gridSpan w:val="2"/>
          </w:tcPr>
          <w:p>
            <w:pPr>
              <w:ind w:left="20"/>
              <w:spacing w:after="0" w:line="216" w:lineRule="exact"/>
              <w:rPr>
                <w:sz w:val="20"/>
                <w:szCs w:val="20"/>
                <w:color w:val="auto"/>
              </w:rPr>
            </w:pPr>
            <w:r>
              <w:rPr>
                <w:rFonts w:ascii="Arial" w:cs="Arial" w:eastAsia="Arial" w:hAnsi="Arial"/>
                <w:sz w:val="16"/>
                <w:szCs w:val="16"/>
                <w:color w:val="auto"/>
              </w:rPr>
              <w:t>SP Holdings Group, Inc.</w:t>
            </w:r>
            <w:r>
              <w:rPr>
                <w:rFonts w:ascii="Arial" w:cs="Arial" w:eastAsia="Arial" w:hAnsi="Arial"/>
                <w:sz w:val="21"/>
                <w:szCs w:val="21"/>
                <w:color w:val="auto"/>
                <w:vertAlign w:val="superscript"/>
              </w:rPr>
              <w:t>(2)</w:t>
            </w:r>
          </w:p>
        </w:tc>
        <w:tc>
          <w:tcPr>
            <w:tcW w:w="1560" w:type="dxa"/>
            <w:vAlign w:val="bottom"/>
            <w:tcBorders>
              <w:bottom w:val="single" w:sz="8" w:color="CCEEFF"/>
            </w:tcBorders>
          </w:tcPr>
          <w:p>
            <w:pPr>
              <w:jc w:val="center"/>
              <w:spacing w:after="0"/>
              <w:rPr>
                <w:sz w:val="20"/>
                <w:szCs w:val="20"/>
                <w:color w:val="auto"/>
              </w:rPr>
            </w:pPr>
            <w:r>
              <w:rPr>
                <w:rFonts w:ascii="Arial" w:cs="Arial" w:eastAsia="Arial" w:hAnsi="Arial"/>
                <w:sz w:val="16"/>
                <w:szCs w:val="16"/>
                <w:color w:val="auto"/>
                <w:w w:val="89"/>
              </w:rPr>
              <w:t>4/29/2021</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490,246</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490,246</w:t>
            </w:r>
          </w:p>
        </w:tc>
      </w:tr>
      <w:tr>
        <w:trPr>
          <w:trHeight w:val="232"/>
        </w:trPr>
        <w:tc>
          <w:tcPr>
            <w:tcW w:w="60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56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609,100</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490,246</w:t>
            </w:r>
          </w:p>
        </w:tc>
      </w:tr>
      <w:tr>
        <w:trPr>
          <w:trHeight w:val="20"/>
        </w:trPr>
        <w:tc>
          <w:tcPr>
            <w:tcW w:w="60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5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_________________________________</w:t>
      </w:r>
    </w:p>
    <w:p>
      <w:pPr>
        <w:spacing w:after="0" w:line="25" w:lineRule="exact"/>
        <w:rPr>
          <w:sz w:val="20"/>
          <w:szCs w:val="20"/>
          <w:color w:val="auto"/>
        </w:rPr>
      </w:pPr>
    </w:p>
    <w:p>
      <w:pPr>
        <w:ind w:left="500" w:hanging="492"/>
        <w:spacing w:after="0" w:line="248" w:lineRule="auto"/>
        <w:tabs>
          <w:tab w:leader="none" w:pos="500" w:val="left"/>
        </w:tabs>
        <w:numPr>
          <w:ilvl w:val="0"/>
          <w:numId w:val="35"/>
        </w:numPr>
        <w:rPr>
          <w:rFonts w:ascii="Arial" w:cs="Arial" w:eastAsia="Arial" w:hAnsi="Arial"/>
          <w:sz w:val="16"/>
          <w:szCs w:val="16"/>
          <w:color w:val="auto"/>
        </w:rPr>
      </w:pPr>
      <w:r>
        <w:rPr>
          <w:rFonts w:ascii="Arial" w:cs="Arial" w:eastAsia="Arial" w:hAnsi="Arial"/>
          <w:sz w:val="16"/>
          <w:szCs w:val="16"/>
          <w:color w:val="auto"/>
        </w:rPr>
        <w:t>Subsequent to March 31, 2021, $118,854 has been received from Residential Homes for Rent, LLC (d/b/a Second Avenue) related to the 15% term loan due December 23, 2023. Of the proceeds received, $83,333 repaid a portion of the outstanding principal and $35,521 was attributed to interest.</w:t>
      </w:r>
    </w:p>
    <w:p>
      <w:pPr>
        <w:ind w:left="500" w:hanging="492"/>
        <w:spacing w:after="0" w:line="257" w:lineRule="auto"/>
        <w:tabs>
          <w:tab w:leader="none" w:pos="500" w:val="left"/>
        </w:tabs>
        <w:numPr>
          <w:ilvl w:val="0"/>
          <w:numId w:val="35"/>
        </w:numPr>
        <w:rPr>
          <w:rFonts w:ascii="Arial" w:cs="Arial" w:eastAsia="Arial" w:hAnsi="Arial"/>
          <w:sz w:val="16"/>
          <w:szCs w:val="16"/>
          <w:color w:val="auto"/>
        </w:rPr>
      </w:pPr>
      <w:r>
        <w:rPr>
          <w:rFonts w:ascii="Arial" w:cs="Arial" w:eastAsia="Arial" w:hAnsi="Arial"/>
          <w:sz w:val="16"/>
          <w:szCs w:val="16"/>
          <w:color w:val="auto"/>
        </w:rPr>
        <w:t>On November 9, 2020, SharesPost, Inc. completed its merger with Forge Global, Inc. As part of the merger, certain assets held by SharesPost, Inc. that were not acquired by Forge were spun-out into a new entity called SP Holdings Group, Inc.</w:t>
      </w:r>
    </w:p>
    <w:p>
      <w:pPr>
        <w:spacing w:after="0" w:line="208"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From April 1, 2021 through May 5, 2021, the Company funded investments in an aggregate amount of $2,209,649 (not including capitalized transaction costs) as shown in the following table:</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740" w:type="dxa"/>
            <w:vAlign w:val="bottom"/>
            <w:gridSpan w:val="2"/>
          </w:tcPr>
          <w:p>
            <w:pPr>
              <w:ind w:left="20"/>
              <w:spacing w:after="0"/>
              <w:rPr>
                <w:sz w:val="20"/>
                <w:szCs w:val="20"/>
                <w:color w:val="auto"/>
              </w:rPr>
            </w:pPr>
            <w:r>
              <w:rPr>
                <w:rFonts w:ascii="Arial" w:cs="Arial" w:eastAsia="Arial" w:hAnsi="Arial"/>
                <w:sz w:val="16"/>
                <w:szCs w:val="16"/>
                <w:b w:val="1"/>
                <w:bCs w:val="1"/>
                <w:color w:val="auto"/>
              </w:rPr>
              <w:t>Portfolio Company</w:t>
            </w:r>
          </w:p>
        </w:tc>
        <w:tc>
          <w:tcPr>
            <w:tcW w:w="35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9"/>
              </w:rPr>
              <w:t>Investment</w:t>
            </w:r>
          </w:p>
        </w:tc>
        <w:tc>
          <w:tcPr>
            <w:tcW w:w="19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0"/>
              </w:rPr>
              <w:t>Transaction Date</w:t>
            </w:r>
          </w:p>
        </w:tc>
        <w:tc>
          <w:tcPr>
            <w:tcW w:w="280" w:type="dxa"/>
            <w:vAlign w:val="bottom"/>
          </w:tcPr>
          <w:p>
            <w:pPr>
              <w:spacing w:after="0"/>
              <w:rPr>
                <w:sz w:val="18"/>
                <w:szCs w:val="18"/>
                <w:color w:val="auto"/>
              </w:rPr>
            </w:pPr>
          </w:p>
        </w:tc>
        <w:tc>
          <w:tcPr>
            <w:tcW w:w="1700" w:type="dxa"/>
            <w:vAlign w:val="bottom"/>
          </w:tcPr>
          <w:p>
            <w:pPr>
              <w:jc w:val="right"/>
              <w:ind w:right="335"/>
              <w:spacing w:after="0"/>
              <w:rPr>
                <w:sz w:val="20"/>
                <w:szCs w:val="20"/>
                <w:color w:val="auto"/>
              </w:rPr>
            </w:pPr>
            <w:r>
              <w:rPr>
                <w:rFonts w:ascii="Arial" w:cs="Arial" w:eastAsia="Arial" w:hAnsi="Arial"/>
                <w:sz w:val="16"/>
                <w:szCs w:val="16"/>
                <w:b w:val="1"/>
                <w:bCs w:val="1"/>
                <w:color w:val="auto"/>
                <w:w w:val="99"/>
              </w:rPr>
              <w:t>Gross Payments</w:t>
            </w:r>
          </w:p>
        </w:tc>
      </w:tr>
      <w:tr>
        <w:trPr>
          <w:trHeight w:val="226"/>
        </w:trPr>
        <w:tc>
          <w:tcPr>
            <w:tcW w:w="3620" w:type="dxa"/>
            <w:vAlign w:val="bottom"/>
            <w:tcBorders>
              <w:top w:val="single" w:sz="8" w:color="auto"/>
            </w:tcBorders>
            <w:shd w:val="clear" w:color="auto" w:fill="CCEEFF"/>
          </w:tcPr>
          <w:p>
            <w:pPr>
              <w:ind w:left="20"/>
              <w:spacing w:after="0" w:line="226" w:lineRule="exact"/>
              <w:rPr>
                <w:sz w:val="20"/>
                <w:szCs w:val="20"/>
                <w:color w:val="auto"/>
              </w:rPr>
            </w:pPr>
            <w:r>
              <w:rPr>
                <w:rFonts w:ascii="Arial" w:cs="Arial" w:eastAsia="Arial" w:hAnsi="Arial"/>
                <w:sz w:val="18"/>
                <w:szCs w:val="18"/>
                <w:color w:val="auto"/>
              </w:rPr>
              <w:t>Colombier Sponsor LLC</w:t>
            </w:r>
            <w:r>
              <w:rPr>
                <w:rFonts w:ascii="Arial" w:cs="Arial" w:eastAsia="Arial" w:hAnsi="Arial"/>
                <w:sz w:val="23"/>
                <w:szCs w:val="23"/>
                <w:color w:val="auto"/>
                <w:vertAlign w:val="superscript"/>
              </w:rPr>
              <w:t>(1)</w:t>
            </w:r>
          </w:p>
        </w:tc>
        <w:tc>
          <w:tcPr>
            <w:tcW w:w="120" w:type="dxa"/>
            <w:vAlign w:val="bottom"/>
            <w:tcBorders>
              <w:top w:val="single" w:sz="8" w:color="CCEEFF"/>
            </w:tcBorders>
            <w:shd w:val="clear" w:color="auto" w:fill="CCEEFF"/>
          </w:tcPr>
          <w:p>
            <w:pPr>
              <w:spacing w:after="0"/>
              <w:rPr>
                <w:sz w:val="19"/>
                <w:szCs w:val="19"/>
                <w:color w:val="auto"/>
              </w:rPr>
            </w:pPr>
          </w:p>
        </w:tc>
        <w:tc>
          <w:tcPr>
            <w:tcW w:w="34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Common Share Units &amp; Warrant Units</w:t>
            </w:r>
          </w:p>
        </w:tc>
        <w:tc>
          <w:tcPr>
            <w:tcW w:w="120" w:type="dxa"/>
            <w:vAlign w:val="bottom"/>
            <w:tcBorders>
              <w:top w:val="single" w:sz="8" w:color="CCEEFF"/>
            </w:tcBorders>
            <w:shd w:val="clear" w:color="auto" w:fill="CCEEFF"/>
          </w:tcPr>
          <w:p>
            <w:pPr>
              <w:spacing w:after="0"/>
              <w:rPr>
                <w:sz w:val="19"/>
                <w:szCs w:val="19"/>
                <w:color w:val="auto"/>
              </w:rPr>
            </w:pPr>
          </w:p>
        </w:tc>
        <w:tc>
          <w:tcPr>
            <w:tcW w:w="1860" w:type="dxa"/>
            <w:vAlign w:val="bottom"/>
            <w:tcBorders>
              <w:top w:val="single" w:sz="8" w:color="auto"/>
            </w:tcBorders>
            <w:shd w:val="clear" w:color="auto" w:fill="CCEEFF"/>
          </w:tcPr>
          <w:p>
            <w:pPr>
              <w:jc w:val="right"/>
              <w:ind w:right="535"/>
              <w:spacing w:after="0"/>
              <w:rPr>
                <w:sz w:val="20"/>
                <w:szCs w:val="20"/>
                <w:color w:val="auto"/>
              </w:rPr>
            </w:pPr>
            <w:r>
              <w:rPr>
                <w:rFonts w:ascii="Arial" w:cs="Arial" w:eastAsia="Arial" w:hAnsi="Arial"/>
                <w:sz w:val="18"/>
                <w:szCs w:val="18"/>
                <w:color w:val="auto"/>
              </w:rPr>
              <w:t>4/1/2021</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2,209,649</w:t>
            </w:r>
          </w:p>
        </w:tc>
      </w:tr>
      <w:tr>
        <w:trPr>
          <w:trHeight w:val="220"/>
        </w:trPr>
        <w:tc>
          <w:tcPr>
            <w:tcW w:w="3620" w:type="dxa"/>
            <w:vAlign w:val="bottom"/>
          </w:tcPr>
          <w:p>
            <w:pPr>
              <w:spacing w:after="0"/>
              <w:rPr>
                <w:sz w:val="20"/>
                <w:szCs w:val="20"/>
                <w:color w:val="auto"/>
              </w:rPr>
            </w:pPr>
            <w:r>
              <w:rPr>
                <w:rFonts w:ascii="Arial" w:cs="Arial" w:eastAsia="Arial" w:hAnsi="Arial"/>
                <w:sz w:val="11"/>
                <w:szCs w:val="11"/>
                <w:b w:val="1"/>
                <w:bCs w:val="1"/>
                <w:color w:val="auto"/>
              </w:rPr>
              <w:t>__________________</w:t>
            </w:r>
          </w:p>
        </w:tc>
        <w:tc>
          <w:tcPr>
            <w:tcW w:w="120" w:type="dxa"/>
            <w:vAlign w:val="bottom"/>
          </w:tcPr>
          <w:p>
            <w:pPr>
              <w:spacing w:after="0"/>
              <w:rPr>
                <w:sz w:val="19"/>
                <w:szCs w:val="19"/>
                <w:color w:val="auto"/>
              </w:rPr>
            </w:pPr>
          </w:p>
        </w:tc>
        <w:tc>
          <w:tcPr>
            <w:tcW w:w="3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00" w:type="dxa"/>
            <w:vAlign w:val="bottom"/>
          </w:tcPr>
          <w:p>
            <w:pPr>
              <w:spacing w:after="0"/>
              <w:rPr>
                <w:sz w:val="19"/>
                <w:szCs w:val="19"/>
                <w:color w:val="auto"/>
              </w:rPr>
            </w:pPr>
          </w:p>
        </w:tc>
      </w:tr>
    </w:tbl>
    <w:p>
      <w:pPr>
        <w:jc w:val="both"/>
        <w:ind w:left="500" w:hanging="492"/>
        <w:spacing w:after="0" w:line="276" w:lineRule="auto"/>
        <w:tabs>
          <w:tab w:leader="none" w:pos="500" w:val="left"/>
        </w:tabs>
        <w:numPr>
          <w:ilvl w:val="0"/>
          <w:numId w:val="36"/>
        </w:numPr>
        <w:rPr>
          <w:rFonts w:ascii="Arial" w:cs="Arial" w:eastAsia="Arial" w:hAnsi="Arial"/>
          <w:sz w:val="15"/>
          <w:szCs w:val="15"/>
          <w:color w:val="auto"/>
        </w:rPr>
      </w:pPr>
      <w:r>
        <w:rPr>
          <w:rFonts w:ascii="Arial" w:cs="Arial" w:eastAsia="Arial" w:hAnsi="Arial"/>
          <w:sz w:val="15"/>
          <w:szCs w:val="15"/>
          <w:color w:val="auto"/>
        </w:rPr>
        <w:t>Colombier Sponsor LLC is the sponsor of Colombier Acquisition Corp., a special purpose acquisition company formed for the purpose of effecting a merger, capital stock exchange, asset acquisition, stock purchase, reorganization or similar business combination with one or more businesses. Two of the Company's investment professionals, Keri Findley and Claire Councill, are director nominees of the board of directors of Colombier Acquisition Corp.</w:t>
      </w:r>
    </w:p>
    <w:p>
      <w:pPr>
        <w:spacing w:after="0" w:line="196" w:lineRule="exact"/>
        <w:rPr>
          <w:sz w:val="20"/>
          <w:szCs w:val="20"/>
          <w:color w:val="auto"/>
        </w:rPr>
      </w:pPr>
    </w:p>
    <w:p>
      <w:pPr>
        <w:jc w:val="both"/>
        <w:ind w:firstLine="364"/>
        <w:spacing w:after="0" w:line="275" w:lineRule="auto"/>
        <w:rPr>
          <w:sz w:val="20"/>
          <w:szCs w:val="20"/>
          <w:color w:val="auto"/>
        </w:rPr>
      </w:pPr>
      <w:r>
        <w:rPr>
          <w:rFonts w:ascii="Arial" w:cs="Arial" w:eastAsia="Arial" w:hAnsi="Arial"/>
          <w:sz w:val="17"/>
          <w:szCs w:val="17"/>
          <w:color w:val="auto"/>
        </w:rPr>
        <w:t>The Company is frequently in negotiations with various private companies with respect to investments in such companies. Investments in private companies are generally subject to satisfaction of applicable closing conditions. In the case of secondary market transactions, such closing conditions may include approval of the issuer, waiver or failure to exercise rights of first refusal by the issuer and/or its stockholders and termination rights by the seller or the Company. Equity investments made through the secondary market may involve making deposits in escrow accounts until the applicable closing conditions are satisfied, at which time the escrow accounts will close and such equity investments will be effectuated.</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56"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On May 4, 2021, the Company’s Board of Directors declared a dividend of $2.50 per share payable on June 30, 2021 to stockholders of record as of the close of business on May 18, 2021. The ex-dividend date is May 17, 2021. The dividend will be paid in cash or shares of the Company’s common stock at the election of the stockholders, although the total amount of cash to be distributed to all stockholders will be limited to no more than 50% of the total dividend to be paid to all stockholders. The number of shares of the Company’s common stock to be issued to stockholders receiving all or a portion of the dividend in shares of common stock will be based on the volume weighted-average price per share of the Company’s common stock on the Nasdaq Capital Market on May 12, 13 and 14, 2021, less $2.50 to reflect the declared dividend.</w:t>
      </w:r>
    </w:p>
    <w:p>
      <w:pPr>
        <w:spacing w:after="0" w:line="20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This dividend is being made in accordance with certain applicable Treasury regulations and guidance issued by the IRS that allow a publicly traded RIC to satisfy its distribution requirements from a distribution paid partly in common stock provided certain requirements are satisfied. For additional information, please refer to "Certain Information Regarding the Dividends" in the Company's press release dated May 5, 2021 included as Exhibit 99.1 to the Company's Current Report on Form 8-K filed with the SEC on May 5,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240"/>
          </w:cols>
          <w:pgMar w:left="320" w:top="122" w:right="339" w:bottom="1440" w:gutter="0" w:footer="0" w:header="0"/>
        </w:sectPr>
      </w:pPr>
    </w:p>
    <w:bookmarkStart w:id="56" w:name="page57"/>
    <w:bookmarkEnd w:id="5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SURO CAPITAL CORP. AND SUBSIDIARIES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Second Amended Employment Agreements</w:t>
      </w:r>
    </w:p>
    <w:p>
      <w:pPr>
        <w:spacing w:after="0" w:line="256"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On April 26, 2021, the Company entered into a second amended and restated employment agreement with each of Mark D. Klein, the Company’s Chairman, Chief Executive Officer and President (the “Second Amended Klein Agreement”), and Allison Green, the Company’s Chief Financial Officer, Chief Compliance Officer, Treasurer and Corporate Secretary (the “Second Amended Green Agreement”), which extended the term of their prior employment agreements, each dated April 28, 2020, to December 31, 2024. For more information, including descriptions of such agreements, please refer to the Company’s current report on Form 8-K filed with the SEC on April 27, 2021. Such descriptions of the Second Amended Klein Agreement and the Second Amended Green Agreement are qualified in their entirety by reference to the text of such agreements filed as exhibits to this quarterly report on Form 10-Q.</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w:t>
      </w:r>
    </w:p>
    <w:p>
      <w:pPr>
        <w:spacing w:after="0" w:line="256" w:lineRule="exact"/>
        <w:rPr>
          <w:sz w:val="20"/>
          <w:szCs w:val="20"/>
          <w:color w:val="auto"/>
        </w:rPr>
      </w:pPr>
    </w:p>
    <w:p>
      <w:pPr>
        <w:jc w:val="both"/>
        <w:ind w:firstLine="324"/>
        <w:spacing w:after="0" w:line="285" w:lineRule="auto"/>
        <w:rPr>
          <w:sz w:val="20"/>
          <w:szCs w:val="20"/>
          <w:color w:val="auto"/>
        </w:rPr>
      </w:pPr>
      <w:r>
        <w:rPr>
          <w:rFonts w:ascii="Arial" w:cs="Arial" w:eastAsia="Arial" w:hAnsi="Arial"/>
          <w:sz w:val="16"/>
          <w:szCs w:val="16"/>
          <w:color w:val="auto"/>
        </w:rPr>
        <w:t>The Company has been closely monitoring the COVID-19 pandemic, its broader impact on the global economy and the more recent impacts on the U.S. economy. We have and continue to assess the impact of the COVID-19 pandemic on our portfolio companies. We cannot predict the full impact of the COVID-19 pandemic, including its duration in the United States and worldwide, the effectiveness of governmental responses designed to mitigate strain to businesses and the economy and the magnitude of the economic impact of the outbreak. The COVID-19 pandemic and preventative measures taken to contain or mitigate its spread have caused, and are continuing to cause, business shutdowns, cancellations of events and travel, significant reductions in demand for certain goods and services, reductions in business activity and financial transactions, supply chain interruptions and overall economic and financial market instability both globally and in the United States. Such effects will likely continue for the duration of the pandemic, which is uncertain, and for some period thereafter. Our portfolio companies and, by extension, our operating results may be adversely impacted by the COVID-19 pandemic and, depending on the duration and extent of the disruption to the operations of our portfolio companies, certain portfolio companies may experience financial distress and may possibly default on their financial obligations to us and their other capital providers. Some of our portfolio companies have significantly curtailed business operations, furloughed or laid off employees and terminated service providers, and deferred capital expenditures, which could impair their business on a permanent basis and additional portfolio companies may take similar actions. We continue to closely monitor our portfolio companies, which includes assessing each portfolio company’s operational and liquidity exposure and outlook; however, any of these developments would likely result in a decrease in the value of our investment in any such portfolio company. In addition, to the extent that the impact to our portfolio companies results in reduced interest payments or permanent impairments on our investments, we could see a decrease in our net investment income, which would increase the percentage of our cash flows dedicated to our debt obligations and could impact the amount of any future distributions to our stockholders.</w:t>
      </w:r>
    </w:p>
    <w:p>
      <w:pPr>
        <w:spacing w:after="0" w:line="203"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In response to the COVID-19 pandemic, we instituted a temporary work-from-home policy in March 2020, pursuant to which our employees have and continue to primarily work remotely without disruption to our operations. This policy will remain in effect until it is deemed safe to return to our office. As of May 5, 2021, there is no indication of a reportable subsequent event impacting the Company’s financial statements for the three months ended March 31, 2021. The Company continues to observe and respond to the evolving COVID-19 environment and its potential impact on areas across its business.</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240"/>
          </w:cols>
          <w:pgMar w:left="320" w:top="122" w:right="339" w:bottom="1440" w:gutter="0" w:footer="0" w:header="0"/>
        </w:sectPr>
      </w:pPr>
    </w:p>
    <w:bookmarkStart w:id="57" w:name="page58"/>
    <w:bookmarkEnd w:id="5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SURO CAPITAL CORP. AND SUBSIDIARIES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13—SUPPLEMENTAL FINANCIAL DATA</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Summarized Financial Information of Unconsolidated Subsidiaries</w:t>
      </w:r>
    </w:p>
    <w:p>
      <w:pPr>
        <w:spacing w:after="0" w:line="256" w:lineRule="exact"/>
        <w:rPr>
          <w:sz w:val="20"/>
          <w:szCs w:val="20"/>
          <w:color w:val="auto"/>
        </w:rPr>
      </w:pPr>
    </w:p>
    <w:p>
      <w:pPr>
        <w:jc w:val="both"/>
        <w:ind w:firstLine="364"/>
        <w:spacing w:after="0" w:line="257" w:lineRule="auto"/>
        <w:rPr>
          <w:sz w:val="20"/>
          <w:szCs w:val="20"/>
          <w:color w:val="auto"/>
        </w:rPr>
      </w:pPr>
      <w:r>
        <w:rPr>
          <w:rFonts w:ascii="Arial" w:cs="Arial" w:eastAsia="Arial" w:hAnsi="Arial"/>
          <w:sz w:val="18"/>
          <w:szCs w:val="18"/>
          <w:color w:val="auto"/>
        </w:rPr>
        <w:t>In accordance with the SEC’s Regulation S-X and GAAP, the Company is not permitted to consolidate any subsidiary or other entity that is not an investment company, including those in which the Company has a controlling interest; however, the Company must disclose certain financial information related to any subsidiaries or other entities that are considered to be “significant subsidiaries” under the applicable rules of Regulation S-X. As of March 31, 2021, the Company had investments in at least one portfolio company considered to be a significant subsidiary under SEC Regulation S-X Rule 10-01(b)(1) and Regulation S-X Rule 4-08(g).</w:t>
      </w:r>
    </w:p>
    <w:p>
      <w:pPr>
        <w:spacing w:after="0" w:line="21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In May 2020, the SEC adopted rule amendments that impacted the requirement of investment companies, including BDCs, to disclose the financial statements of certain of their portfolio companies or acquired funds (the “Final Rules”). The Final Rules adopted a new definition of “significant subsidiary” set forth in Rule 1-02(w)(2) of Regulation S-X under the Securities Act. Rules 3-09 and 4-08(g) of Regulation S-X require investment companies to include separate financial statements or summary financial information, respectively, in such investment company’s periodic reports for any portfolio company that meets the definition of “significant subsidiary.” The Final Rules amended the definition of “significant subsidiary” in a manner that was intended to more accurately capture those portfolio companies that were more likely to materially impact the financial condition of an investment company.</w:t>
      </w:r>
    </w:p>
    <w:p>
      <w:pPr>
        <w:spacing w:after="0" w:line="22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As a result of the new definition of a “significant subsidiary” set forth in Rule 1-02(w)(2), the Company’s two “subsidiaries” as of March 31, 2021, SPBRX, INC. (f/k/a GSV Sustainability Partners, Inc.) and Architect Capital PayJoy SPV, LLC, do not meet the definition of a “significant subsidiary” as set forth in Rule 1-02(w)(2). For comparability purposes, the Company has omitted the previously disclosed summarized financial information of the Company’s significant subsidiaries for the quarter ended March 31, 2020 as the Company’s significant subsidiaries would not have been considered significant subsidiaries under the Final Rules.</w:t>
      </w:r>
    </w:p>
    <w:p>
      <w:pPr>
        <w:sectPr>
          <w:pgSz w:w="11900" w:h="16838" w:orient="portrait"/>
          <w:cols w:equalWidth="0" w:num="1">
            <w:col w:w="11240"/>
          </w:cols>
          <w:pgMar w:left="320" w:top="122" w:right="339" w:bottom="77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56</w:t>
      </w:r>
    </w:p>
    <w:p>
      <w:pPr>
        <w:sectPr>
          <w:pgSz w:w="11900" w:h="16838" w:orient="portrait"/>
          <w:cols w:equalWidth="0" w:num="1">
            <w:col w:w="11240"/>
          </w:cols>
          <w:pgMar w:left="320" w:top="122" w:right="339" w:bottom="777" w:gutter="0" w:footer="0" w:header="0"/>
          <w:type w:val="continuous"/>
        </w:sectPr>
      </w:pPr>
    </w:p>
    <w:bookmarkStart w:id="58" w:name="page59"/>
    <w:bookmarkEnd w:id="5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SURO CAPITAL CORP. AND SUBSIDIARIES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2021</w:t>
      </w:r>
    </w:p>
    <w:p>
      <w:pPr>
        <w:spacing w:after="0" w:line="234"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56" w:lineRule="exact"/>
        <w:rPr>
          <w:sz w:val="20"/>
          <w:szCs w:val="20"/>
          <w:color w:val="auto"/>
        </w:rPr>
      </w:pPr>
    </w:p>
    <w:p>
      <w:pPr>
        <w:jc w:val="both"/>
        <w:ind w:firstLine="364"/>
        <w:spacing w:after="0" w:line="257" w:lineRule="auto"/>
        <w:rPr>
          <w:sz w:val="20"/>
          <w:szCs w:val="20"/>
          <w:color w:val="auto"/>
        </w:rPr>
      </w:pPr>
      <w:r>
        <w:rPr>
          <w:rFonts w:ascii="Arial" w:cs="Arial" w:eastAsia="Arial" w:hAnsi="Arial"/>
          <w:sz w:val="18"/>
          <w:szCs w:val="18"/>
          <w:color w:val="auto"/>
        </w:rPr>
        <w:t>This quarterly report on Form 10-Q contains forward-looking statements that involve substantial risks and uncertainties. These forward-looking statements are not historical facts, but rather are based on current expectations, estimates and projections about us, our current and prospective portfolio investments, our industry, our beliefs, and our assumptions. Words such as “anticipates,” “expects,” “intends,” “plans,” “will,” “may,” “continue,” “believes,” “seeks,” “estimates,” “would,” “could,” “should,” “targets,” “projects,” and variations of these words and similar expressions are intended to identify forward-looking statements.</w:t>
      </w:r>
    </w:p>
    <w:p>
      <w:pPr>
        <w:spacing w:after="0" w:line="215" w:lineRule="exact"/>
        <w:rPr>
          <w:sz w:val="20"/>
          <w:szCs w:val="20"/>
          <w:color w:val="auto"/>
        </w:rPr>
      </w:pPr>
    </w:p>
    <w:p>
      <w:pPr>
        <w:jc w:val="both"/>
        <w:ind w:firstLine="364"/>
        <w:spacing w:after="0" w:line="277" w:lineRule="auto"/>
        <w:rPr>
          <w:sz w:val="20"/>
          <w:szCs w:val="20"/>
          <w:color w:val="auto"/>
        </w:rPr>
      </w:pPr>
      <w:r>
        <w:rPr>
          <w:rFonts w:ascii="Arial" w:cs="Arial" w:eastAsia="Arial" w:hAnsi="Arial"/>
          <w:sz w:val="18"/>
          <w:szCs w:val="18"/>
          <w:color w:val="auto"/>
        </w:rPr>
        <w:t>The forward-looking statements contained in this quarterly report on Form 10-Q involve risks and uncertainties, including, without limitation, statements as to:</w:t>
      </w:r>
    </w:p>
    <w:p>
      <w:pPr>
        <w:spacing w:after="0" w:line="197" w:lineRule="exact"/>
        <w:rPr>
          <w:sz w:val="20"/>
          <w:szCs w:val="20"/>
          <w:color w:val="auto"/>
        </w:rPr>
      </w:pPr>
    </w:p>
    <w:p>
      <w:pPr>
        <w:jc w:val="both"/>
        <w:ind w:left="660" w:hanging="328"/>
        <w:spacing w:after="0" w:line="259" w:lineRule="auto"/>
        <w:tabs>
          <w:tab w:leader="none" w:pos="655"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effect and consequences of the novel coronavirus (“COVID-19”) public health crisis on matters including global, U.S. and local economies, our business operations and continuity, potential disruption to our portfolio companies, tightened availability to capital and financing, the health and productivity of our employees, the ability of third-party providers to continue uninterrupted service, and the regulatory environment in which we operate;</w:t>
      </w:r>
    </w:p>
    <w:p>
      <w:pPr>
        <w:spacing w:after="0" w:line="213" w:lineRule="exact"/>
        <w:rPr>
          <w:rFonts w:ascii="Arial" w:cs="Arial" w:eastAsia="Arial" w:hAnsi="Arial"/>
          <w:sz w:val="18"/>
          <w:szCs w:val="18"/>
          <w:color w:val="auto"/>
        </w:rPr>
      </w:pPr>
    </w:p>
    <w:p>
      <w:pPr>
        <w:ind w:left="580" w:hanging="248"/>
        <w:spacing w:after="0"/>
        <w:tabs>
          <w:tab w:leader="none" w:pos="5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future operating results;</w:t>
      </w:r>
    </w:p>
    <w:p>
      <w:pPr>
        <w:spacing w:after="0" w:line="252" w:lineRule="exact"/>
        <w:rPr>
          <w:rFonts w:ascii="Arial" w:cs="Arial" w:eastAsia="Arial" w:hAnsi="Arial"/>
          <w:sz w:val="18"/>
          <w:szCs w:val="18"/>
          <w:color w:val="auto"/>
        </w:rPr>
      </w:pPr>
    </w:p>
    <w:p>
      <w:pPr>
        <w:ind w:left="580" w:hanging="248"/>
        <w:spacing w:after="0"/>
        <w:tabs>
          <w:tab w:leader="none" w:pos="5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business prospects and the prospects of our portfolio companies;</w:t>
      </w:r>
    </w:p>
    <w:p>
      <w:pPr>
        <w:spacing w:after="0" w:line="252" w:lineRule="exact"/>
        <w:rPr>
          <w:rFonts w:ascii="Arial" w:cs="Arial" w:eastAsia="Arial" w:hAnsi="Arial"/>
          <w:sz w:val="18"/>
          <w:szCs w:val="18"/>
          <w:color w:val="auto"/>
        </w:rPr>
      </w:pPr>
    </w:p>
    <w:p>
      <w:pPr>
        <w:ind w:left="580" w:hanging="248"/>
        <w:spacing w:after="0"/>
        <w:tabs>
          <w:tab w:leader="none" w:pos="5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impact of investments that we expect to make;</w:t>
      </w:r>
    </w:p>
    <w:p>
      <w:pPr>
        <w:spacing w:after="0" w:line="252" w:lineRule="exact"/>
        <w:rPr>
          <w:rFonts w:ascii="Arial" w:cs="Arial" w:eastAsia="Arial" w:hAnsi="Arial"/>
          <w:sz w:val="18"/>
          <w:szCs w:val="18"/>
          <w:color w:val="auto"/>
        </w:rPr>
      </w:pPr>
    </w:p>
    <w:p>
      <w:pPr>
        <w:ind w:left="580" w:hanging="248"/>
        <w:spacing w:after="0"/>
        <w:tabs>
          <w:tab w:leader="none" w:pos="5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contractual arrangements and relationships with third parties;</w:t>
      </w:r>
    </w:p>
    <w:p>
      <w:pPr>
        <w:spacing w:after="0" w:line="252" w:lineRule="exact"/>
        <w:rPr>
          <w:rFonts w:ascii="Arial" w:cs="Arial" w:eastAsia="Arial" w:hAnsi="Arial"/>
          <w:sz w:val="18"/>
          <w:szCs w:val="18"/>
          <w:color w:val="auto"/>
        </w:rPr>
      </w:pPr>
    </w:p>
    <w:p>
      <w:pPr>
        <w:ind w:left="580" w:hanging="248"/>
        <w:spacing w:after="0"/>
        <w:tabs>
          <w:tab w:leader="none" w:pos="5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dependence of our future success on the general economy and its impact on the industries in which we invest;</w:t>
      </w:r>
    </w:p>
    <w:p>
      <w:pPr>
        <w:spacing w:after="0" w:line="252" w:lineRule="exact"/>
        <w:rPr>
          <w:rFonts w:ascii="Arial" w:cs="Arial" w:eastAsia="Arial" w:hAnsi="Arial"/>
          <w:sz w:val="18"/>
          <w:szCs w:val="18"/>
          <w:color w:val="auto"/>
        </w:rPr>
      </w:pPr>
    </w:p>
    <w:p>
      <w:pPr>
        <w:ind w:left="580" w:hanging="248"/>
        <w:spacing w:after="0"/>
        <w:tabs>
          <w:tab w:leader="none" w:pos="5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ability of our portfolio companies to achieve their objectives;</w:t>
      </w:r>
    </w:p>
    <w:p>
      <w:pPr>
        <w:spacing w:after="0" w:line="252" w:lineRule="exact"/>
        <w:rPr>
          <w:rFonts w:ascii="Arial" w:cs="Arial" w:eastAsia="Arial" w:hAnsi="Arial"/>
          <w:sz w:val="18"/>
          <w:szCs w:val="18"/>
          <w:color w:val="auto"/>
        </w:rPr>
      </w:pPr>
    </w:p>
    <w:p>
      <w:pPr>
        <w:ind w:left="580" w:hanging="248"/>
        <w:spacing w:after="0"/>
        <w:tabs>
          <w:tab w:leader="none" w:pos="5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expected financings and investments;</w:t>
      </w:r>
    </w:p>
    <w:p>
      <w:pPr>
        <w:spacing w:after="0" w:line="252" w:lineRule="exact"/>
        <w:rPr>
          <w:rFonts w:ascii="Arial" w:cs="Arial" w:eastAsia="Arial" w:hAnsi="Arial"/>
          <w:sz w:val="18"/>
          <w:szCs w:val="18"/>
          <w:color w:val="auto"/>
        </w:rPr>
      </w:pPr>
    </w:p>
    <w:p>
      <w:pPr>
        <w:ind w:left="580" w:hanging="248"/>
        <w:spacing w:after="0"/>
        <w:tabs>
          <w:tab w:leader="none" w:pos="5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adequacy of our cash resources and working capital; and</w:t>
      </w:r>
    </w:p>
    <w:p>
      <w:pPr>
        <w:spacing w:after="0" w:line="252" w:lineRule="exact"/>
        <w:rPr>
          <w:rFonts w:ascii="Arial" w:cs="Arial" w:eastAsia="Arial" w:hAnsi="Arial"/>
          <w:sz w:val="18"/>
          <w:szCs w:val="18"/>
          <w:color w:val="auto"/>
        </w:rPr>
      </w:pPr>
    </w:p>
    <w:p>
      <w:pPr>
        <w:ind w:left="580" w:hanging="248"/>
        <w:spacing w:after="0"/>
        <w:tabs>
          <w:tab w:leader="none" w:pos="5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timing of cash flows, if any, from the operations of our portfolio companies.</w:t>
      </w:r>
    </w:p>
    <w:p>
      <w:pPr>
        <w:spacing w:after="0" w:line="252" w:lineRule="exact"/>
        <w:rPr>
          <w:sz w:val="20"/>
          <w:szCs w:val="20"/>
          <w:color w:val="auto"/>
        </w:rPr>
      </w:pPr>
    </w:p>
    <w:p>
      <w:pPr>
        <w:jc w:val="both"/>
        <w:ind w:firstLine="364"/>
        <w:spacing w:after="0" w:line="263" w:lineRule="auto"/>
        <w:rPr>
          <w:sz w:val="20"/>
          <w:szCs w:val="20"/>
          <w:color w:val="auto"/>
        </w:rPr>
      </w:pPr>
      <w:r>
        <w:rPr>
          <w:rFonts w:ascii="Arial" w:cs="Arial" w:eastAsia="Arial" w:hAnsi="Arial"/>
          <w:sz w:val="18"/>
          <w:szCs w:val="18"/>
          <w:color w:val="auto"/>
        </w:rPr>
        <w:t>These statements are not guarantees of future performance and are subject to risks, uncertainties, and other factors, some of which are beyond our control and difficult to predict and could cause actual results to differ materially from those expressed or forecasted in the forward-looking statements, including without limitation:</w:t>
      </w:r>
    </w:p>
    <w:p>
      <w:pPr>
        <w:spacing w:after="0" w:line="211" w:lineRule="exact"/>
        <w:rPr>
          <w:sz w:val="20"/>
          <w:szCs w:val="20"/>
          <w:color w:val="auto"/>
        </w:rPr>
      </w:pPr>
    </w:p>
    <w:p>
      <w:pPr>
        <w:ind w:left="660" w:right="20" w:hanging="328"/>
        <w:spacing w:after="0" w:line="277" w:lineRule="auto"/>
        <w:tabs>
          <w:tab w:leader="none" w:pos="648"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 economic downturn could impair our portfolio companies’ ability to continue to operate, which could lead to the loss of some or all of our investments in such portfolio companies;</w:t>
      </w:r>
    </w:p>
    <w:p>
      <w:pPr>
        <w:spacing w:after="0" w:line="197" w:lineRule="exact"/>
        <w:rPr>
          <w:rFonts w:ascii="Arial" w:cs="Arial" w:eastAsia="Arial" w:hAnsi="Arial"/>
          <w:sz w:val="18"/>
          <w:szCs w:val="18"/>
          <w:color w:val="auto"/>
        </w:rPr>
      </w:pPr>
    </w:p>
    <w:p>
      <w:pPr>
        <w:ind w:left="660" w:hanging="328"/>
        <w:spacing w:after="0" w:line="277" w:lineRule="auto"/>
        <w:tabs>
          <w:tab w:leader="none" w:pos="583"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 economic downturn could disproportionately impact the market sectors in which a significant portion of our portfolio is concentrated, causing us to suffer losses in our portfolio;</w:t>
      </w:r>
    </w:p>
    <w:p>
      <w:pPr>
        <w:spacing w:after="0" w:line="197" w:lineRule="exact"/>
        <w:rPr>
          <w:rFonts w:ascii="Arial" w:cs="Arial" w:eastAsia="Arial" w:hAnsi="Arial"/>
          <w:sz w:val="18"/>
          <w:szCs w:val="18"/>
          <w:color w:val="auto"/>
        </w:rPr>
      </w:pPr>
    </w:p>
    <w:p>
      <w:pPr>
        <w:ind w:left="580" w:hanging="248"/>
        <w:spacing w:after="0"/>
        <w:tabs>
          <w:tab w:leader="none" w:pos="5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 contraction of available credit and/or an inability to access the equity markets could impair our investment activities;</w:t>
      </w:r>
    </w:p>
    <w:p>
      <w:pPr>
        <w:spacing w:after="0" w:line="252" w:lineRule="exact"/>
        <w:rPr>
          <w:rFonts w:ascii="Arial" w:cs="Arial" w:eastAsia="Arial" w:hAnsi="Arial"/>
          <w:sz w:val="18"/>
          <w:szCs w:val="18"/>
          <w:color w:val="auto"/>
        </w:rPr>
      </w:pPr>
    </w:p>
    <w:p>
      <w:pPr>
        <w:ind w:left="580" w:hanging="248"/>
        <w:spacing w:after="0"/>
        <w:tabs>
          <w:tab w:leader="none" w:pos="5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interest rate volatility could adversely affect our results, particularly because we use leverage as part of our investment strategy; and</w:t>
      </w:r>
    </w:p>
    <w:p>
      <w:pPr>
        <w:spacing w:after="0" w:line="252" w:lineRule="exact"/>
        <w:rPr>
          <w:rFonts w:ascii="Arial" w:cs="Arial" w:eastAsia="Arial" w:hAnsi="Arial"/>
          <w:sz w:val="18"/>
          <w:szCs w:val="18"/>
          <w:color w:val="auto"/>
        </w:rPr>
      </w:pPr>
    </w:p>
    <w:p>
      <w:pPr>
        <w:ind w:left="660" w:hanging="328"/>
        <w:spacing w:after="0" w:line="277" w:lineRule="auto"/>
        <w:tabs>
          <w:tab w:leader="none" w:pos="587"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risks, uncertainties and other factors we identify in the sections entitled “Risk Factors” in our quarterly reports on Form 10-Q, our annual report on Form 10-K, and in our other filings with the SEC.</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57</w:t>
      </w:r>
    </w:p>
    <w:p>
      <w:pPr>
        <w:sectPr>
          <w:pgSz w:w="11900" w:h="16838" w:orient="portrait"/>
          <w:cols w:equalWidth="0" w:num="1">
            <w:col w:w="11240"/>
          </w:cols>
          <w:pgMar w:left="320" w:top="122" w:right="339" w:bottom="1440" w:gutter="0" w:footer="0" w:header="0"/>
          <w:type w:val="continuous"/>
        </w:sectPr>
      </w:pPr>
    </w:p>
    <w:bookmarkStart w:id="59" w:name="page60"/>
    <w:bookmarkEnd w:id="59"/>
    <w:p>
      <w:pPr>
        <w:spacing w:after="0"/>
        <w:rPr>
          <w:rFonts w:ascii="Arial" w:cs="Arial" w:eastAsia="Arial" w:hAnsi="Arial"/>
          <w:sz w:val="14"/>
          <w:szCs w:val="14"/>
          <w:color w:val="0000FF"/>
        </w:rPr>
      </w:pPr>
      <w:hyperlink w:anchor="page1">
        <w:r>
          <w:rPr>
            <w:rFonts w:ascii="Arial" w:cs="Arial" w:eastAsia="Arial" w:hAnsi="Arial"/>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firstLine="364"/>
        <w:spacing w:after="0" w:line="290" w:lineRule="auto"/>
        <w:rPr>
          <w:sz w:val="20"/>
          <w:szCs w:val="20"/>
          <w:color w:val="auto"/>
        </w:rPr>
      </w:pPr>
      <w:r>
        <w:rPr>
          <w:rFonts w:ascii="Arial" w:cs="Arial" w:eastAsia="Arial" w:hAnsi="Arial"/>
          <w:sz w:val="16"/>
          <w:szCs w:val="16"/>
          <w:color w:val="auto"/>
        </w:rPr>
        <w:t>Although we believe that the assumptions on which these forward-looking statements are based are reasonable, any of those assumptions could prove to be inaccurate, and as a result, the forward-looking statements based on those assumptions also could be inaccurate. Important assumptions include our ability to originate new investments, certain margins and levels of profitability and the availability of additional capital. In light of these and other uncertainties, the inclusion of a projection or forward-looking statement in this quarterly report on Form 10-Q should not be regarded as a representation by us that our plans and objectives will be achieved. These risks and uncertainties include those described or identified in our quarterly reports on Form 10-Q and our annual report on Form 10-K, in the “Risk Factors” sections. You should not place undue reliance on these forward-looking statements, which apply only as of the date of this quarterly report on Form 10-Q. The following analysis of our financial condition and results of operations should be read in conjunction with our consolidated financial statements and the related notes thereto contained elsewhere in this quarterly report on Form 10-Q.</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56" w:lineRule="exact"/>
        <w:rPr>
          <w:sz w:val="20"/>
          <w:szCs w:val="20"/>
          <w:color w:val="auto"/>
        </w:rPr>
      </w:pPr>
    </w:p>
    <w:p>
      <w:pPr>
        <w:jc w:val="both"/>
        <w:ind w:firstLine="364"/>
        <w:spacing w:after="0" w:line="286" w:lineRule="auto"/>
        <w:rPr>
          <w:sz w:val="20"/>
          <w:szCs w:val="20"/>
          <w:color w:val="auto"/>
        </w:rPr>
      </w:pPr>
      <w:r>
        <w:rPr>
          <w:rFonts w:ascii="Arial" w:cs="Arial" w:eastAsia="Arial" w:hAnsi="Arial"/>
          <w:sz w:val="17"/>
          <w:szCs w:val="17"/>
          <w:color w:val="auto"/>
        </w:rPr>
        <w:t>We are an internally-managed, non-diversified closed-end management investment company that has elected to be regulated as a business development company ("BDC") under the Investment Company Act of 1940, as amended (the “1940 Act”), and has elected to be treated, and intends to qualify annually, as a regulated investment company (“RIC”) under Subchapter M of the Internal Revenue Code of 1986, as amended (the “Code”).</w:t>
      </w:r>
    </w:p>
    <w:p>
      <w:pPr>
        <w:spacing w:after="0" w:line="192" w:lineRule="exact"/>
        <w:rPr>
          <w:sz w:val="20"/>
          <w:szCs w:val="20"/>
          <w:color w:val="auto"/>
        </w:rPr>
      </w:pPr>
    </w:p>
    <w:p>
      <w:pPr>
        <w:jc w:val="both"/>
        <w:ind w:firstLine="364"/>
        <w:spacing w:after="0" w:line="270" w:lineRule="auto"/>
        <w:rPr>
          <w:sz w:val="20"/>
          <w:szCs w:val="20"/>
          <w:color w:val="auto"/>
        </w:rPr>
      </w:pPr>
      <w:r>
        <w:rPr>
          <w:rFonts w:ascii="Arial" w:cs="Arial" w:eastAsia="Arial" w:hAnsi="Arial"/>
          <w:sz w:val="17"/>
          <w:szCs w:val="17"/>
          <w:color w:val="auto"/>
        </w:rPr>
        <w:t>Our investment objective is to maximize our portfolio’s total return, principally by seeking capital gains on our equity and equity-related investments, and to a lesser extent, income from debt investments. We invest principally in the equity securities of what we believe to be rapidly growing venture-capital-backed emerging companies. We acquire our investments through direct investments in prospective portfolio companies, secondary marketplaces for private companies and negotiations with selling stockholders. In addition, we may invest in private credit and in the founders equity, founders warrants, forward purchase agreements, and private investment in public equity ("PIPE") transactions of special purpose acquisition companies ("SPACs"). We may also invest on an opportunistic basis in select publicly traded equity securities or certain non-U.S. companies that otherwise meet our investment criteria, subject to applicable requirements of the 1940 Act. To the extent we make investments in private equity funds and hedge funds that are excluded from the definition of “investment company” under the 1940 Act by Section 3(c)(1) or 3(c)(7) of the 1940 Act, we will limit such investments to no more than 15% of our net assets.</w:t>
      </w:r>
    </w:p>
    <w:p>
      <w:pPr>
        <w:spacing w:after="0" w:line="208" w:lineRule="exact"/>
        <w:rPr>
          <w:sz w:val="20"/>
          <w:szCs w:val="20"/>
          <w:color w:val="auto"/>
        </w:rPr>
      </w:pPr>
    </w:p>
    <w:p>
      <w:pPr>
        <w:jc w:val="both"/>
        <w:ind w:firstLine="364"/>
        <w:spacing w:after="0" w:line="273" w:lineRule="auto"/>
        <w:rPr>
          <w:sz w:val="20"/>
          <w:szCs w:val="20"/>
          <w:color w:val="auto"/>
        </w:rPr>
      </w:pPr>
      <w:r>
        <w:rPr>
          <w:rFonts w:ascii="Arial" w:cs="Arial" w:eastAsia="Arial" w:hAnsi="Arial"/>
          <w:sz w:val="17"/>
          <w:szCs w:val="17"/>
          <w:color w:val="auto"/>
        </w:rPr>
        <w:t>In regard to the regulatory requirements for BDCs under the 1940 Act, some of these investments may not qualify as investments in “eligible portfolio companies,” and thus may not be considered “qualifying assets.” “Eligible portfolio companies” generally include U.S. companies that are not investment companies and that do not have securities listed on a national exchange. If at any time less than 70% of our gross assets are comprised of qualifying assets, including as a result of an increase in the value of any non-qualifying assets or decrease in the value of any qualifying assets, we would generally not be permitted to acquire any additional non-qualifying assets until such time as 70% of our then-current gross assets were comprised of qualifying assets. We would not be required, however, to dispose of any non-qualifying assets in such circumstances.</w:t>
      </w:r>
    </w:p>
    <w:p>
      <w:pPr>
        <w:spacing w:after="0" w:line="205" w:lineRule="exact"/>
        <w:rPr>
          <w:sz w:val="20"/>
          <w:szCs w:val="20"/>
          <w:color w:val="auto"/>
        </w:rPr>
      </w:pPr>
    </w:p>
    <w:p>
      <w:pPr>
        <w:jc w:val="both"/>
        <w:ind w:firstLine="364"/>
        <w:spacing w:after="0" w:line="255" w:lineRule="auto"/>
        <w:rPr>
          <w:sz w:val="20"/>
          <w:szCs w:val="20"/>
          <w:color w:val="auto"/>
        </w:rPr>
      </w:pPr>
      <w:r>
        <w:rPr>
          <w:rFonts w:ascii="Arial" w:cs="Arial" w:eastAsia="Arial" w:hAnsi="Arial"/>
          <w:sz w:val="18"/>
          <w:szCs w:val="18"/>
          <w:color w:val="auto"/>
        </w:rPr>
        <w:t>Our investment philosophy is based on a disciplined approach of identifying promising investments in high-growth, venture-backed companies across several key industry themes which may include, among others, social mobile, cloud computing and big data, internet commerce, financial technology, mobility, and enterprise software. Our investment decisions are based on a disciplined analysis of available information regarding each potential portfolio company’s business operations, focusing on the portfolio company’s growth potential, the quality of recurring revenues, and path to profitability, as well as an understanding of key market fundamentals. Venture capital funds or other institutional investors have invested in the vast majority of companies that we evaluate.</w:t>
      </w:r>
    </w:p>
    <w:p>
      <w:pPr>
        <w:spacing w:after="0" w:line="219" w:lineRule="exact"/>
        <w:rPr>
          <w:sz w:val="20"/>
          <w:szCs w:val="20"/>
          <w:color w:val="auto"/>
        </w:rPr>
      </w:pPr>
    </w:p>
    <w:p>
      <w:pPr>
        <w:jc w:val="both"/>
        <w:ind w:firstLine="364"/>
        <w:spacing w:after="0" w:line="255" w:lineRule="auto"/>
        <w:rPr>
          <w:sz w:val="20"/>
          <w:szCs w:val="20"/>
          <w:color w:val="auto"/>
        </w:rPr>
      </w:pPr>
      <w:r>
        <w:rPr>
          <w:rFonts w:ascii="Arial" w:cs="Arial" w:eastAsia="Arial" w:hAnsi="Arial"/>
          <w:sz w:val="18"/>
          <w:szCs w:val="18"/>
          <w:color w:val="auto"/>
        </w:rPr>
        <w:t>We seek to deploy capital primarily in the form of non-controlling equity and equity-related investments, including common stock, warrants, preferred stock and similar forms of senior equity, which may or may not be convertible into a portfolio company’s common equity, and convertible debt securities with a significant equity component. Typically, our preferred stock investments are non-income producing, have different voting rights than our common stock investments and are generally convertible into common stock at our discretion. As our investment strategy is primarily focused on equity positions, our investments generally do not produce current income and therefore we may be dependent on future capital raising to meet our operating needs if no other source of liquidity is available.</w:t>
      </w:r>
    </w:p>
    <w:p>
      <w:pPr>
        <w:spacing w:after="0" w:line="21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We seek to create a low-turnover portfolio that includes investments in companies representing a broad range of investment themes.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240"/>
          </w:cols>
          <w:pgMar w:left="320" w:top="122" w:right="339" w:bottom="1440" w:gutter="0" w:footer="0" w:header="0"/>
        </w:sectPr>
      </w:pPr>
    </w:p>
    <w:bookmarkStart w:id="60" w:name="page61"/>
    <w:bookmarkEnd w:id="60"/>
    <w:p>
      <w:pPr>
        <w:spacing w:after="0"/>
        <w:rPr>
          <w:rFonts w:ascii="Arial" w:cs="Arial" w:eastAsia="Arial" w:hAnsi="Arial"/>
          <w:sz w:val="14"/>
          <w:szCs w:val="14"/>
          <w:color w:val="0000FF"/>
        </w:rPr>
      </w:pPr>
      <w:hyperlink w:anchor="page1">
        <w:r>
          <w:rPr>
            <w:rFonts w:ascii="Arial" w:cs="Arial" w:eastAsia="Arial" w:hAnsi="Arial"/>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Internalization of Operating Structure</w:t>
      </w:r>
    </w:p>
    <w:p>
      <w:pPr>
        <w:spacing w:after="0" w:line="252"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On and effective March 12, 2019 (the "Effective Date"), our Board of Directors approved internalizing our operating structure ("Internalization") and we began operating as an internally managed non-diversified closed-end management investment company that has elected to be regulated as a BDC under the 1940 Act. Our Board of Directors approved the Internalization in order to better align the interests of the Company's stockholders with its management. As an internally managed BDC, the Company is managed by its employees, rather than the employees of an external investment adviser, thereby allowing for greater transparency to stockholders through robust disclosure regarding the Company's compensation structure. Prior to the Effective Date, we were externally managed by our former investment adviser, GSV Asset Management, LLC (“GSV Asset Management”), pursuant to an investment advisory agreement (the “Investment Advisory Agreement”), and our former administrator, GSV Capital Service Company, LLC (“GSV Capital Service Company”), provided the administrative services necessary for our operations pursuant to an administration agreement (the “Administration Agreement”). In connection with our Internalization, the Investment Advisory Agreement and the Administration Agreement were terminated as of the Effective Date, in accordance with their respective terms. As a result, we no longer pay any fees or expenses under an investment advisory agreement or administration agreement, and instead pay the operating costs associated with employing investment management professionals including, without limitation, compensation expenses related to salaries, discretionary bonuses and restricted stock grants. See “Note 11—Stock-Based Compensation” in this Form 10-Q for more information.</w:t>
      </w:r>
    </w:p>
    <w:p>
      <w:pPr>
        <w:spacing w:after="0" w:line="21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Except as otherwise disclosed herein, this Form 10-Q discusses our business and operations as an internally-managed BDC during the period covered by this Form 10-Q.</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COVID-19 Developments</w:t>
      </w:r>
    </w:p>
    <w:p>
      <w:pPr>
        <w:spacing w:after="0" w:line="252"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In March 2020, the outbreak of the novel coronavirus (“COVID-19”) was recognized as a pandemic by the World Health Organization. Shortly thereafter, the President of the United States declared a National Emergency throughout the United States attributable to such pandemic. The pandemic has become increasingly widespread in the United States, including in the markets in which the Company primarily operates. As of the three months ended March 31, 2021, and subsequent to March 31, 2021, the COVID-19 pandemic has had a significant impact on the U.S. and global economy.</w:t>
      </w:r>
    </w:p>
    <w:p>
      <w:pPr>
        <w:spacing w:after="0" w:line="184" w:lineRule="exact"/>
        <w:rPr>
          <w:sz w:val="20"/>
          <w:szCs w:val="20"/>
          <w:color w:val="auto"/>
        </w:rPr>
      </w:pPr>
    </w:p>
    <w:p>
      <w:pPr>
        <w:jc w:val="both"/>
        <w:ind w:firstLine="324"/>
        <w:spacing w:after="0" w:line="284" w:lineRule="auto"/>
        <w:rPr>
          <w:sz w:val="20"/>
          <w:szCs w:val="20"/>
          <w:color w:val="auto"/>
        </w:rPr>
      </w:pPr>
      <w:r>
        <w:rPr>
          <w:rFonts w:ascii="Arial" w:cs="Arial" w:eastAsia="Arial" w:hAnsi="Arial"/>
          <w:sz w:val="16"/>
          <w:szCs w:val="16"/>
          <w:color w:val="auto"/>
        </w:rPr>
        <w:t>We have and continue to assess the impact of the COVID-19 pandemic on our portfolio companies. We cannot predict the full impact of the COVID-19 pandemic, including its duration in the United States and worldwide, the effectiveness of governmental responses designed to mitigate strain to businesses and the economy, and the magnitude of the economic impact of the outbreak, including with respect to the travel restrictions, business closures and other quarantine measures imposed on service providers and other individuals by various local, state, and federal governmental authorities, as well as non-U.S. governmental authorities. While several countries, as well as certain states, counties and cities in the United States, have relaxed initial public health restrictions with a view to partially or fully reopening their economies, many cities world-wide have since experienced a surge in the reported number of cases, hospitalizations and deaths related to the COVID-19 pandemic. These increases have led to the re-introduction of restrictions and business shutdowns in certain states, counties and cities in the United States and globally and could continue to lead to the re-introduction of such restrictions and business shutdowns elsewhere. Additionally, as of March 2021, travelers from the United States are not allowed to visit Canada, Australia or the majority of countries in Europe, Asia, Africa and South America. These continued travel restrictions may prolong the global economic downturn. In addition, although the Federal Food and Drug Administration authorized vaccines produced by Pfizer-BioNTech and Moderna for emergency use starting in December 2020, it remains unclear how quickly the vaccines will be distributed nationwide and globally or when “herd immunity” will be achieved and the restrictions that were imposed to slow the spread of the virus will be lifted entirely. The delay in distributing the vaccines could lead people to continue to self-isolate and not participate in the economy at pre-pandemic levels for a prolonged period of time. Even after the COVID-19 pandemic subsides, the U.S. economy and most other major global economies may continue to experience a recession, and we anticipate our business and operations could be materially adversely affected by a prolonged recession in the United States and other major markets. As such, we are unable to predict the duration of any business and supply-chain disruptions, the extent to which the COVID-19 pandemic will negatively affect our portfolio companies’ operating results or the impact that such disruptions may have on our results of operations and financial condition. Though the magnitude of the impact remains to be seen, our portfolio companies and, by extension, our operating results may be adversely impacted by the COVID-19 pandemic and, depending on the duration and extent of the disruption to the operations of our portfolio companies, certain portfolio companies may experience financial distress and may possibly default on their financial obligations to us and their other capital providers. Some of our portfolio companies have significantly curtailed business operations, furloughed or laid off employees and terminated service providers, and deferred capital expenditures, which could impair their business on a permanent basis and additional portfolio companies may take similar actions. We continue to closely monitor our portfolio companies, which includes assessing each portfolio company’s operational and liquidity exposure and outlook; however, any of these</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240"/>
          </w:cols>
          <w:pgMar w:left="320" w:top="122" w:right="339" w:bottom="1440" w:gutter="0" w:footer="0" w:header="0"/>
        </w:sectPr>
      </w:pPr>
    </w:p>
    <w:bookmarkStart w:id="61" w:name="page62"/>
    <w:bookmarkEnd w:id="61"/>
    <w:p>
      <w:pPr>
        <w:spacing w:after="0"/>
        <w:rPr>
          <w:rFonts w:ascii="Arial" w:cs="Arial" w:eastAsia="Arial" w:hAnsi="Arial"/>
          <w:sz w:val="14"/>
          <w:szCs w:val="14"/>
          <w:color w:val="0000FF"/>
        </w:rPr>
      </w:pPr>
      <w:hyperlink w:anchor="page1">
        <w:r>
          <w:rPr>
            <w:rFonts w:ascii="Arial" w:cs="Arial" w:eastAsia="Arial" w:hAnsi="Arial"/>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developments would likely result in a decrease in the value of our investment in any such portfolio company. In addition, to the extent that the impact to our portfolio companies results in reduced interest payments or permanent impairments on our investments, we could see a decrease in our net investment income, which would increase the percentage of our cash flows dedicated to our debt obligations and could impact the amount of any future distributions to our stockholders.</w:t>
      </w:r>
    </w:p>
    <w:p>
      <w:pPr>
        <w:spacing w:after="0" w:line="214"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In response to the COVID-19 pandemic, we instituted a temporary work-from-home policy in March 2020, pursuant to which our employees have and continue to primarily work remotely without disruption to our operations. This policy will remain in effect until it is deemed safe to return to our office. As of May 5, 2021, there is no indication of a reportable subsequent event impacting the Company’s financial statements for the three months ended March 31, 2021. The Company continues to observe and respond to the evolving COVID-19 environment and its potential impact on areas across its business.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240"/>
          </w:cols>
          <w:pgMar w:left="320" w:top="122" w:right="339" w:bottom="1440" w:gutter="0" w:footer="0" w:header="0"/>
        </w:sectPr>
      </w:pPr>
    </w:p>
    <w:bookmarkStart w:id="62" w:name="page63"/>
    <w:bookmarkEnd w:id="62"/>
    <w:p>
      <w:pPr>
        <w:spacing w:after="0"/>
        <w:rPr>
          <w:rFonts w:ascii="Arial" w:cs="Arial" w:eastAsia="Arial" w:hAnsi="Arial"/>
          <w:sz w:val="14"/>
          <w:szCs w:val="14"/>
          <w:color w:val="0000FF"/>
        </w:rPr>
      </w:pPr>
      <w:hyperlink w:anchor="page1">
        <w:r>
          <w:rPr>
            <w:rFonts w:ascii="Arial" w:cs="Arial" w:eastAsia="Arial" w:hAnsi="Arial"/>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Portfolio and Investment Activity</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March 31, 2021</w:t>
      </w:r>
    </w:p>
    <w:p>
      <w:pPr>
        <w:spacing w:after="0" w:line="25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value of our investment portfolio will change over time due to changes in the fair value of our underlying investments, as well as changes in the composition of our portfolio resulting from purchases of new and follow-on investments and the sales of existing investments. The fair value, as of March 31, 2021, of all of our portfolio investments was $275,842,451.</w:t>
      </w:r>
    </w:p>
    <w:p>
      <w:pPr>
        <w:spacing w:after="0" w:line="211"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color w:val="auto"/>
        </w:rPr>
        <w:t>During the three months ended March 31, 2021, we funded investments in an aggregate amount of $9,499,978 (not including capitalized transaction costs) as shown in the following table:</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1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Portfolio Company</w:t>
            </w:r>
          </w:p>
        </w:tc>
        <w:tc>
          <w:tcPr>
            <w:tcW w:w="80" w:type="dxa"/>
            <w:vAlign w:val="bottom"/>
            <w:tcBorders>
              <w:bottom w:val="single" w:sz="8" w:color="CCEEFF"/>
            </w:tcBorders>
          </w:tcPr>
          <w:p>
            <w:pPr>
              <w:spacing w:after="0"/>
              <w:rPr>
                <w:sz w:val="18"/>
                <w:szCs w:val="18"/>
                <w:color w:val="auto"/>
              </w:rPr>
            </w:pPr>
          </w:p>
        </w:tc>
        <w:tc>
          <w:tcPr>
            <w:tcW w:w="45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Investment</w:t>
            </w:r>
          </w:p>
        </w:tc>
        <w:tc>
          <w:tcPr>
            <w:tcW w:w="240" w:type="dxa"/>
            <w:vAlign w:val="bottom"/>
            <w:tcBorders>
              <w:bottom w:val="single" w:sz="8" w:color="CCEEFF"/>
            </w:tcBorders>
          </w:tcPr>
          <w:p>
            <w:pPr>
              <w:spacing w:after="0"/>
              <w:rPr>
                <w:sz w:val="18"/>
                <w:szCs w:val="18"/>
                <w:color w:val="auto"/>
              </w:rPr>
            </w:pP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0"/>
              </w:rPr>
              <w:t>Transaction Date</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8"/>
              </w:rPr>
              <w:t>Gross Payments</w:t>
            </w:r>
          </w:p>
        </w:tc>
        <w:tc>
          <w:tcPr>
            <w:tcW w:w="0" w:type="dxa"/>
            <w:vAlign w:val="bottom"/>
          </w:tcPr>
          <w:p>
            <w:pPr>
              <w:spacing w:after="0"/>
              <w:rPr>
                <w:sz w:val="1"/>
                <w:szCs w:val="1"/>
                <w:color w:val="auto"/>
              </w:rPr>
            </w:pPr>
          </w:p>
        </w:tc>
      </w:tr>
      <w:tr>
        <w:trPr>
          <w:trHeight w:val="162"/>
        </w:trPr>
        <w:tc>
          <w:tcPr>
            <w:tcW w:w="3240" w:type="dxa"/>
            <w:vAlign w:val="bottom"/>
            <w:gridSpan w:val="2"/>
            <w:shd w:val="clear" w:color="auto" w:fill="CCEEFF"/>
          </w:tcPr>
          <w:p>
            <w:pPr>
              <w:ind w:left="20"/>
              <w:spacing w:after="0" w:line="162" w:lineRule="exact"/>
              <w:rPr>
                <w:sz w:val="20"/>
                <w:szCs w:val="20"/>
                <w:color w:val="auto"/>
              </w:rPr>
            </w:pPr>
            <w:r>
              <w:rPr>
                <w:rFonts w:ascii="Arial" w:cs="Arial" w:eastAsia="Arial" w:hAnsi="Arial"/>
                <w:sz w:val="16"/>
                <w:szCs w:val="16"/>
                <w:color w:val="auto"/>
              </w:rPr>
              <w:t>NewLake Capital Partners, Inc. (f/k/a</w:t>
            </w:r>
          </w:p>
        </w:tc>
        <w:tc>
          <w:tcPr>
            <w:tcW w:w="4780" w:type="dxa"/>
            <w:vAlign w:val="bottom"/>
            <w:gridSpan w:val="2"/>
            <w:vMerge w:val="restart"/>
            <w:shd w:val="clear" w:color="auto" w:fill="CCEEFF"/>
          </w:tcPr>
          <w:p>
            <w:pPr>
              <w:jc w:val="center"/>
              <w:ind w:right="240"/>
              <w:spacing w:after="0"/>
              <w:rPr>
                <w:sz w:val="20"/>
                <w:szCs w:val="20"/>
                <w:color w:val="auto"/>
              </w:rPr>
            </w:pPr>
            <w:r>
              <w:rPr>
                <w:rFonts w:ascii="Arial" w:cs="Arial" w:eastAsia="Arial" w:hAnsi="Arial"/>
                <w:sz w:val="16"/>
                <w:szCs w:val="16"/>
                <w:color w:val="auto"/>
                <w:w w:val="88"/>
              </w:rPr>
              <w:t>Common Shares</w:t>
            </w:r>
          </w:p>
        </w:tc>
        <w:tc>
          <w:tcPr>
            <w:tcW w:w="174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92"/>
              </w:rPr>
              <w:t>2/12/2021</w:t>
            </w:r>
          </w:p>
        </w:tc>
        <w:tc>
          <w:tcPr>
            <w:tcW w:w="100" w:type="dxa"/>
            <w:vAlign w:val="bottom"/>
            <w:shd w:val="clear" w:color="auto" w:fill="CCEEFF"/>
          </w:tcPr>
          <w:p>
            <w:pPr>
              <w:spacing w:after="0"/>
              <w:rPr>
                <w:sz w:val="14"/>
                <w:szCs w:val="14"/>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499,986</w:t>
            </w:r>
          </w:p>
        </w:tc>
        <w:tc>
          <w:tcPr>
            <w:tcW w:w="0" w:type="dxa"/>
            <w:vAlign w:val="bottom"/>
          </w:tcPr>
          <w:p>
            <w:pPr>
              <w:spacing w:after="0"/>
              <w:rPr>
                <w:sz w:val="1"/>
                <w:szCs w:val="1"/>
                <w:color w:val="auto"/>
              </w:rPr>
            </w:pPr>
          </w:p>
        </w:tc>
      </w:tr>
      <w:tr>
        <w:trPr>
          <w:trHeight w:val="212"/>
        </w:trPr>
        <w:tc>
          <w:tcPr>
            <w:tcW w:w="3240" w:type="dxa"/>
            <w:vAlign w:val="bottom"/>
            <w:gridSpan w:val="2"/>
            <w:shd w:val="clear" w:color="auto" w:fill="CCEEFF"/>
          </w:tcPr>
          <w:p>
            <w:pPr>
              <w:ind w:left="20"/>
              <w:spacing w:after="0" w:line="213" w:lineRule="exact"/>
              <w:rPr>
                <w:sz w:val="20"/>
                <w:szCs w:val="20"/>
                <w:color w:val="auto"/>
              </w:rPr>
            </w:pPr>
            <w:r>
              <w:rPr>
                <w:rFonts w:ascii="Arial" w:cs="Arial" w:eastAsia="Arial" w:hAnsi="Arial"/>
                <w:sz w:val="16"/>
                <w:szCs w:val="16"/>
                <w:color w:val="auto"/>
              </w:rPr>
              <w:t>GreenAcreage Real Estate Corp.)</w:t>
            </w:r>
            <w:r>
              <w:rPr>
                <w:rFonts w:ascii="Arial" w:cs="Arial" w:eastAsia="Arial" w:hAnsi="Arial"/>
                <w:sz w:val="21"/>
                <w:szCs w:val="21"/>
                <w:color w:val="auto"/>
                <w:vertAlign w:val="superscript"/>
              </w:rPr>
              <w:t>(1)</w:t>
            </w:r>
          </w:p>
        </w:tc>
        <w:tc>
          <w:tcPr>
            <w:tcW w:w="4780" w:type="dxa"/>
            <w:vAlign w:val="bottom"/>
            <w:gridSpan w:val="2"/>
            <w:vMerge w:val="continue"/>
            <w:shd w:val="clear" w:color="auto" w:fill="CCEEFF"/>
          </w:tcPr>
          <w:p>
            <w:pPr>
              <w:spacing w:after="0"/>
              <w:rPr>
                <w:sz w:val="18"/>
                <w:szCs w:val="18"/>
                <w:color w:val="auto"/>
              </w:rPr>
            </w:pPr>
          </w:p>
        </w:tc>
        <w:tc>
          <w:tcPr>
            <w:tcW w:w="17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12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gridSpan w:val="2"/>
          </w:tcPr>
          <w:p>
            <w:pPr>
              <w:ind w:left="20"/>
              <w:spacing w:after="0" w:line="216" w:lineRule="exact"/>
              <w:rPr>
                <w:sz w:val="20"/>
                <w:szCs w:val="20"/>
                <w:color w:val="auto"/>
              </w:rPr>
            </w:pPr>
            <w:r>
              <w:rPr>
                <w:rFonts w:ascii="Arial" w:cs="Arial" w:eastAsia="Arial" w:hAnsi="Arial"/>
                <w:sz w:val="16"/>
                <w:szCs w:val="16"/>
                <w:color w:val="auto"/>
              </w:rPr>
              <w:t>Churchill Sponsor VI LLC</w:t>
            </w:r>
            <w:r>
              <w:rPr>
                <w:rFonts w:ascii="Arial" w:cs="Arial" w:eastAsia="Arial" w:hAnsi="Arial"/>
                <w:sz w:val="21"/>
                <w:szCs w:val="21"/>
                <w:color w:val="auto"/>
                <w:vertAlign w:val="superscript"/>
              </w:rPr>
              <w:t>(2)</w:t>
            </w:r>
          </w:p>
        </w:tc>
        <w:tc>
          <w:tcPr>
            <w:tcW w:w="4780" w:type="dxa"/>
            <w:vAlign w:val="bottom"/>
            <w:gridSpan w:val="2"/>
          </w:tcPr>
          <w:p>
            <w:pPr>
              <w:jc w:val="center"/>
              <w:ind w:right="260"/>
              <w:spacing w:after="0"/>
              <w:rPr>
                <w:sz w:val="20"/>
                <w:szCs w:val="20"/>
                <w:color w:val="auto"/>
              </w:rPr>
            </w:pPr>
            <w:r>
              <w:rPr>
                <w:rFonts w:ascii="Arial" w:cs="Arial" w:eastAsia="Arial" w:hAnsi="Arial"/>
                <w:sz w:val="16"/>
                <w:szCs w:val="16"/>
                <w:color w:val="auto"/>
                <w:w w:val="93"/>
              </w:rPr>
              <w:t>Common Share Units &amp; Warrant Units</w:t>
            </w:r>
          </w:p>
        </w:tc>
        <w:tc>
          <w:tcPr>
            <w:tcW w:w="1740" w:type="dxa"/>
            <w:vAlign w:val="bottom"/>
          </w:tcPr>
          <w:p>
            <w:pPr>
              <w:jc w:val="center"/>
              <w:spacing w:after="0"/>
              <w:rPr>
                <w:sz w:val="20"/>
                <w:szCs w:val="20"/>
                <w:color w:val="auto"/>
              </w:rPr>
            </w:pPr>
            <w:r>
              <w:rPr>
                <w:rFonts w:ascii="Arial" w:cs="Arial" w:eastAsia="Arial" w:hAnsi="Arial"/>
                <w:sz w:val="16"/>
                <w:szCs w:val="16"/>
                <w:color w:val="auto"/>
                <w:w w:val="92"/>
              </w:rPr>
              <w:t>2/25/2021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200,000</w:t>
            </w:r>
          </w:p>
        </w:tc>
        <w:tc>
          <w:tcPr>
            <w:tcW w:w="0" w:type="dxa"/>
            <w:vAlign w:val="bottom"/>
          </w:tcPr>
          <w:p>
            <w:pPr>
              <w:spacing w:after="0"/>
              <w:rPr>
                <w:sz w:val="1"/>
                <w:szCs w:val="1"/>
                <w:color w:val="auto"/>
              </w:rPr>
            </w:pPr>
          </w:p>
        </w:tc>
      </w:tr>
      <w:tr>
        <w:trPr>
          <w:trHeight w:val="216"/>
        </w:trPr>
        <w:tc>
          <w:tcPr>
            <w:tcW w:w="3240" w:type="dxa"/>
            <w:vAlign w:val="bottom"/>
            <w:gridSpan w:val="2"/>
            <w:shd w:val="clear" w:color="auto" w:fill="CCEEFF"/>
          </w:tcPr>
          <w:p>
            <w:pPr>
              <w:ind w:left="20"/>
              <w:spacing w:after="0" w:line="216" w:lineRule="exact"/>
              <w:rPr>
                <w:sz w:val="20"/>
                <w:szCs w:val="20"/>
                <w:color w:val="auto"/>
              </w:rPr>
            </w:pPr>
            <w:r>
              <w:rPr>
                <w:rFonts w:ascii="Arial" w:cs="Arial" w:eastAsia="Arial" w:hAnsi="Arial"/>
                <w:sz w:val="16"/>
                <w:szCs w:val="16"/>
                <w:color w:val="auto"/>
              </w:rPr>
              <w:t>Churchill Sponsor VII LLC</w:t>
            </w:r>
            <w:r>
              <w:rPr>
                <w:rFonts w:ascii="Arial" w:cs="Arial" w:eastAsia="Arial" w:hAnsi="Arial"/>
                <w:sz w:val="21"/>
                <w:szCs w:val="21"/>
                <w:color w:val="auto"/>
                <w:vertAlign w:val="superscript"/>
              </w:rPr>
              <w:t>(3)</w:t>
            </w:r>
          </w:p>
        </w:tc>
        <w:tc>
          <w:tcPr>
            <w:tcW w:w="4780" w:type="dxa"/>
            <w:vAlign w:val="bottom"/>
            <w:gridSpan w:val="2"/>
            <w:shd w:val="clear" w:color="auto" w:fill="CCEEFF"/>
          </w:tcPr>
          <w:p>
            <w:pPr>
              <w:jc w:val="center"/>
              <w:ind w:right="260"/>
              <w:spacing w:after="0"/>
              <w:rPr>
                <w:sz w:val="20"/>
                <w:szCs w:val="20"/>
                <w:color w:val="auto"/>
              </w:rPr>
            </w:pPr>
            <w:r>
              <w:rPr>
                <w:rFonts w:ascii="Arial" w:cs="Arial" w:eastAsia="Arial" w:hAnsi="Arial"/>
                <w:sz w:val="16"/>
                <w:szCs w:val="16"/>
                <w:color w:val="auto"/>
                <w:w w:val="93"/>
              </w:rPr>
              <w:t>Common Share Units &amp; Warrant Units</w:t>
            </w: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2/25/2021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300,000</w:t>
            </w:r>
          </w:p>
        </w:tc>
        <w:tc>
          <w:tcPr>
            <w:tcW w:w="0" w:type="dxa"/>
            <w:vAlign w:val="bottom"/>
          </w:tcPr>
          <w:p>
            <w:pPr>
              <w:spacing w:after="0"/>
              <w:rPr>
                <w:sz w:val="1"/>
                <w:szCs w:val="1"/>
                <w:color w:val="auto"/>
              </w:rPr>
            </w:pPr>
          </w:p>
        </w:tc>
      </w:tr>
      <w:tr>
        <w:trPr>
          <w:trHeight w:val="216"/>
        </w:trPr>
        <w:tc>
          <w:tcPr>
            <w:tcW w:w="3240" w:type="dxa"/>
            <w:vAlign w:val="bottom"/>
            <w:gridSpan w:val="2"/>
          </w:tcPr>
          <w:p>
            <w:pPr>
              <w:ind w:left="20"/>
              <w:spacing w:after="0" w:line="216" w:lineRule="exact"/>
              <w:rPr>
                <w:sz w:val="20"/>
                <w:szCs w:val="20"/>
                <w:color w:val="auto"/>
              </w:rPr>
            </w:pPr>
            <w:r>
              <w:rPr>
                <w:rFonts w:ascii="Arial" w:cs="Arial" w:eastAsia="Arial" w:hAnsi="Arial"/>
                <w:sz w:val="16"/>
                <w:szCs w:val="16"/>
                <w:color w:val="auto"/>
              </w:rPr>
              <w:t>Shogun Enterprises, Inc.</w:t>
            </w:r>
            <w:r>
              <w:rPr>
                <w:rFonts w:ascii="Arial" w:cs="Arial" w:eastAsia="Arial" w:hAnsi="Arial"/>
                <w:sz w:val="21"/>
                <w:szCs w:val="21"/>
                <w:color w:val="auto"/>
                <w:vertAlign w:val="superscript"/>
              </w:rPr>
              <w:t>(4)</w:t>
            </w:r>
          </w:p>
        </w:tc>
        <w:tc>
          <w:tcPr>
            <w:tcW w:w="4780" w:type="dxa"/>
            <w:vAlign w:val="bottom"/>
            <w:gridSpan w:val="2"/>
          </w:tcPr>
          <w:p>
            <w:pPr>
              <w:jc w:val="center"/>
              <w:ind w:right="240"/>
              <w:spacing w:after="0"/>
              <w:rPr>
                <w:sz w:val="20"/>
                <w:szCs w:val="20"/>
                <w:color w:val="auto"/>
              </w:rPr>
            </w:pPr>
            <w:r>
              <w:rPr>
                <w:rFonts w:ascii="Arial" w:cs="Arial" w:eastAsia="Arial" w:hAnsi="Arial"/>
                <w:sz w:val="16"/>
                <w:szCs w:val="16"/>
                <w:color w:val="auto"/>
                <w:w w:val="88"/>
              </w:rPr>
              <w:t>Preferred Shares, Series B-1</w:t>
            </w:r>
          </w:p>
        </w:tc>
        <w:tc>
          <w:tcPr>
            <w:tcW w:w="1740" w:type="dxa"/>
            <w:vAlign w:val="bottom"/>
          </w:tcPr>
          <w:p>
            <w:pPr>
              <w:jc w:val="center"/>
              <w:spacing w:after="0"/>
              <w:rPr>
                <w:sz w:val="20"/>
                <w:szCs w:val="20"/>
                <w:color w:val="auto"/>
              </w:rPr>
            </w:pPr>
            <w:r>
              <w:rPr>
                <w:rFonts w:ascii="Arial" w:cs="Arial" w:eastAsia="Arial" w:hAnsi="Arial"/>
                <w:sz w:val="16"/>
                <w:szCs w:val="16"/>
                <w:color w:val="auto"/>
                <w:w w:val="92"/>
              </w:rPr>
              <w:t>2/26/2021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3,499,994</w:t>
            </w:r>
          </w:p>
        </w:tc>
        <w:tc>
          <w:tcPr>
            <w:tcW w:w="0" w:type="dxa"/>
            <w:vAlign w:val="bottom"/>
          </w:tcPr>
          <w:p>
            <w:pPr>
              <w:spacing w:after="0"/>
              <w:rPr>
                <w:sz w:val="1"/>
                <w:szCs w:val="1"/>
                <w:color w:val="auto"/>
              </w:rPr>
            </w:pPr>
          </w:p>
        </w:tc>
      </w:tr>
      <w:tr>
        <w:trPr>
          <w:trHeight w:val="216"/>
        </w:trPr>
        <w:tc>
          <w:tcPr>
            <w:tcW w:w="3240" w:type="dxa"/>
            <w:vAlign w:val="bottom"/>
            <w:gridSpan w:val="2"/>
            <w:shd w:val="clear" w:color="auto" w:fill="CCEEFF"/>
          </w:tcPr>
          <w:p>
            <w:pPr>
              <w:ind w:left="20"/>
              <w:spacing w:after="0" w:line="216" w:lineRule="exact"/>
              <w:rPr>
                <w:sz w:val="20"/>
                <w:szCs w:val="20"/>
                <w:color w:val="auto"/>
              </w:rPr>
            </w:pPr>
            <w:r>
              <w:rPr>
                <w:rFonts w:ascii="Arial" w:cs="Arial" w:eastAsia="Arial" w:hAnsi="Arial"/>
                <w:sz w:val="16"/>
                <w:szCs w:val="16"/>
                <w:color w:val="auto"/>
              </w:rPr>
              <w:t>Shogun Enterprises, Inc.</w:t>
            </w:r>
            <w:r>
              <w:rPr>
                <w:rFonts w:ascii="Arial" w:cs="Arial" w:eastAsia="Arial" w:hAnsi="Arial"/>
                <w:sz w:val="21"/>
                <w:szCs w:val="21"/>
                <w:color w:val="auto"/>
                <w:vertAlign w:val="superscript"/>
              </w:rPr>
              <w:t>(4)</w:t>
            </w:r>
          </w:p>
        </w:tc>
        <w:tc>
          <w:tcPr>
            <w:tcW w:w="4780" w:type="dxa"/>
            <w:vAlign w:val="bottom"/>
            <w:gridSpan w:val="2"/>
            <w:shd w:val="clear" w:color="auto" w:fill="CCEEFF"/>
          </w:tcPr>
          <w:p>
            <w:pPr>
              <w:jc w:val="center"/>
              <w:ind w:right="240"/>
              <w:spacing w:after="0"/>
              <w:rPr>
                <w:sz w:val="20"/>
                <w:szCs w:val="20"/>
                <w:color w:val="auto"/>
              </w:rPr>
            </w:pPr>
            <w:r>
              <w:rPr>
                <w:rFonts w:ascii="Arial" w:cs="Arial" w:eastAsia="Arial" w:hAnsi="Arial"/>
                <w:sz w:val="16"/>
                <w:szCs w:val="16"/>
                <w:color w:val="auto"/>
                <w:w w:val="88"/>
              </w:rPr>
              <w:t>Preferred Shares, Series B-2</w:t>
            </w: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2/26/2021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3,499,998</w:t>
            </w:r>
          </w:p>
        </w:tc>
        <w:tc>
          <w:tcPr>
            <w:tcW w:w="0" w:type="dxa"/>
            <w:vAlign w:val="bottom"/>
          </w:tcPr>
          <w:p>
            <w:pPr>
              <w:spacing w:after="0"/>
              <w:rPr>
                <w:sz w:val="1"/>
                <w:szCs w:val="1"/>
                <w:color w:val="auto"/>
              </w:rPr>
            </w:pPr>
          </w:p>
        </w:tc>
      </w:tr>
      <w:tr>
        <w:trPr>
          <w:trHeight w:val="216"/>
        </w:trPr>
        <w:tc>
          <w:tcPr>
            <w:tcW w:w="3240" w:type="dxa"/>
            <w:vAlign w:val="bottom"/>
            <w:gridSpan w:val="2"/>
          </w:tcPr>
          <w:p>
            <w:pPr>
              <w:ind w:left="20"/>
              <w:spacing w:after="0" w:line="216" w:lineRule="exact"/>
              <w:rPr>
                <w:sz w:val="20"/>
                <w:szCs w:val="20"/>
                <w:color w:val="auto"/>
              </w:rPr>
            </w:pPr>
            <w:r>
              <w:rPr>
                <w:rFonts w:ascii="Arial" w:cs="Arial" w:eastAsia="Arial" w:hAnsi="Arial"/>
                <w:sz w:val="16"/>
                <w:szCs w:val="16"/>
                <w:color w:val="auto"/>
              </w:rPr>
              <w:t>Architect Capital PayJoy SPV, LLC</w:t>
            </w:r>
            <w:r>
              <w:rPr>
                <w:rFonts w:ascii="Arial" w:cs="Arial" w:eastAsia="Arial" w:hAnsi="Arial"/>
                <w:sz w:val="21"/>
                <w:szCs w:val="21"/>
                <w:color w:val="auto"/>
                <w:vertAlign w:val="superscript"/>
              </w:rPr>
              <w:t>(5)</w:t>
            </w:r>
          </w:p>
        </w:tc>
        <w:tc>
          <w:tcPr>
            <w:tcW w:w="4780" w:type="dxa"/>
            <w:vAlign w:val="bottom"/>
            <w:gridSpan w:val="2"/>
          </w:tcPr>
          <w:p>
            <w:pPr>
              <w:jc w:val="center"/>
              <w:ind w:right="240"/>
              <w:spacing w:after="0"/>
              <w:rPr>
                <w:sz w:val="20"/>
                <w:szCs w:val="20"/>
                <w:color w:val="auto"/>
              </w:rPr>
            </w:pPr>
            <w:r>
              <w:rPr>
                <w:rFonts w:ascii="Arial" w:cs="Arial" w:eastAsia="Arial" w:hAnsi="Arial"/>
                <w:sz w:val="16"/>
                <w:szCs w:val="16"/>
                <w:color w:val="auto"/>
                <w:w w:val="92"/>
              </w:rPr>
              <w:t>Membership Interest in Lending SPV</w:t>
            </w:r>
          </w:p>
        </w:tc>
        <w:tc>
          <w:tcPr>
            <w:tcW w:w="1740" w:type="dxa"/>
            <w:vAlign w:val="bottom"/>
          </w:tcPr>
          <w:p>
            <w:pPr>
              <w:jc w:val="center"/>
              <w:spacing w:after="0"/>
              <w:rPr>
                <w:sz w:val="20"/>
                <w:szCs w:val="20"/>
                <w:color w:val="auto"/>
              </w:rPr>
            </w:pPr>
            <w:r>
              <w:rPr>
                <w:rFonts w:ascii="Arial" w:cs="Arial" w:eastAsia="Arial" w:hAnsi="Arial"/>
                <w:sz w:val="16"/>
                <w:szCs w:val="16"/>
                <w:color w:val="auto"/>
                <w:w w:val="92"/>
              </w:rPr>
              <w:t>3/24/2021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500,000</w:t>
            </w:r>
          </w:p>
        </w:tc>
        <w:tc>
          <w:tcPr>
            <w:tcW w:w="0" w:type="dxa"/>
            <w:vAlign w:val="bottom"/>
          </w:tcPr>
          <w:p>
            <w:pPr>
              <w:spacing w:after="0"/>
              <w:rPr>
                <w:sz w:val="1"/>
                <w:szCs w:val="1"/>
                <w:color w:val="auto"/>
              </w:rPr>
            </w:pPr>
          </w:p>
        </w:tc>
      </w:tr>
      <w:tr>
        <w:trPr>
          <w:trHeight w:val="166"/>
        </w:trPr>
        <w:tc>
          <w:tcPr>
            <w:tcW w:w="3240" w:type="dxa"/>
            <w:vAlign w:val="bottom"/>
            <w:gridSpan w:val="2"/>
            <w:shd w:val="clear" w:color="auto" w:fill="CCEEFF"/>
          </w:tcPr>
          <w:p>
            <w:pPr>
              <w:ind w:left="20"/>
              <w:spacing w:after="0" w:line="166" w:lineRule="exact"/>
              <w:rPr>
                <w:sz w:val="20"/>
                <w:szCs w:val="20"/>
                <w:color w:val="auto"/>
              </w:rPr>
            </w:pPr>
            <w:r>
              <w:rPr>
                <w:rFonts w:ascii="Arial" w:cs="Arial" w:eastAsia="Arial" w:hAnsi="Arial"/>
                <w:sz w:val="16"/>
                <w:szCs w:val="16"/>
                <w:color w:val="auto"/>
              </w:rPr>
              <w:t>Commercial Streaming Solutions Inc. (d/b/a</w:t>
            </w:r>
          </w:p>
        </w:tc>
        <w:tc>
          <w:tcPr>
            <w:tcW w:w="4780" w:type="dxa"/>
            <w:vAlign w:val="bottom"/>
            <w:gridSpan w:val="2"/>
            <w:vMerge w:val="restart"/>
            <w:shd w:val="clear" w:color="auto" w:fill="CCEEFF"/>
          </w:tcPr>
          <w:p>
            <w:pPr>
              <w:jc w:val="center"/>
              <w:ind w:right="240"/>
              <w:spacing w:after="0"/>
              <w:rPr>
                <w:sz w:val="20"/>
                <w:szCs w:val="20"/>
                <w:color w:val="auto"/>
              </w:rPr>
            </w:pPr>
            <w:r>
              <w:rPr>
                <w:rFonts w:ascii="Arial" w:cs="Arial" w:eastAsia="Arial" w:hAnsi="Arial"/>
                <w:sz w:val="16"/>
                <w:szCs w:val="16"/>
                <w:color w:val="auto"/>
                <w:w w:val="94"/>
              </w:rPr>
              <w:t>Simple Agreement for Future Equity ("SAFE")</w:t>
            </w:r>
          </w:p>
        </w:tc>
        <w:tc>
          <w:tcPr>
            <w:tcW w:w="174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92"/>
              </w:rPr>
              <w:t>3/25/2021</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1,000,000</w:t>
            </w:r>
          </w:p>
        </w:tc>
        <w:tc>
          <w:tcPr>
            <w:tcW w:w="0" w:type="dxa"/>
            <w:vAlign w:val="bottom"/>
          </w:tcPr>
          <w:p>
            <w:pPr>
              <w:spacing w:after="0"/>
              <w:rPr>
                <w:sz w:val="1"/>
                <w:szCs w:val="1"/>
                <w:color w:val="auto"/>
              </w:rPr>
            </w:pPr>
          </w:p>
        </w:tc>
      </w:tr>
      <w:tr>
        <w:trPr>
          <w:trHeight w:val="209"/>
        </w:trPr>
        <w:tc>
          <w:tcPr>
            <w:tcW w:w="32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BettorView)</w:t>
            </w:r>
          </w:p>
        </w:tc>
        <w:tc>
          <w:tcPr>
            <w:tcW w:w="4780" w:type="dxa"/>
            <w:vAlign w:val="bottom"/>
            <w:gridSpan w:val="2"/>
            <w:vMerge w:val="continue"/>
            <w:shd w:val="clear" w:color="auto" w:fill="CCEEFF"/>
          </w:tcPr>
          <w:p>
            <w:pPr>
              <w:spacing w:after="0"/>
              <w:rPr>
                <w:sz w:val="18"/>
                <w:szCs w:val="18"/>
                <w:color w:val="auto"/>
              </w:rPr>
            </w:pPr>
          </w:p>
        </w:tc>
        <w:tc>
          <w:tcPr>
            <w:tcW w:w="17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240" w:type="dxa"/>
            <w:vAlign w:val="bottom"/>
            <w:gridSpan w:val="2"/>
          </w:tcPr>
          <w:p>
            <w:pPr>
              <w:ind w:left="140"/>
              <w:spacing w:after="0"/>
              <w:rPr>
                <w:sz w:val="20"/>
                <w:szCs w:val="20"/>
                <w:color w:val="auto"/>
              </w:rPr>
            </w:pPr>
            <w:r>
              <w:rPr>
                <w:rFonts w:ascii="Arial" w:cs="Arial" w:eastAsia="Arial" w:hAnsi="Arial"/>
                <w:sz w:val="16"/>
                <w:szCs w:val="16"/>
                <w:b w:val="1"/>
                <w:bCs w:val="1"/>
                <w:color w:val="auto"/>
              </w:rPr>
              <w:t>Total</w:t>
            </w:r>
          </w:p>
        </w:tc>
        <w:tc>
          <w:tcPr>
            <w:tcW w:w="4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9,499,978</w:t>
            </w:r>
          </w:p>
        </w:tc>
        <w:tc>
          <w:tcPr>
            <w:tcW w:w="0" w:type="dxa"/>
            <w:vAlign w:val="bottom"/>
          </w:tcPr>
          <w:p>
            <w:pPr>
              <w:spacing w:after="0"/>
              <w:rPr>
                <w:sz w:val="1"/>
                <w:szCs w:val="1"/>
                <w:color w:val="auto"/>
              </w:rPr>
            </w:pPr>
          </w:p>
        </w:tc>
      </w:tr>
      <w:tr>
        <w:trPr>
          <w:trHeight w:val="20"/>
        </w:trPr>
        <w:tc>
          <w:tcPr>
            <w:tcW w:w="3160" w:type="dxa"/>
            <w:vAlign w:val="bottom"/>
            <w:vMerge w:val="restart"/>
          </w:tcPr>
          <w:p>
            <w:pPr>
              <w:spacing w:after="0"/>
              <w:rPr>
                <w:sz w:val="20"/>
                <w:szCs w:val="20"/>
                <w:color w:val="auto"/>
              </w:rPr>
            </w:pPr>
            <w:r>
              <w:rPr>
                <w:rFonts w:ascii="Arial" w:cs="Arial" w:eastAsia="Arial" w:hAnsi="Arial"/>
                <w:sz w:val="14"/>
                <w:szCs w:val="14"/>
                <w:b w:val="1"/>
                <w:bCs w:val="1"/>
                <w:color w:val="auto"/>
              </w:rPr>
              <w:t>_________________________________</w:t>
            </w:r>
          </w:p>
        </w:tc>
        <w:tc>
          <w:tcPr>
            <w:tcW w:w="80" w:type="dxa"/>
            <w:vAlign w:val="bottom"/>
            <w:vMerge w:val="restart"/>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7"/>
        </w:trPr>
        <w:tc>
          <w:tcPr>
            <w:tcW w:w="3160" w:type="dxa"/>
            <w:vAlign w:val="bottom"/>
            <w:vMerge w:val="continue"/>
          </w:tcPr>
          <w:p>
            <w:pPr>
              <w:spacing w:after="0"/>
              <w:rPr>
                <w:sz w:val="13"/>
                <w:szCs w:val="13"/>
                <w:color w:val="auto"/>
              </w:rPr>
            </w:pPr>
          </w:p>
        </w:tc>
        <w:tc>
          <w:tcPr>
            <w:tcW w:w="80" w:type="dxa"/>
            <w:vAlign w:val="bottom"/>
            <w:vMerge w:val="continue"/>
          </w:tcPr>
          <w:p>
            <w:pPr>
              <w:spacing w:after="0"/>
              <w:rPr>
                <w:sz w:val="13"/>
                <w:szCs w:val="13"/>
                <w:color w:val="auto"/>
              </w:rPr>
            </w:pPr>
          </w:p>
        </w:tc>
        <w:tc>
          <w:tcPr>
            <w:tcW w:w="4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ind w:left="500" w:hanging="492"/>
        <w:spacing w:after="0" w:line="248" w:lineRule="auto"/>
        <w:tabs>
          <w:tab w:leader="none" w:pos="500" w:val="left"/>
        </w:tabs>
        <w:numPr>
          <w:ilvl w:val="0"/>
          <w:numId w:val="39"/>
        </w:numPr>
        <w:rPr>
          <w:rFonts w:ascii="Arial" w:cs="Arial" w:eastAsia="Arial" w:hAnsi="Arial"/>
          <w:sz w:val="16"/>
          <w:szCs w:val="16"/>
          <w:color w:val="auto"/>
        </w:rPr>
      </w:pPr>
      <w:r>
        <w:rPr>
          <w:rFonts w:ascii="Arial" w:cs="Arial" w:eastAsia="Arial" w:hAnsi="Arial"/>
          <w:sz w:val="16"/>
          <w:szCs w:val="16"/>
          <w:color w:val="auto"/>
        </w:rPr>
        <w:t>As of March 18, 2021, GreenAcreage Real Estate Corp. completed its merger with NewLake Capital Partners, Inc., rebranding under the name NewLake Capital Partners, Inc.</w:t>
      </w:r>
    </w:p>
    <w:p>
      <w:pPr>
        <w:jc w:val="both"/>
        <w:ind w:left="500" w:hanging="492"/>
        <w:spacing w:after="0" w:line="262" w:lineRule="auto"/>
        <w:tabs>
          <w:tab w:leader="none" w:pos="500" w:val="left"/>
        </w:tabs>
        <w:numPr>
          <w:ilvl w:val="0"/>
          <w:numId w:val="39"/>
        </w:numPr>
        <w:rPr>
          <w:rFonts w:ascii="Arial" w:cs="Arial" w:eastAsia="Arial" w:hAnsi="Arial"/>
          <w:sz w:val="15"/>
          <w:szCs w:val="15"/>
          <w:color w:val="auto"/>
        </w:rPr>
      </w:pPr>
      <w:r>
        <w:rPr>
          <w:rFonts w:ascii="Arial" w:cs="Arial" w:eastAsia="Arial" w:hAnsi="Arial"/>
          <w:sz w:val="15"/>
          <w:szCs w:val="15"/>
          <w:color w:val="auto"/>
        </w:rPr>
        <w:t>Churchill Sponsor VI LLC is the sponsor of Churchill Capital Corp VI, a blank check company formed for the purpose of effecting a merger, capital stock exchange, asset acquisition, stock purchase, reorganization or similar business combination with one or more businesses. Our investment in Churchill Sponsor VI LLC constitutes a “remote-affiliate” transaction for purposes of the 1940 Act in light of the fact that Mark Klein, our Chairman, CEO and President, has a non-controlling interest in the entity that controls Churchill Sponsor VI LLC, and is a non-controlling board member of Churchill Capital Corp VI.</w:t>
      </w:r>
    </w:p>
    <w:p>
      <w:pPr>
        <w:spacing w:after="0" w:line="2" w:lineRule="exact"/>
        <w:rPr>
          <w:rFonts w:ascii="Arial" w:cs="Arial" w:eastAsia="Arial" w:hAnsi="Arial"/>
          <w:sz w:val="15"/>
          <w:szCs w:val="15"/>
          <w:color w:val="auto"/>
        </w:rPr>
      </w:pPr>
    </w:p>
    <w:p>
      <w:pPr>
        <w:jc w:val="both"/>
        <w:ind w:left="500" w:hanging="492"/>
        <w:spacing w:after="0" w:line="262" w:lineRule="auto"/>
        <w:tabs>
          <w:tab w:leader="none" w:pos="500" w:val="left"/>
        </w:tabs>
        <w:numPr>
          <w:ilvl w:val="0"/>
          <w:numId w:val="39"/>
        </w:numPr>
        <w:rPr>
          <w:rFonts w:ascii="Arial" w:cs="Arial" w:eastAsia="Arial" w:hAnsi="Arial"/>
          <w:sz w:val="15"/>
          <w:szCs w:val="15"/>
          <w:color w:val="auto"/>
        </w:rPr>
      </w:pPr>
      <w:r>
        <w:rPr>
          <w:rFonts w:ascii="Arial" w:cs="Arial" w:eastAsia="Arial" w:hAnsi="Arial"/>
          <w:sz w:val="15"/>
          <w:szCs w:val="15"/>
          <w:color w:val="auto"/>
        </w:rPr>
        <w:t>Churchill Sponsor VII LLC is the sponsor of Churchill Capital Corp VII, a blank check company formed for the purpose of effecting a merger, capital stock exchange, asset acquisition, stock purchase, reorganization or similar business combination with one or more businesses. Our investment in Churchill Sponsor VII LLC constitutes a “remote-affiliate” transaction for purposes of the 1940 Act in light of the fact that Mark Klein, our Chairman, CEO and President, has a non-controlling interest in the entity that controls Churchill Sponsor VII LLC, and is a non-controlling board member of Churchill Capital Corp VII.</w:t>
      </w:r>
    </w:p>
    <w:p>
      <w:pPr>
        <w:spacing w:after="0" w:line="2" w:lineRule="exact"/>
        <w:rPr>
          <w:rFonts w:ascii="Arial" w:cs="Arial" w:eastAsia="Arial" w:hAnsi="Arial"/>
          <w:sz w:val="15"/>
          <w:szCs w:val="15"/>
          <w:color w:val="auto"/>
        </w:rPr>
      </w:pPr>
    </w:p>
    <w:p>
      <w:pPr>
        <w:ind w:left="500" w:right="20" w:hanging="492"/>
        <w:spacing w:after="0" w:line="246" w:lineRule="auto"/>
        <w:tabs>
          <w:tab w:leader="none" w:pos="500" w:val="left"/>
        </w:tabs>
        <w:numPr>
          <w:ilvl w:val="0"/>
          <w:numId w:val="39"/>
        </w:numPr>
        <w:rPr>
          <w:rFonts w:ascii="Arial" w:cs="Arial" w:eastAsia="Arial" w:hAnsi="Arial"/>
          <w:sz w:val="16"/>
          <w:szCs w:val="16"/>
          <w:color w:val="auto"/>
        </w:rPr>
      </w:pPr>
      <w:r>
        <w:rPr>
          <w:rFonts w:ascii="Arial" w:cs="Arial" w:eastAsia="Arial" w:hAnsi="Arial"/>
          <w:sz w:val="16"/>
          <w:szCs w:val="16"/>
          <w:color w:val="auto"/>
        </w:rPr>
        <w:t>Keri Findley, a senior managing director of the Company, is a non-controlling member of the board of directors of Shogun Enterprises, Inc. and holds a minority equity interest in such company.</w:t>
      </w:r>
    </w:p>
    <w:p>
      <w:pPr>
        <w:jc w:val="both"/>
        <w:ind w:left="500" w:hanging="492"/>
        <w:spacing w:after="0" w:line="251" w:lineRule="auto"/>
        <w:tabs>
          <w:tab w:leader="none" w:pos="500" w:val="left"/>
        </w:tabs>
        <w:numPr>
          <w:ilvl w:val="0"/>
          <w:numId w:val="39"/>
        </w:numPr>
        <w:rPr>
          <w:rFonts w:ascii="Arial" w:cs="Arial" w:eastAsia="Arial" w:hAnsi="Arial"/>
          <w:sz w:val="16"/>
          <w:szCs w:val="16"/>
          <w:color w:val="auto"/>
        </w:rPr>
      </w:pPr>
      <w:r>
        <w:rPr>
          <w:rFonts w:ascii="Arial" w:cs="Arial" w:eastAsia="Arial" w:hAnsi="Arial"/>
          <w:sz w:val="16"/>
          <w:szCs w:val="16"/>
          <w:color w:val="auto"/>
        </w:rPr>
        <w:t>As of March 31, 2021, $0.5 million of the $10.0 million capital commitment representing our Membership Interest in Architect Capital PayJoy SPV, LLC had been called and funded. Keri Findley is a non-controlling member of the board of directors of the investment manager to Architect Capital PayJoy SPV, LLC and holds a minority equity interest in such investment manager.</w:t>
      </w:r>
    </w:p>
    <w:p>
      <w:pPr>
        <w:spacing w:after="0" w:line="214" w:lineRule="exact"/>
        <w:rPr>
          <w:sz w:val="20"/>
          <w:szCs w:val="20"/>
          <w:color w:val="auto"/>
        </w:rPr>
      </w:pPr>
    </w:p>
    <w:p>
      <w:pPr>
        <w:ind w:left="180"/>
        <w:spacing w:after="0"/>
        <w:rPr>
          <w:sz w:val="20"/>
          <w:szCs w:val="20"/>
          <w:color w:val="auto"/>
        </w:rPr>
      </w:pPr>
      <w:r>
        <w:rPr>
          <w:rFonts w:ascii="Arial" w:cs="Arial" w:eastAsia="Arial" w:hAnsi="Arial"/>
          <w:sz w:val="18"/>
          <w:szCs w:val="18"/>
          <w:color w:val="auto"/>
        </w:rPr>
        <w:t>During the three months ended March 31, 2021, we capitalized fees of $3,658.</w:t>
      </w:r>
    </w:p>
    <w:p>
      <w:pPr>
        <w:spacing w:after="0" w:line="252" w:lineRule="exact"/>
        <w:rPr>
          <w:sz w:val="20"/>
          <w:szCs w:val="20"/>
          <w:color w:val="auto"/>
        </w:rPr>
      </w:pPr>
    </w:p>
    <w:p>
      <w:pPr>
        <w:ind w:firstLine="182"/>
        <w:spacing w:after="0" w:line="342" w:lineRule="auto"/>
        <w:rPr>
          <w:sz w:val="20"/>
          <w:szCs w:val="20"/>
          <w:color w:val="auto"/>
        </w:rPr>
      </w:pPr>
      <w:r>
        <w:rPr>
          <w:rFonts w:ascii="Arial" w:cs="Arial" w:eastAsia="Arial" w:hAnsi="Arial"/>
          <w:sz w:val="16"/>
          <w:szCs w:val="16"/>
          <w:color w:val="auto"/>
        </w:rPr>
        <w:t>During the three months ended March 31, 2021, we exited or received proceeds from investments in an amount of $125,387,267, net of transaction costs, and realized a net gain on investments of $112,152,518 (including adjustments to amounts held in escrow receivable) as shown in following table:</w:t>
      </w:r>
    </w:p>
    <w:p>
      <w:pPr>
        <w:spacing w:after="0" w:line="18" w:lineRule="exact"/>
        <w:rPr>
          <w:sz w:val="20"/>
          <w:szCs w:val="20"/>
          <w:color w:val="auto"/>
        </w:rPr>
      </w:pPr>
    </w:p>
    <w:tbl>
      <w:tblPr>
        <w:tblLayout w:type="fixed"/>
        <w:tblInd w:w="40" w:type="dxa"/>
        <w:tblCellMar>
          <w:top w:w="0" w:type="dxa"/>
          <w:left w:w="0" w:type="dxa"/>
          <w:bottom w:w="0" w:type="dxa"/>
          <w:right w:w="0" w:type="dxa"/>
        </w:tblCellMar>
      </w:tblPr>
      <w:tr>
        <w:trPr>
          <w:trHeight w:val="241"/>
        </w:trPr>
        <w:tc>
          <w:tcPr>
            <w:tcW w:w="7660" w:type="dxa"/>
            <w:vAlign w:val="bottom"/>
            <w:gridSpan w:val="2"/>
          </w:tcPr>
          <w:p>
            <w:pPr>
              <w:ind w:left="20"/>
              <w:spacing w:after="0"/>
              <w:rPr>
                <w:sz w:val="20"/>
                <w:szCs w:val="20"/>
                <w:color w:val="auto"/>
              </w:rPr>
            </w:pPr>
            <w:r>
              <w:rPr>
                <w:rFonts w:ascii="Arial" w:cs="Arial" w:eastAsia="Arial" w:hAnsi="Arial"/>
                <w:sz w:val="16"/>
                <w:szCs w:val="16"/>
                <w:b w:val="1"/>
                <w:bCs w:val="1"/>
                <w:color w:val="auto"/>
              </w:rPr>
              <w:t>Portfolio Company</w:t>
            </w:r>
          </w:p>
        </w:tc>
        <w:tc>
          <w:tcPr>
            <w:tcW w:w="240" w:type="dxa"/>
            <w:vAlign w:val="bottom"/>
          </w:tcPr>
          <w:p>
            <w:pPr>
              <w:spacing w:after="0"/>
              <w:rPr>
                <w:sz w:val="20"/>
                <w:szCs w:val="20"/>
                <w:color w:val="auto"/>
              </w:rPr>
            </w:pPr>
          </w:p>
        </w:tc>
        <w:tc>
          <w:tcPr>
            <w:tcW w:w="1580" w:type="dxa"/>
            <w:vAlign w:val="bottom"/>
            <w:gridSpan w:val="2"/>
          </w:tcPr>
          <w:p>
            <w:pPr>
              <w:ind w:left="160"/>
              <w:spacing w:after="0"/>
              <w:rPr>
                <w:sz w:val="20"/>
                <w:szCs w:val="20"/>
                <w:color w:val="auto"/>
              </w:rPr>
            </w:pPr>
            <w:r>
              <w:rPr>
                <w:rFonts w:ascii="Arial" w:cs="Arial" w:eastAsia="Arial" w:hAnsi="Arial"/>
                <w:sz w:val="16"/>
                <w:szCs w:val="16"/>
                <w:b w:val="1"/>
                <w:bCs w:val="1"/>
                <w:color w:val="auto"/>
              </w:rPr>
              <w:t>Net Proceeds</w:t>
            </w:r>
          </w:p>
        </w:tc>
        <w:tc>
          <w:tcPr>
            <w:tcW w:w="180" w:type="dxa"/>
            <w:vAlign w:val="bottom"/>
          </w:tcPr>
          <w:p>
            <w:pPr>
              <w:spacing w:after="0"/>
              <w:rPr>
                <w:sz w:val="20"/>
                <w:szCs w:val="20"/>
                <w:color w:val="auto"/>
              </w:rPr>
            </w:pPr>
          </w:p>
        </w:tc>
        <w:tc>
          <w:tcPr>
            <w:tcW w:w="1520" w:type="dxa"/>
            <w:vAlign w:val="bottom"/>
          </w:tcPr>
          <w:p>
            <w:pPr>
              <w:jc w:val="right"/>
              <w:ind w:right="237"/>
              <w:spacing w:after="0"/>
              <w:rPr>
                <w:sz w:val="20"/>
                <w:szCs w:val="20"/>
                <w:color w:val="auto"/>
              </w:rPr>
            </w:pPr>
            <w:r>
              <w:rPr>
                <w:rFonts w:ascii="Arial" w:cs="Arial" w:eastAsia="Arial" w:hAnsi="Arial"/>
                <w:sz w:val="16"/>
                <w:szCs w:val="16"/>
                <w:b w:val="1"/>
                <w:bCs w:val="1"/>
                <w:color w:val="auto"/>
                <w:w w:val="96"/>
              </w:rPr>
              <w:t>Realized Gain</w:t>
            </w:r>
            <w:r>
              <w:rPr>
                <w:rFonts w:ascii="Arial" w:cs="Arial" w:eastAsia="Arial" w:hAnsi="Arial"/>
                <w:sz w:val="21"/>
                <w:szCs w:val="21"/>
                <w:b w:val="1"/>
                <w:bCs w:val="1"/>
                <w:color w:val="auto"/>
                <w:w w:val="96"/>
                <w:vertAlign w:val="superscript"/>
              </w:rPr>
              <w:t>(1)</w:t>
            </w:r>
          </w:p>
        </w:tc>
      </w:tr>
      <w:tr>
        <w:trPr>
          <w:trHeight w:val="210"/>
        </w:trPr>
        <w:tc>
          <w:tcPr>
            <w:tcW w:w="7560" w:type="dxa"/>
            <w:vAlign w:val="bottom"/>
            <w:tcBorders>
              <w:top w:val="single" w:sz="8" w:color="auto"/>
            </w:tcBorders>
            <w:shd w:val="clear" w:color="auto" w:fill="CCEEFF"/>
          </w:tcPr>
          <w:p>
            <w:pPr>
              <w:ind w:left="20"/>
              <w:spacing w:after="0" w:line="210" w:lineRule="exact"/>
              <w:rPr>
                <w:sz w:val="20"/>
                <w:szCs w:val="20"/>
                <w:color w:val="auto"/>
              </w:rPr>
            </w:pPr>
            <w:r>
              <w:rPr>
                <w:rFonts w:ascii="Arial" w:cs="Arial" w:eastAsia="Arial" w:hAnsi="Arial"/>
                <w:sz w:val="16"/>
                <w:szCs w:val="16"/>
                <w:color w:val="auto"/>
              </w:rPr>
              <w:t>Palantir Technologies, Inc.</w:t>
            </w:r>
            <w:r>
              <w:rPr>
                <w:rFonts w:ascii="Arial" w:cs="Arial" w:eastAsia="Arial" w:hAnsi="Arial"/>
                <w:sz w:val="21"/>
                <w:szCs w:val="21"/>
                <w:color w:val="auto"/>
                <w:vertAlign w:val="superscript"/>
              </w:rPr>
              <w:t>(2)</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123,419,184</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110,544,068</w:t>
            </w:r>
          </w:p>
        </w:tc>
      </w:tr>
      <w:tr>
        <w:trPr>
          <w:trHeight w:val="216"/>
        </w:trPr>
        <w:tc>
          <w:tcPr>
            <w:tcW w:w="7660" w:type="dxa"/>
            <w:vAlign w:val="bottom"/>
            <w:gridSpan w:val="2"/>
          </w:tcPr>
          <w:p>
            <w:pPr>
              <w:ind w:left="20"/>
              <w:spacing w:after="0" w:line="216" w:lineRule="exact"/>
              <w:rPr>
                <w:sz w:val="20"/>
                <w:szCs w:val="20"/>
                <w:color w:val="auto"/>
              </w:rPr>
            </w:pPr>
            <w:r>
              <w:rPr>
                <w:rFonts w:ascii="Arial" w:cs="Arial" w:eastAsia="Arial" w:hAnsi="Arial"/>
                <w:sz w:val="16"/>
                <w:szCs w:val="16"/>
                <w:color w:val="auto"/>
              </w:rPr>
              <w:t>Palantir Lending Trust SPV I</w:t>
            </w:r>
            <w:r>
              <w:rPr>
                <w:rFonts w:ascii="Arial" w:cs="Arial" w:eastAsia="Arial" w:hAnsi="Arial"/>
                <w:sz w:val="21"/>
                <w:szCs w:val="21"/>
                <w:color w:val="auto"/>
                <w:vertAlign w:val="superscript"/>
              </w:rPr>
              <w:t>(3)</w:t>
            </w:r>
          </w:p>
        </w:tc>
        <w:tc>
          <w:tcPr>
            <w:tcW w:w="2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1,608,604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1,608,604</w:t>
            </w:r>
          </w:p>
        </w:tc>
      </w:tr>
      <w:tr>
        <w:trPr>
          <w:trHeight w:val="230"/>
        </w:trPr>
        <w:tc>
          <w:tcPr>
            <w:tcW w:w="766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6"/>
                <w:szCs w:val="16"/>
                <w:color w:val="auto"/>
              </w:rPr>
              <w:t>Residential Homes for Rent, LLC (d/b/a Second Avenue)</w:t>
            </w:r>
            <w:r>
              <w:rPr>
                <w:rFonts w:ascii="Arial" w:cs="Arial" w:eastAsia="Arial" w:hAnsi="Arial"/>
                <w:sz w:val="21"/>
                <w:szCs w:val="21"/>
                <w:color w:val="auto"/>
                <w:vertAlign w:val="superscript"/>
              </w:rPr>
              <w:t>(4)</w:t>
            </w:r>
          </w:p>
        </w:tc>
        <w:tc>
          <w:tcPr>
            <w:tcW w:w="2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359,479</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0"/>
        </w:trPr>
        <w:tc>
          <w:tcPr>
            <w:tcW w:w="7660" w:type="dxa"/>
            <w:vAlign w:val="bottom"/>
            <w:gridSpan w:val="2"/>
          </w:tcPr>
          <w:p>
            <w:pPr>
              <w:ind w:left="120"/>
              <w:spacing w:after="0"/>
              <w:rPr>
                <w:sz w:val="20"/>
                <w:szCs w:val="20"/>
                <w:color w:val="auto"/>
              </w:rPr>
            </w:pPr>
            <w:r>
              <w:rPr>
                <w:rFonts w:ascii="Arial" w:cs="Arial" w:eastAsia="Arial" w:hAnsi="Arial"/>
                <w:sz w:val="16"/>
                <w:szCs w:val="16"/>
                <w:b w:val="1"/>
                <w:bCs w:val="1"/>
                <w:color w:val="auto"/>
              </w:rPr>
              <w:t>Total</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125,387,267</w:t>
            </w:r>
          </w:p>
        </w:tc>
        <w:tc>
          <w:tcPr>
            <w:tcW w:w="120" w:type="dxa"/>
            <w:vAlign w:val="bottom"/>
          </w:tcPr>
          <w:p>
            <w:pPr>
              <w:spacing w:after="0"/>
              <w:rPr>
                <w:sz w:val="18"/>
                <w:szCs w:val="18"/>
                <w:color w:val="auto"/>
              </w:rPr>
            </w:pPr>
          </w:p>
        </w:tc>
        <w:tc>
          <w:tcPr>
            <w:tcW w:w="18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b w:val="1"/>
                <w:bCs w:val="1"/>
                <w:color w:val="auto"/>
                <w:w w:val="71"/>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112,152,672</w:t>
            </w:r>
          </w:p>
        </w:tc>
      </w:tr>
      <w:tr>
        <w:trPr>
          <w:trHeight w:val="20"/>
        </w:trPr>
        <w:tc>
          <w:tcPr>
            <w:tcW w:w="7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5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_________________________________</w:t>
      </w:r>
    </w:p>
    <w:p>
      <w:pPr>
        <w:spacing w:after="0" w:line="25" w:lineRule="exact"/>
        <w:rPr>
          <w:sz w:val="20"/>
          <w:szCs w:val="20"/>
          <w:color w:val="auto"/>
        </w:rPr>
      </w:pPr>
    </w:p>
    <w:p>
      <w:pPr>
        <w:ind w:left="500" w:hanging="492"/>
        <w:spacing w:after="0"/>
        <w:tabs>
          <w:tab w:leader="none" w:pos="500" w:val="left"/>
        </w:tabs>
        <w:numPr>
          <w:ilvl w:val="0"/>
          <w:numId w:val="40"/>
        </w:numPr>
        <w:rPr>
          <w:rFonts w:ascii="Arial" w:cs="Arial" w:eastAsia="Arial" w:hAnsi="Arial"/>
          <w:sz w:val="16"/>
          <w:szCs w:val="16"/>
          <w:color w:val="auto"/>
        </w:rPr>
      </w:pPr>
      <w:r>
        <w:rPr>
          <w:rFonts w:ascii="Arial" w:cs="Arial" w:eastAsia="Arial" w:hAnsi="Arial"/>
          <w:sz w:val="16"/>
          <w:szCs w:val="16"/>
          <w:color w:val="auto"/>
        </w:rPr>
        <w:t>Realized gain does not include adjustments to amounts held in escrow receivable.</w:t>
      </w:r>
    </w:p>
    <w:p>
      <w:pPr>
        <w:spacing w:after="0" w:line="7" w:lineRule="exact"/>
        <w:rPr>
          <w:rFonts w:ascii="Arial" w:cs="Arial" w:eastAsia="Arial" w:hAnsi="Arial"/>
          <w:sz w:val="16"/>
          <w:szCs w:val="16"/>
          <w:color w:val="auto"/>
        </w:rPr>
      </w:pPr>
    </w:p>
    <w:p>
      <w:pPr>
        <w:ind w:left="500" w:hanging="492"/>
        <w:spacing w:after="0"/>
        <w:tabs>
          <w:tab w:leader="none" w:pos="500" w:val="left"/>
        </w:tabs>
        <w:numPr>
          <w:ilvl w:val="0"/>
          <w:numId w:val="40"/>
        </w:numPr>
        <w:rPr>
          <w:rFonts w:ascii="Arial" w:cs="Arial" w:eastAsia="Arial" w:hAnsi="Arial"/>
          <w:sz w:val="16"/>
          <w:szCs w:val="16"/>
          <w:color w:val="auto"/>
        </w:rPr>
      </w:pPr>
      <w:r>
        <w:rPr>
          <w:rFonts w:ascii="Arial" w:cs="Arial" w:eastAsia="Arial" w:hAnsi="Arial"/>
          <w:sz w:val="16"/>
          <w:szCs w:val="16"/>
          <w:color w:val="auto"/>
        </w:rPr>
        <w:t>As of March 4, 2021, all remaining shares of Palantir Technologies, Inc. held by us had been sold.</w:t>
      </w:r>
    </w:p>
    <w:p>
      <w:pPr>
        <w:spacing w:after="0" w:line="5" w:lineRule="exact"/>
        <w:rPr>
          <w:rFonts w:ascii="Arial" w:cs="Arial" w:eastAsia="Arial" w:hAnsi="Arial"/>
          <w:sz w:val="16"/>
          <w:szCs w:val="16"/>
          <w:color w:val="auto"/>
        </w:rPr>
      </w:pPr>
    </w:p>
    <w:p>
      <w:pPr>
        <w:jc w:val="both"/>
        <w:ind w:left="500" w:hanging="492"/>
        <w:spacing w:after="0" w:line="250" w:lineRule="auto"/>
        <w:tabs>
          <w:tab w:leader="none" w:pos="50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Palantir Lending Trust SPV I promissory note was initially collateralized with 2,260,000 Class A common shares of Palantir Technologies, Inc. to which SuRo Capital Corp. retains a beneficial equity upside interest. As of March 31, 2021, 712,290 Class A common shares remain in Palantir Lending Trust SPV I, none of which are subject to lock-up restrictions. The realized gain from SuRo Capital Corp.'s investment in Palantir Lending Trust SPV I is generated by the proceeds from the sale of a portion of the shares</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61</w:t>
      </w:r>
    </w:p>
    <w:p>
      <w:pPr>
        <w:sectPr>
          <w:pgSz w:w="11900" w:h="16838" w:orient="portrait"/>
          <w:cols w:equalWidth="0" w:num="1">
            <w:col w:w="11240"/>
          </w:cols>
          <w:pgMar w:left="320" w:top="122" w:right="339" w:bottom="1440" w:gutter="0" w:footer="0" w:header="0"/>
          <w:type w:val="continuous"/>
        </w:sectPr>
      </w:pPr>
    </w:p>
    <w:bookmarkStart w:id="63" w:name="page64"/>
    <w:bookmarkEnd w:id="63"/>
    <w:p>
      <w:pPr>
        <w:spacing w:after="0"/>
        <w:rPr>
          <w:rFonts w:ascii="Arial" w:cs="Arial" w:eastAsia="Arial" w:hAnsi="Arial"/>
          <w:sz w:val="14"/>
          <w:szCs w:val="14"/>
          <w:color w:val="0000FF"/>
        </w:rPr>
      </w:pPr>
      <w:hyperlink w:anchor="page1">
        <w:r>
          <w:rPr>
            <w:rFonts w:ascii="Arial" w:cs="Arial" w:eastAsia="Arial" w:hAnsi="Arial"/>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500"/>
        <w:spacing w:after="0"/>
        <w:rPr>
          <w:sz w:val="20"/>
          <w:szCs w:val="20"/>
          <w:color w:val="auto"/>
        </w:rPr>
      </w:pPr>
      <w:r>
        <w:rPr>
          <w:rFonts w:ascii="Arial" w:cs="Arial" w:eastAsia="Arial" w:hAnsi="Arial"/>
          <w:sz w:val="16"/>
          <w:szCs w:val="16"/>
          <w:color w:val="auto"/>
        </w:rPr>
        <w:t>collateralizing the promissory note to Palantir Lending Trust SPV I and attributable to the Equity Participation in Underlying Collateral.</w:t>
      </w:r>
    </w:p>
    <w:p>
      <w:pPr>
        <w:spacing w:after="0" w:line="19" w:lineRule="exact"/>
        <w:rPr>
          <w:sz w:val="20"/>
          <w:szCs w:val="20"/>
          <w:color w:val="auto"/>
        </w:rPr>
      </w:pPr>
    </w:p>
    <w:p>
      <w:pPr>
        <w:jc w:val="both"/>
        <w:ind w:left="500" w:hanging="492"/>
        <w:spacing w:after="0" w:line="251" w:lineRule="auto"/>
        <w:tabs>
          <w:tab w:leader="none" w:pos="500" w:val="left"/>
        </w:tabs>
        <w:numPr>
          <w:ilvl w:val="0"/>
          <w:numId w:val="41"/>
        </w:numPr>
        <w:rPr>
          <w:rFonts w:ascii="Arial" w:cs="Arial" w:eastAsia="Arial" w:hAnsi="Arial"/>
          <w:sz w:val="16"/>
          <w:szCs w:val="16"/>
          <w:color w:val="auto"/>
        </w:rPr>
      </w:pPr>
      <w:r>
        <w:rPr>
          <w:rFonts w:ascii="Arial" w:cs="Arial" w:eastAsia="Arial" w:hAnsi="Arial"/>
          <w:sz w:val="16"/>
          <w:szCs w:val="16"/>
          <w:color w:val="auto"/>
        </w:rPr>
        <w:t>As of March 31, 2021, approximately $0.4 million has been received from Residential Homes for Rent, LLC (d/b/a Second Avenue) related to the 15% term loan due December 23, 2023. Of the proceeds received, approximately $0.3 million repaid a portion of the outstanding principal and approximately $0.1 million was attributed to interest.</w:t>
      </w:r>
    </w:p>
    <w:p>
      <w:pPr>
        <w:spacing w:after="0" w:line="214" w:lineRule="exact"/>
        <w:rPr>
          <w:sz w:val="20"/>
          <w:szCs w:val="20"/>
          <w:color w:val="auto"/>
        </w:rPr>
      </w:pPr>
    </w:p>
    <w:p>
      <w:pPr>
        <w:ind w:left="180"/>
        <w:spacing w:after="0"/>
        <w:rPr>
          <w:sz w:val="20"/>
          <w:szCs w:val="20"/>
          <w:color w:val="auto"/>
        </w:rPr>
      </w:pPr>
      <w:r>
        <w:rPr>
          <w:rFonts w:ascii="Arial" w:cs="Arial" w:eastAsia="Arial" w:hAnsi="Arial"/>
          <w:sz w:val="18"/>
          <w:szCs w:val="18"/>
          <w:color w:val="auto"/>
        </w:rPr>
        <w:t>During the three months ended March 31, 2021, we did not write-off any investments.</w:t>
      </w:r>
    </w:p>
    <w:p>
      <w:pPr>
        <w:spacing w:after="0" w:line="25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As the COVID-19 situation continues to evolve, we are maintaining close communications with our portfolio companies to proactively assess and manage potential risks across our investment portfolio.</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March 31, 2020</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During the three months ended March 31, 2020, we did not fund any new investments.</w:t>
      </w:r>
    </w:p>
    <w:p>
      <w:pPr>
        <w:spacing w:after="0" w:line="26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During the three months ended March 31, 2020, we did not capitalize any fees.</w:t>
      </w:r>
    </w:p>
    <w:p>
      <w:pPr>
        <w:spacing w:after="0" w:line="25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During the three months ended March 31, 2020, we exited investments in an amount of $10,786,346, net of transaction costs, and realized a net gain on investments of approximately $6,978,240 (including U.S. Treasury investments and adjustments to amounts held in escrow receivable) as shown in following table:</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58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Portfolio Investment</w:t>
            </w:r>
          </w:p>
        </w:tc>
        <w:tc>
          <w:tcPr>
            <w:tcW w:w="13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Transaction</w:t>
            </w:r>
          </w:p>
        </w:tc>
        <w:tc>
          <w:tcPr>
            <w:tcW w:w="1380" w:type="dxa"/>
            <w:vAlign w:val="bottom"/>
            <w:gridSpan w:val="2"/>
            <w:vMerge w:val="restart"/>
          </w:tcPr>
          <w:p>
            <w:pPr>
              <w:ind w:left="420"/>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4"/>
                <w:szCs w:val="14"/>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Net Proceeds</w:t>
            </w:r>
          </w:p>
        </w:tc>
        <w:tc>
          <w:tcPr>
            <w:tcW w:w="120" w:type="dxa"/>
            <w:vAlign w:val="bottom"/>
          </w:tcPr>
          <w:p>
            <w:pPr>
              <w:spacing w:after="0"/>
              <w:rPr>
                <w:sz w:val="14"/>
                <w:szCs w:val="14"/>
                <w:color w:val="auto"/>
              </w:rPr>
            </w:pPr>
          </w:p>
        </w:tc>
        <w:tc>
          <w:tcPr>
            <w:tcW w:w="1140" w:type="dxa"/>
            <w:vAlign w:val="bottom"/>
            <w:vMerge w:val="restart"/>
          </w:tcPr>
          <w:p>
            <w:pPr>
              <w:jc w:val="right"/>
              <w:ind w:right="62"/>
              <w:spacing w:after="0"/>
              <w:rPr>
                <w:sz w:val="20"/>
                <w:szCs w:val="20"/>
                <w:color w:val="auto"/>
              </w:rPr>
            </w:pPr>
            <w:r>
              <w:rPr>
                <w:rFonts w:ascii="Arial" w:cs="Arial" w:eastAsia="Arial" w:hAnsi="Arial"/>
                <w:sz w:val="14"/>
                <w:szCs w:val="14"/>
                <w:b w:val="1"/>
                <w:bCs w:val="1"/>
                <w:color w:val="auto"/>
                <w:w w:val="91"/>
              </w:rPr>
              <w:t>Realized Gain</w:t>
            </w:r>
            <w:r>
              <w:rPr>
                <w:rFonts w:ascii="Arial" w:cs="Arial" w:eastAsia="Arial" w:hAnsi="Arial"/>
                <w:sz w:val="18"/>
                <w:szCs w:val="18"/>
                <w:b w:val="1"/>
                <w:bCs w:val="1"/>
                <w:color w:val="auto"/>
                <w:w w:val="91"/>
                <w:vertAlign w:val="superscript"/>
              </w:rPr>
              <w:t>(1)</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5800" w:type="dxa"/>
            <w:vAlign w:val="bottom"/>
            <w:gridSpan w:val="2"/>
            <w:vMerge w:val="continue"/>
          </w:tcPr>
          <w:p>
            <w:pPr>
              <w:spacing w:after="0"/>
              <w:rPr>
                <w:sz w:val="16"/>
                <w:szCs w:val="16"/>
                <w:color w:val="auto"/>
              </w:rPr>
            </w:pPr>
          </w:p>
        </w:tc>
        <w:tc>
          <w:tcPr>
            <w:tcW w:w="13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Date</w:t>
            </w:r>
          </w:p>
        </w:tc>
        <w:tc>
          <w:tcPr>
            <w:tcW w:w="13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5700" w:type="dxa"/>
            <w:vAlign w:val="bottom"/>
            <w:tcBorders>
              <w:top w:val="single" w:sz="8" w:color="auto"/>
            </w:tcBorders>
            <w:shd w:val="clear" w:color="auto" w:fill="CCEEFF"/>
          </w:tcPr>
          <w:p>
            <w:pPr>
              <w:spacing w:after="0" w:line="210" w:lineRule="exact"/>
              <w:rPr>
                <w:sz w:val="20"/>
                <w:szCs w:val="20"/>
                <w:color w:val="auto"/>
              </w:rPr>
            </w:pPr>
            <w:r>
              <w:rPr>
                <w:rFonts w:ascii="Arial" w:cs="Arial" w:eastAsia="Arial" w:hAnsi="Arial"/>
                <w:sz w:val="16"/>
                <w:szCs w:val="16"/>
                <w:color w:val="auto"/>
              </w:rPr>
              <w:t xml:space="preserve">Parchment, Inc. </w:t>
            </w:r>
            <w:r>
              <w:rPr>
                <w:rFonts w:ascii="Arial" w:cs="Arial" w:eastAsia="Arial" w:hAnsi="Arial"/>
                <w:sz w:val="21"/>
                <w:szCs w:val="21"/>
                <w:color w:val="auto"/>
                <w:vertAlign w:val="superscript"/>
              </w:rPr>
              <w:t>(2)</w:t>
            </w:r>
          </w:p>
        </w:tc>
        <w:tc>
          <w:tcPr>
            <w:tcW w:w="10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89"/>
              </w:rPr>
              <w:t>1/31/2020</w:t>
            </w:r>
          </w:p>
        </w:tc>
        <w:tc>
          <w:tcPr>
            <w:tcW w:w="10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3,200,512</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10,786,346</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6,785,364</w:t>
            </w: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5800" w:type="dxa"/>
            <w:vAlign w:val="bottom"/>
            <w:gridSpan w:val="2"/>
          </w:tcPr>
          <w:p>
            <w:pPr>
              <w:spacing w:after="0"/>
              <w:rPr>
                <w:sz w:val="20"/>
                <w:szCs w:val="20"/>
                <w:color w:val="auto"/>
              </w:rPr>
            </w:pPr>
            <w:r>
              <w:rPr>
                <w:rFonts w:ascii="Arial" w:cs="Arial" w:eastAsia="Arial" w:hAnsi="Arial"/>
                <w:sz w:val="16"/>
                <w:szCs w:val="16"/>
                <w:b w:val="1"/>
                <w:bCs w:val="1"/>
                <w:color w:val="auto"/>
              </w:rPr>
              <w:t>Total</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10,786,346</w:t>
            </w: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6,785,364</w:t>
            </w:r>
          </w:p>
        </w:tc>
        <w:tc>
          <w:tcPr>
            <w:tcW w:w="0" w:type="dxa"/>
            <w:vAlign w:val="bottom"/>
          </w:tcPr>
          <w:p>
            <w:pPr>
              <w:spacing w:after="0"/>
              <w:rPr>
                <w:sz w:val="1"/>
                <w:szCs w:val="1"/>
                <w:color w:val="auto"/>
              </w:rPr>
            </w:pPr>
          </w:p>
        </w:tc>
      </w:tr>
      <w:tr>
        <w:trPr>
          <w:trHeight w:val="21"/>
        </w:trPr>
        <w:tc>
          <w:tcPr>
            <w:tcW w:w="5740" w:type="dxa"/>
            <w:vAlign w:val="bottom"/>
            <w:gridSpan w:val="2"/>
            <w:vMerge w:val="restart"/>
          </w:tcPr>
          <w:p>
            <w:pPr>
              <w:jc w:val="right"/>
              <w:ind w:right="3862"/>
              <w:spacing w:after="0"/>
              <w:rPr>
                <w:sz w:val="20"/>
                <w:szCs w:val="20"/>
                <w:color w:val="auto"/>
              </w:rPr>
            </w:pPr>
            <w:r>
              <w:rPr>
                <w:rFonts w:ascii="Arial" w:cs="Arial" w:eastAsia="Arial" w:hAnsi="Arial"/>
                <w:sz w:val="11"/>
                <w:szCs w:val="11"/>
                <w:b w:val="1"/>
                <w:bCs w:val="1"/>
                <w:color w:val="auto"/>
                <w:w w:val="88"/>
              </w:rPr>
              <w:t>_________________________________</w:t>
            </w:r>
          </w:p>
        </w:tc>
        <w:tc>
          <w:tcPr>
            <w:tcW w:w="100" w:type="dxa"/>
            <w:vAlign w:val="bottom"/>
            <w:vMerge w:val="restart"/>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19"/>
        </w:trPr>
        <w:tc>
          <w:tcPr>
            <w:tcW w:w="5740" w:type="dxa"/>
            <w:vAlign w:val="bottom"/>
            <w:gridSpan w:val="2"/>
            <w:vMerge w:val="continue"/>
          </w:tcPr>
          <w:p>
            <w:pPr>
              <w:spacing w:after="0"/>
              <w:rPr>
                <w:sz w:val="10"/>
                <w:szCs w:val="10"/>
                <w:color w:val="auto"/>
              </w:rPr>
            </w:pPr>
          </w:p>
        </w:tc>
        <w:tc>
          <w:tcPr>
            <w:tcW w:w="100" w:type="dxa"/>
            <w:vAlign w:val="bottom"/>
            <w:vMerge w:val="continue"/>
          </w:tcPr>
          <w:p>
            <w:pPr>
              <w:spacing w:after="0"/>
              <w:rPr>
                <w:sz w:val="10"/>
                <w:szCs w:val="10"/>
                <w:color w:val="auto"/>
              </w:rPr>
            </w:pPr>
          </w:p>
        </w:tc>
        <w:tc>
          <w:tcPr>
            <w:tcW w:w="1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ind w:left="500" w:hanging="492"/>
        <w:spacing w:after="0"/>
        <w:tabs>
          <w:tab w:leader="none" w:pos="500" w:val="left"/>
        </w:tabs>
        <w:numPr>
          <w:ilvl w:val="0"/>
          <w:numId w:val="42"/>
        </w:numPr>
        <w:rPr>
          <w:rFonts w:ascii="Arial" w:cs="Arial" w:eastAsia="Arial" w:hAnsi="Arial"/>
          <w:sz w:val="16"/>
          <w:szCs w:val="16"/>
          <w:color w:val="auto"/>
        </w:rPr>
      </w:pPr>
      <w:r>
        <w:rPr>
          <w:rFonts w:ascii="Arial" w:cs="Arial" w:eastAsia="Arial" w:hAnsi="Arial"/>
          <w:sz w:val="16"/>
          <w:szCs w:val="16"/>
          <w:color w:val="auto"/>
        </w:rPr>
        <w:t>Realized gain does not include amounts held in escrow or any realized gain or loss incurred on the maturity of our U.S. Treasury investments.</w:t>
      </w:r>
    </w:p>
    <w:p>
      <w:pPr>
        <w:spacing w:after="0" w:line="5" w:lineRule="exact"/>
        <w:rPr>
          <w:rFonts w:ascii="Arial" w:cs="Arial" w:eastAsia="Arial" w:hAnsi="Arial"/>
          <w:sz w:val="16"/>
          <w:szCs w:val="16"/>
          <w:color w:val="auto"/>
        </w:rPr>
      </w:pPr>
    </w:p>
    <w:p>
      <w:pPr>
        <w:ind w:left="500" w:right="20" w:hanging="492"/>
        <w:spacing w:after="0" w:line="257" w:lineRule="auto"/>
        <w:tabs>
          <w:tab w:leader="none" w:pos="500" w:val="left"/>
        </w:tabs>
        <w:numPr>
          <w:ilvl w:val="0"/>
          <w:numId w:val="42"/>
        </w:numPr>
        <w:rPr>
          <w:rFonts w:ascii="Arial" w:cs="Arial" w:eastAsia="Arial" w:hAnsi="Arial"/>
          <w:sz w:val="16"/>
          <w:szCs w:val="16"/>
          <w:color w:val="auto"/>
        </w:rPr>
      </w:pPr>
      <w:r>
        <w:rPr>
          <w:rFonts w:ascii="Arial" w:cs="Arial" w:eastAsia="Arial" w:hAnsi="Arial"/>
          <w:sz w:val="16"/>
          <w:szCs w:val="16"/>
          <w:color w:val="auto"/>
        </w:rPr>
        <w:t>On January 31, 2020, Parchment, Inc. closed a merger with Credentials Solutions. As a result of the transaction, we received $10,786,346 in net proceeds and expect to receive approximately $110,000 in additional proceeds currently held in escrow.</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right="280" w:firstLine="324"/>
        <w:spacing w:after="0" w:line="277" w:lineRule="auto"/>
        <w:rPr>
          <w:sz w:val="20"/>
          <w:szCs w:val="20"/>
          <w:color w:val="auto"/>
        </w:rPr>
      </w:pPr>
      <w:r>
        <w:rPr>
          <w:rFonts w:ascii="Arial" w:cs="Arial" w:eastAsia="Arial" w:hAnsi="Arial"/>
          <w:sz w:val="18"/>
          <w:szCs w:val="18"/>
          <w:color w:val="auto"/>
        </w:rPr>
        <w:t>During the three months ended March 31, 2020, we did not write-off any investments and our CUX, Inc. (d/b/a CorpU) Series D preferred warrants with a strike price of $4.59, expired on February 14, 2020.</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240"/>
          </w:cols>
          <w:pgMar w:left="320" w:top="122" w:right="339" w:bottom="1440" w:gutter="0" w:footer="0" w:header="0"/>
        </w:sectPr>
      </w:pPr>
    </w:p>
    <w:bookmarkStart w:id="64" w:name="page65"/>
    <w:bookmarkEnd w:id="64"/>
    <w:p>
      <w:pPr>
        <w:spacing w:after="0"/>
        <w:rPr>
          <w:rFonts w:ascii="Arial" w:cs="Arial" w:eastAsia="Arial" w:hAnsi="Arial"/>
          <w:sz w:val="14"/>
          <w:szCs w:val="14"/>
          <w:color w:val="0000FF"/>
        </w:rPr>
      </w:pPr>
      <w:hyperlink w:anchor="page1">
        <w:r>
          <w:rPr>
            <w:rFonts w:ascii="Arial" w:cs="Arial" w:eastAsia="Arial" w:hAnsi="Arial"/>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months ended March 31, 2021 and 2020</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Operating results for the three months ended March 31, 2021 and 2020 are as follows: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8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640" w:type="dxa"/>
            <w:vAlign w:val="bottom"/>
            <w:gridSpan w:val="5"/>
          </w:tcPr>
          <w:p>
            <w:pPr>
              <w:ind w:left="560"/>
              <w:spacing w:after="0"/>
              <w:rPr>
                <w:sz w:val="20"/>
                <w:szCs w:val="20"/>
                <w:color w:val="auto"/>
              </w:rPr>
            </w:pPr>
            <w:r>
              <w:rPr>
                <w:rFonts w:ascii="Arial" w:cs="Arial" w:eastAsia="Arial" w:hAnsi="Arial"/>
                <w:sz w:val="14"/>
                <w:szCs w:val="14"/>
                <w:b w:val="1"/>
                <w:bCs w:val="1"/>
                <w:color w:val="auto"/>
              </w:rPr>
              <w:t>Three Months Ended March 31,</w:t>
            </w:r>
          </w:p>
        </w:tc>
      </w:tr>
      <w:tr>
        <w:trPr>
          <w:trHeight w:val="187"/>
        </w:trPr>
        <w:tc>
          <w:tcPr>
            <w:tcW w:w="6820" w:type="dxa"/>
            <w:vAlign w:val="bottom"/>
            <w:tcBorders>
              <w:bottom w:val="single" w:sz="8" w:color="CCEEFF"/>
            </w:tcBorders>
          </w:tcPr>
          <w:p>
            <w:pPr>
              <w:spacing w:after="0"/>
              <w:rPr>
                <w:sz w:val="16"/>
                <w:szCs w:val="16"/>
                <w:color w:val="auto"/>
              </w:rPr>
            </w:pPr>
          </w:p>
        </w:tc>
        <w:tc>
          <w:tcPr>
            <w:tcW w:w="460" w:type="dxa"/>
            <w:vAlign w:val="bottom"/>
            <w:tcBorders>
              <w:top w:val="single" w:sz="8" w:color="auto"/>
              <w:bottom w:val="single" w:sz="8" w:color="auto"/>
            </w:tcBorders>
          </w:tcPr>
          <w:p>
            <w:pPr>
              <w:spacing w:after="0"/>
              <w:rPr>
                <w:sz w:val="16"/>
                <w:szCs w:val="16"/>
                <w:color w:val="auto"/>
              </w:rPr>
            </w:pPr>
          </w:p>
        </w:tc>
        <w:tc>
          <w:tcPr>
            <w:tcW w:w="1480" w:type="dxa"/>
            <w:vAlign w:val="bottom"/>
            <w:tcBorders>
              <w:top w:val="single" w:sz="8" w:color="auto"/>
              <w:bottom w:val="single" w:sz="8" w:color="auto"/>
            </w:tcBorders>
          </w:tcPr>
          <w:p>
            <w:pPr>
              <w:jc w:val="right"/>
              <w:ind w:right="740"/>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6"/>
                <w:szCs w:val="16"/>
                <w:color w:val="auto"/>
              </w:rPr>
            </w:pPr>
          </w:p>
        </w:tc>
        <w:tc>
          <w:tcPr>
            <w:tcW w:w="480" w:type="dxa"/>
            <w:vAlign w:val="bottom"/>
            <w:tcBorders>
              <w:top w:val="single" w:sz="8" w:color="auto"/>
              <w:bottom w:val="single" w:sz="8" w:color="auto"/>
            </w:tcBorders>
          </w:tcPr>
          <w:p>
            <w:pPr>
              <w:spacing w:after="0"/>
              <w:rPr>
                <w:sz w:val="16"/>
                <w:szCs w:val="16"/>
                <w:color w:val="auto"/>
              </w:rPr>
            </w:pPr>
          </w:p>
        </w:tc>
        <w:tc>
          <w:tcPr>
            <w:tcW w:w="1480" w:type="dxa"/>
            <w:vAlign w:val="bottom"/>
            <w:tcBorders>
              <w:top w:val="single" w:sz="8" w:color="auto"/>
              <w:bottom w:val="single" w:sz="8" w:color="auto"/>
            </w:tcBorders>
          </w:tcPr>
          <w:p>
            <w:pPr>
              <w:jc w:val="right"/>
              <w:ind w:right="760"/>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r>
      <w:tr>
        <w:trPr>
          <w:trHeight w:val="211"/>
        </w:trPr>
        <w:tc>
          <w:tcPr>
            <w:tcW w:w="68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Total Investment Income</w:t>
            </w:r>
          </w:p>
        </w:tc>
        <w:tc>
          <w:tcPr>
            <w:tcW w:w="460" w:type="dxa"/>
            <w:vAlign w:val="bottom"/>
            <w:shd w:val="clear" w:color="auto" w:fill="CCEEFF"/>
          </w:tcPr>
          <w:p>
            <w:pPr>
              <w:jc w:val="right"/>
              <w:ind w:right="279"/>
              <w:spacing w:after="0"/>
              <w:rPr>
                <w:sz w:val="20"/>
                <w:szCs w:val="20"/>
                <w:color w:val="auto"/>
              </w:rPr>
            </w:pPr>
            <w:r>
              <w:rPr>
                <w:rFonts w:ascii="Arial" w:cs="Arial" w:eastAsia="Arial" w:hAnsi="Arial"/>
                <w:sz w:val="16"/>
                <w:szCs w:val="16"/>
                <w:b w:val="1"/>
                <w:bCs w:val="1"/>
                <w:color w:val="auto"/>
                <w:w w:val="8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291,352</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299"/>
              <w:spacing w:after="0"/>
              <w:rPr>
                <w:sz w:val="20"/>
                <w:szCs w:val="20"/>
                <w:color w:val="auto"/>
              </w:rPr>
            </w:pPr>
            <w:r>
              <w:rPr>
                <w:rFonts w:ascii="Arial" w:cs="Arial" w:eastAsia="Arial" w:hAnsi="Arial"/>
                <w:sz w:val="16"/>
                <w:szCs w:val="16"/>
                <w:b w:val="1"/>
                <w:bCs w:val="1"/>
                <w:color w:val="auto"/>
                <w:w w:val="8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251,763</w:t>
            </w:r>
          </w:p>
        </w:tc>
        <w:tc>
          <w:tcPr>
            <w:tcW w:w="100" w:type="dxa"/>
            <w:vAlign w:val="bottom"/>
            <w:shd w:val="clear" w:color="auto" w:fill="CCEEFF"/>
          </w:tcPr>
          <w:p>
            <w:pPr>
              <w:spacing w:after="0"/>
              <w:rPr>
                <w:sz w:val="18"/>
                <w:szCs w:val="18"/>
                <w:color w:val="auto"/>
              </w:rPr>
            </w:pPr>
          </w:p>
        </w:tc>
      </w:tr>
      <w:tr>
        <w:trPr>
          <w:trHeight w:val="213"/>
        </w:trPr>
        <w:tc>
          <w:tcPr>
            <w:tcW w:w="6820" w:type="dxa"/>
            <w:vAlign w:val="bottom"/>
          </w:tcPr>
          <w:p>
            <w:pPr>
              <w:ind w:left="140"/>
              <w:spacing w:after="0"/>
              <w:rPr>
                <w:sz w:val="20"/>
                <w:szCs w:val="20"/>
                <w:color w:val="auto"/>
              </w:rPr>
            </w:pPr>
            <w:r>
              <w:rPr>
                <w:rFonts w:ascii="Arial" w:cs="Arial" w:eastAsia="Arial" w:hAnsi="Arial"/>
                <w:sz w:val="16"/>
                <w:szCs w:val="16"/>
                <w:color w:val="auto"/>
              </w:rPr>
              <w:t>Interest income</w:t>
            </w:r>
          </w:p>
        </w:tc>
        <w:tc>
          <w:tcPr>
            <w:tcW w:w="4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166,845</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175,513</w:t>
            </w:r>
          </w:p>
        </w:tc>
        <w:tc>
          <w:tcPr>
            <w:tcW w:w="100" w:type="dxa"/>
            <w:vAlign w:val="bottom"/>
          </w:tcPr>
          <w:p>
            <w:pPr>
              <w:spacing w:after="0"/>
              <w:rPr>
                <w:sz w:val="18"/>
                <w:szCs w:val="18"/>
                <w:color w:val="auto"/>
              </w:rPr>
            </w:pPr>
          </w:p>
        </w:tc>
      </w:tr>
      <w:tr>
        <w:trPr>
          <w:trHeight w:val="219"/>
        </w:trPr>
        <w:tc>
          <w:tcPr>
            <w:tcW w:w="6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Dividend income</w:t>
            </w:r>
          </w:p>
        </w:tc>
        <w:tc>
          <w:tcPr>
            <w:tcW w:w="4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124,507</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76,250</w:t>
            </w:r>
          </w:p>
        </w:tc>
        <w:tc>
          <w:tcPr>
            <w:tcW w:w="100" w:type="dxa"/>
            <w:vAlign w:val="bottom"/>
            <w:shd w:val="clear" w:color="auto" w:fill="CCEEFF"/>
          </w:tcPr>
          <w:p>
            <w:pPr>
              <w:spacing w:after="0"/>
              <w:rPr>
                <w:sz w:val="19"/>
                <w:szCs w:val="19"/>
                <w:color w:val="auto"/>
              </w:rPr>
            </w:pPr>
          </w:p>
        </w:tc>
      </w:tr>
      <w:tr>
        <w:trPr>
          <w:trHeight w:val="213"/>
        </w:trPr>
        <w:tc>
          <w:tcPr>
            <w:tcW w:w="6820" w:type="dxa"/>
            <w:vAlign w:val="bottom"/>
          </w:tcPr>
          <w:p>
            <w:pPr>
              <w:ind w:left="20"/>
              <w:spacing w:after="0"/>
              <w:rPr>
                <w:sz w:val="20"/>
                <w:szCs w:val="20"/>
                <w:color w:val="auto"/>
              </w:rPr>
            </w:pPr>
            <w:r>
              <w:rPr>
                <w:rFonts w:ascii="Arial" w:cs="Arial" w:eastAsia="Arial" w:hAnsi="Arial"/>
                <w:sz w:val="16"/>
                <w:szCs w:val="16"/>
                <w:b w:val="1"/>
                <w:bCs w:val="1"/>
                <w:color w:val="auto"/>
              </w:rPr>
              <w:t>Total Operating Expenses</w:t>
            </w:r>
          </w:p>
        </w:tc>
        <w:tc>
          <w:tcPr>
            <w:tcW w:w="460" w:type="dxa"/>
            <w:vAlign w:val="bottom"/>
          </w:tcPr>
          <w:p>
            <w:pPr>
              <w:jc w:val="right"/>
              <w:ind w:right="279"/>
              <w:spacing w:after="0"/>
              <w:rPr>
                <w:sz w:val="20"/>
                <w:szCs w:val="20"/>
                <w:color w:val="auto"/>
              </w:rPr>
            </w:pPr>
            <w:r>
              <w:rPr>
                <w:rFonts w:ascii="Arial" w:cs="Arial" w:eastAsia="Arial" w:hAnsi="Arial"/>
                <w:sz w:val="16"/>
                <w:szCs w:val="16"/>
                <w:b w:val="1"/>
                <w:bCs w:val="1"/>
                <w:color w:val="auto"/>
                <w:w w:val="89"/>
              </w:rPr>
              <w:t>$</w:t>
            </w:r>
          </w:p>
        </w:tc>
        <w:tc>
          <w:tcPr>
            <w:tcW w:w="1480" w:type="dxa"/>
            <w:vAlign w:val="bottom"/>
          </w:tcPr>
          <w:p>
            <w:pPr>
              <w:jc w:val="right"/>
              <w:spacing w:after="0"/>
              <w:rPr>
                <w:sz w:val="20"/>
                <w:szCs w:val="20"/>
                <w:color w:val="auto"/>
              </w:rPr>
            </w:pPr>
            <w:r>
              <w:rPr>
                <w:rFonts w:ascii="Arial" w:cs="Arial" w:eastAsia="Arial" w:hAnsi="Arial"/>
                <w:sz w:val="16"/>
                <w:szCs w:val="16"/>
                <w:b w:val="1"/>
                <w:bCs w:val="1"/>
                <w:color w:val="auto"/>
              </w:rPr>
              <w:t>3,125,670</w:t>
            </w:r>
          </w:p>
        </w:tc>
        <w:tc>
          <w:tcPr>
            <w:tcW w:w="100" w:type="dxa"/>
            <w:vAlign w:val="bottom"/>
          </w:tcPr>
          <w:p>
            <w:pPr>
              <w:spacing w:after="0"/>
              <w:rPr>
                <w:sz w:val="18"/>
                <w:szCs w:val="18"/>
                <w:color w:val="auto"/>
              </w:rPr>
            </w:pPr>
          </w:p>
        </w:tc>
        <w:tc>
          <w:tcPr>
            <w:tcW w:w="480" w:type="dxa"/>
            <w:vAlign w:val="bottom"/>
          </w:tcPr>
          <w:p>
            <w:pPr>
              <w:jc w:val="right"/>
              <w:ind w:right="299"/>
              <w:spacing w:after="0"/>
              <w:rPr>
                <w:sz w:val="20"/>
                <w:szCs w:val="20"/>
                <w:color w:val="auto"/>
              </w:rPr>
            </w:pPr>
            <w:r>
              <w:rPr>
                <w:rFonts w:ascii="Arial" w:cs="Arial" w:eastAsia="Arial" w:hAnsi="Arial"/>
                <w:sz w:val="16"/>
                <w:szCs w:val="16"/>
                <w:b w:val="1"/>
                <w:bCs w:val="1"/>
                <w:color w:val="auto"/>
                <w:w w:val="89"/>
              </w:rPr>
              <w:t>$</w:t>
            </w:r>
          </w:p>
        </w:tc>
        <w:tc>
          <w:tcPr>
            <w:tcW w:w="1480" w:type="dxa"/>
            <w:vAlign w:val="bottom"/>
          </w:tcPr>
          <w:p>
            <w:pPr>
              <w:jc w:val="right"/>
              <w:spacing w:after="0"/>
              <w:rPr>
                <w:sz w:val="20"/>
                <w:szCs w:val="20"/>
                <w:color w:val="auto"/>
              </w:rPr>
            </w:pPr>
            <w:r>
              <w:rPr>
                <w:rFonts w:ascii="Arial" w:cs="Arial" w:eastAsia="Arial" w:hAnsi="Arial"/>
                <w:sz w:val="16"/>
                <w:szCs w:val="16"/>
                <w:b w:val="1"/>
                <w:bCs w:val="1"/>
                <w:color w:val="auto"/>
              </w:rPr>
              <w:t>3,256,316</w:t>
            </w:r>
          </w:p>
        </w:tc>
        <w:tc>
          <w:tcPr>
            <w:tcW w:w="100" w:type="dxa"/>
            <w:vAlign w:val="bottom"/>
          </w:tcPr>
          <w:p>
            <w:pPr>
              <w:spacing w:after="0"/>
              <w:rPr>
                <w:sz w:val="18"/>
                <w:szCs w:val="18"/>
                <w:color w:val="auto"/>
              </w:rPr>
            </w:pPr>
          </w:p>
        </w:tc>
      </w:tr>
      <w:tr>
        <w:trPr>
          <w:trHeight w:val="219"/>
        </w:trPr>
        <w:tc>
          <w:tcPr>
            <w:tcW w:w="6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Compensation expense</w:t>
            </w:r>
          </w:p>
        </w:tc>
        <w:tc>
          <w:tcPr>
            <w:tcW w:w="4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1,293,310</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924,916</w:t>
            </w:r>
          </w:p>
        </w:tc>
        <w:tc>
          <w:tcPr>
            <w:tcW w:w="100" w:type="dxa"/>
            <w:vAlign w:val="bottom"/>
            <w:shd w:val="clear" w:color="auto" w:fill="CCEEFF"/>
          </w:tcPr>
          <w:p>
            <w:pPr>
              <w:spacing w:after="0"/>
              <w:rPr>
                <w:sz w:val="19"/>
                <w:szCs w:val="19"/>
                <w:color w:val="auto"/>
              </w:rPr>
            </w:pPr>
          </w:p>
        </w:tc>
      </w:tr>
      <w:tr>
        <w:trPr>
          <w:trHeight w:val="213"/>
        </w:trPr>
        <w:tc>
          <w:tcPr>
            <w:tcW w:w="6820" w:type="dxa"/>
            <w:vAlign w:val="bottom"/>
          </w:tcPr>
          <w:p>
            <w:pPr>
              <w:ind w:left="140"/>
              <w:spacing w:after="0"/>
              <w:rPr>
                <w:sz w:val="20"/>
                <w:szCs w:val="20"/>
                <w:color w:val="auto"/>
              </w:rPr>
            </w:pPr>
            <w:r>
              <w:rPr>
                <w:rFonts w:ascii="Arial" w:cs="Arial" w:eastAsia="Arial" w:hAnsi="Arial"/>
                <w:sz w:val="16"/>
                <w:szCs w:val="16"/>
                <w:color w:val="auto"/>
              </w:rPr>
              <w:t>Directors’ fees</w:t>
            </w:r>
          </w:p>
        </w:tc>
        <w:tc>
          <w:tcPr>
            <w:tcW w:w="4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111,250</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111,250</w:t>
            </w:r>
          </w:p>
        </w:tc>
        <w:tc>
          <w:tcPr>
            <w:tcW w:w="100" w:type="dxa"/>
            <w:vAlign w:val="bottom"/>
          </w:tcPr>
          <w:p>
            <w:pPr>
              <w:spacing w:after="0"/>
              <w:rPr>
                <w:sz w:val="18"/>
                <w:szCs w:val="18"/>
                <w:color w:val="auto"/>
              </w:rPr>
            </w:pPr>
          </w:p>
        </w:tc>
      </w:tr>
      <w:tr>
        <w:trPr>
          <w:trHeight w:val="219"/>
        </w:trPr>
        <w:tc>
          <w:tcPr>
            <w:tcW w:w="6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Professional fees</w:t>
            </w:r>
          </w:p>
        </w:tc>
        <w:tc>
          <w:tcPr>
            <w:tcW w:w="4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973,159</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1,139,366</w:t>
            </w:r>
          </w:p>
        </w:tc>
        <w:tc>
          <w:tcPr>
            <w:tcW w:w="100" w:type="dxa"/>
            <w:vAlign w:val="bottom"/>
            <w:shd w:val="clear" w:color="auto" w:fill="CCEEFF"/>
          </w:tcPr>
          <w:p>
            <w:pPr>
              <w:spacing w:after="0"/>
              <w:rPr>
                <w:sz w:val="19"/>
                <w:szCs w:val="19"/>
                <w:color w:val="auto"/>
              </w:rPr>
            </w:pPr>
          </w:p>
        </w:tc>
      </w:tr>
      <w:tr>
        <w:trPr>
          <w:trHeight w:val="213"/>
        </w:trPr>
        <w:tc>
          <w:tcPr>
            <w:tcW w:w="6820" w:type="dxa"/>
            <w:vAlign w:val="bottom"/>
          </w:tcPr>
          <w:p>
            <w:pPr>
              <w:ind w:left="140"/>
              <w:spacing w:after="0"/>
              <w:rPr>
                <w:sz w:val="20"/>
                <w:szCs w:val="20"/>
                <w:color w:val="auto"/>
              </w:rPr>
            </w:pPr>
            <w:r>
              <w:rPr>
                <w:rFonts w:ascii="Arial" w:cs="Arial" w:eastAsia="Arial" w:hAnsi="Arial"/>
                <w:sz w:val="16"/>
                <w:szCs w:val="16"/>
                <w:color w:val="auto"/>
              </w:rPr>
              <w:t>Interest expense</w:t>
            </w:r>
          </w:p>
        </w:tc>
        <w:tc>
          <w:tcPr>
            <w:tcW w:w="4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504,793</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573,400</w:t>
            </w:r>
          </w:p>
        </w:tc>
        <w:tc>
          <w:tcPr>
            <w:tcW w:w="100" w:type="dxa"/>
            <w:vAlign w:val="bottom"/>
          </w:tcPr>
          <w:p>
            <w:pPr>
              <w:spacing w:after="0"/>
              <w:rPr>
                <w:sz w:val="18"/>
                <w:szCs w:val="18"/>
                <w:color w:val="auto"/>
              </w:rPr>
            </w:pPr>
          </w:p>
        </w:tc>
      </w:tr>
      <w:tr>
        <w:trPr>
          <w:trHeight w:val="219"/>
        </w:trPr>
        <w:tc>
          <w:tcPr>
            <w:tcW w:w="6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Income tax expense</w:t>
            </w:r>
          </w:p>
        </w:tc>
        <w:tc>
          <w:tcPr>
            <w:tcW w:w="4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2,025</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8,665</w:t>
            </w:r>
          </w:p>
        </w:tc>
        <w:tc>
          <w:tcPr>
            <w:tcW w:w="100" w:type="dxa"/>
            <w:vAlign w:val="bottom"/>
            <w:shd w:val="clear" w:color="auto" w:fill="CCEEFF"/>
          </w:tcPr>
          <w:p>
            <w:pPr>
              <w:spacing w:after="0"/>
              <w:rPr>
                <w:sz w:val="19"/>
                <w:szCs w:val="19"/>
                <w:color w:val="auto"/>
              </w:rPr>
            </w:pPr>
          </w:p>
        </w:tc>
      </w:tr>
      <w:tr>
        <w:trPr>
          <w:trHeight w:val="213"/>
        </w:trPr>
        <w:tc>
          <w:tcPr>
            <w:tcW w:w="6820" w:type="dxa"/>
            <w:vAlign w:val="bottom"/>
          </w:tcPr>
          <w:p>
            <w:pPr>
              <w:ind w:left="140"/>
              <w:spacing w:after="0"/>
              <w:rPr>
                <w:sz w:val="20"/>
                <w:szCs w:val="20"/>
                <w:color w:val="auto"/>
              </w:rPr>
            </w:pPr>
            <w:r>
              <w:rPr>
                <w:rFonts w:ascii="Arial" w:cs="Arial" w:eastAsia="Arial" w:hAnsi="Arial"/>
                <w:sz w:val="16"/>
                <w:szCs w:val="16"/>
                <w:color w:val="auto"/>
              </w:rPr>
              <w:t>Other expenses</w:t>
            </w:r>
          </w:p>
        </w:tc>
        <w:tc>
          <w:tcPr>
            <w:tcW w:w="4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241,133</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498,719</w:t>
            </w:r>
          </w:p>
        </w:tc>
        <w:tc>
          <w:tcPr>
            <w:tcW w:w="100" w:type="dxa"/>
            <w:vAlign w:val="bottom"/>
          </w:tcPr>
          <w:p>
            <w:pPr>
              <w:spacing w:after="0"/>
              <w:rPr>
                <w:sz w:val="18"/>
                <w:szCs w:val="18"/>
                <w:color w:val="auto"/>
              </w:rPr>
            </w:pPr>
          </w:p>
        </w:tc>
      </w:tr>
      <w:tr>
        <w:trPr>
          <w:trHeight w:val="219"/>
        </w:trPr>
        <w:tc>
          <w:tcPr>
            <w:tcW w:w="68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Investment Loss</w:t>
            </w:r>
          </w:p>
        </w:tc>
        <w:tc>
          <w:tcPr>
            <w:tcW w:w="460" w:type="dxa"/>
            <w:vAlign w:val="bottom"/>
            <w:shd w:val="clear" w:color="auto" w:fill="CCEEFF"/>
          </w:tcPr>
          <w:p>
            <w:pPr>
              <w:jc w:val="right"/>
              <w:ind w:right="279"/>
              <w:spacing w:after="0"/>
              <w:rPr>
                <w:sz w:val="20"/>
                <w:szCs w:val="20"/>
                <w:color w:val="auto"/>
              </w:rPr>
            </w:pPr>
            <w:r>
              <w:rPr>
                <w:rFonts w:ascii="Arial" w:cs="Arial" w:eastAsia="Arial" w:hAnsi="Arial"/>
                <w:sz w:val="16"/>
                <w:szCs w:val="16"/>
                <w:b w:val="1"/>
                <w:bCs w:val="1"/>
                <w:color w:val="auto"/>
                <w:w w:val="8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(2,834,318)</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9"/>
              <w:spacing w:after="0"/>
              <w:rPr>
                <w:sz w:val="20"/>
                <w:szCs w:val="20"/>
                <w:color w:val="auto"/>
              </w:rPr>
            </w:pPr>
            <w:r>
              <w:rPr>
                <w:rFonts w:ascii="Arial" w:cs="Arial" w:eastAsia="Arial" w:hAnsi="Arial"/>
                <w:sz w:val="16"/>
                <w:szCs w:val="16"/>
                <w:b w:val="1"/>
                <w:bCs w:val="1"/>
                <w:color w:val="auto"/>
                <w:w w:val="8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(3,004,553)</w:t>
            </w:r>
          </w:p>
        </w:tc>
        <w:tc>
          <w:tcPr>
            <w:tcW w:w="100" w:type="dxa"/>
            <w:vAlign w:val="bottom"/>
            <w:shd w:val="clear" w:color="auto" w:fill="CCEEFF"/>
          </w:tcPr>
          <w:p>
            <w:pPr>
              <w:spacing w:after="0"/>
              <w:rPr>
                <w:sz w:val="19"/>
                <w:szCs w:val="19"/>
                <w:color w:val="auto"/>
              </w:rPr>
            </w:pPr>
          </w:p>
        </w:tc>
      </w:tr>
      <w:tr>
        <w:trPr>
          <w:trHeight w:val="213"/>
        </w:trPr>
        <w:tc>
          <w:tcPr>
            <w:tcW w:w="6820" w:type="dxa"/>
            <w:vAlign w:val="bottom"/>
          </w:tcPr>
          <w:p>
            <w:pPr>
              <w:ind w:left="140"/>
              <w:spacing w:after="0"/>
              <w:rPr>
                <w:sz w:val="20"/>
                <w:szCs w:val="20"/>
                <w:color w:val="auto"/>
              </w:rPr>
            </w:pPr>
            <w:r>
              <w:rPr>
                <w:rFonts w:ascii="Arial" w:cs="Arial" w:eastAsia="Arial" w:hAnsi="Arial"/>
                <w:sz w:val="16"/>
                <w:szCs w:val="16"/>
                <w:color w:val="auto"/>
              </w:rPr>
              <w:t>Net realized gain/(loss) on investments</w:t>
            </w:r>
          </w:p>
        </w:tc>
        <w:tc>
          <w:tcPr>
            <w:tcW w:w="4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112,152,518</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6,978,240</w:t>
            </w:r>
          </w:p>
        </w:tc>
        <w:tc>
          <w:tcPr>
            <w:tcW w:w="100" w:type="dxa"/>
            <w:vAlign w:val="bottom"/>
          </w:tcPr>
          <w:p>
            <w:pPr>
              <w:spacing w:after="0"/>
              <w:rPr>
                <w:sz w:val="18"/>
                <w:szCs w:val="18"/>
                <w:color w:val="auto"/>
              </w:rPr>
            </w:pPr>
          </w:p>
        </w:tc>
      </w:tr>
      <w:tr>
        <w:trPr>
          <w:trHeight w:val="219"/>
        </w:trPr>
        <w:tc>
          <w:tcPr>
            <w:tcW w:w="6820" w:type="dxa"/>
            <w:vAlign w:val="bottom"/>
            <w:shd w:val="clear" w:color="auto" w:fill="CCEEFF"/>
          </w:tcPr>
          <w:p>
            <w:pPr>
              <w:ind w:left="100"/>
              <w:spacing w:after="0"/>
              <w:rPr>
                <w:sz w:val="20"/>
                <w:szCs w:val="20"/>
                <w:color w:val="auto"/>
              </w:rPr>
            </w:pPr>
            <w:r>
              <w:rPr>
                <w:rFonts w:ascii="Arial" w:cs="Arial" w:eastAsia="Arial" w:hAnsi="Arial"/>
                <w:sz w:val="16"/>
                <w:szCs w:val="16"/>
                <w:color w:val="auto"/>
              </w:rPr>
              <w:t>Net change in unrealized appreciation/(depreciation) of investments</w:t>
            </w:r>
          </w:p>
        </w:tc>
        <w:tc>
          <w:tcPr>
            <w:tcW w:w="4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(1,315,837)</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(27,665,934)</w:t>
            </w:r>
          </w:p>
        </w:tc>
        <w:tc>
          <w:tcPr>
            <w:tcW w:w="100" w:type="dxa"/>
            <w:vAlign w:val="bottom"/>
            <w:shd w:val="clear" w:color="auto" w:fill="CCEEFF"/>
          </w:tcPr>
          <w:p>
            <w:pPr>
              <w:spacing w:after="0"/>
              <w:rPr>
                <w:sz w:val="19"/>
                <w:szCs w:val="19"/>
                <w:color w:val="auto"/>
              </w:rPr>
            </w:pPr>
          </w:p>
        </w:tc>
      </w:tr>
      <w:tr>
        <w:trPr>
          <w:trHeight w:val="210"/>
        </w:trPr>
        <w:tc>
          <w:tcPr>
            <w:tcW w:w="6820" w:type="dxa"/>
            <w:vAlign w:val="bottom"/>
          </w:tcPr>
          <w:p>
            <w:pPr>
              <w:ind w:left="20"/>
              <w:spacing w:after="0"/>
              <w:rPr>
                <w:sz w:val="20"/>
                <w:szCs w:val="20"/>
                <w:color w:val="auto"/>
              </w:rPr>
            </w:pPr>
            <w:r>
              <w:rPr>
                <w:rFonts w:ascii="Arial" w:cs="Arial" w:eastAsia="Arial" w:hAnsi="Arial"/>
                <w:sz w:val="16"/>
                <w:szCs w:val="16"/>
                <w:b w:val="1"/>
                <w:bCs w:val="1"/>
                <w:color w:val="auto"/>
              </w:rPr>
              <w:t>Net Change in Net Assets Resulting from Operations</w:t>
            </w:r>
          </w:p>
        </w:tc>
        <w:tc>
          <w:tcPr>
            <w:tcW w:w="460" w:type="dxa"/>
            <w:vAlign w:val="bottom"/>
          </w:tcPr>
          <w:p>
            <w:pPr>
              <w:jc w:val="right"/>
              <w:ind w:right="279"/>
              <w:spacing w:after="0"/>
              <w:rPr>
                <w:sz w:val="20"/>
                <w:szCs w:val="20"/>
                <w:color w:val="auto"/>
              </w:rPr>
            </w:pPr>
            <w:r>
              <w:rPr>
                <w:rFonts w:ascii="Arial" w:cs="Arial" w:eastAsia="Arial" w:hAnsi="Arial"/>
                <w:sz w:val="16"/>
                <w:szCs w:val="16"/>
                <w:b w:val="1"/>
                <w:bCs w:val="1"/>
                <w:color w:val="auto"/>
                <w:w w:val="89"/>
              </w:rPr>
              <w:t>$</w:t>
            </w:r>
          </w:p>
        </w:tc>
        <w:tc>
          <w:tcPr>
            <w:tcW w:w="1480" w:type="dxa"/>
            <w:vAlign w:val="bottom"/>
          </w:tcPr>
          <w:p>
            <w:pPr>
              <w:jc w:val="right"/>
              <w:spacing w:after="0"/>
              <w:rPr>
                <w:sz w:val="20"/>
                <w:szCs w:val="20"/>
                <w:color w:val="auto"/>
              </w:rPr>
            </w:pPr>
            <w:r>
              <w:rPr>
                <w:rFonts w:ascii="Arial" w:cs="Arial" w:eastAsia="Arial" w:hAnsi="Arial"/>
                <w:sz w:val="16"/>
                <w:szCs w:val="16"/>
                <w:b w:val="1"/>
                <w:bCs w:val="1"/>
                <w:color w:val="auto"/>
              </w:rPr>
              <w:t>108,002,363</w:t>
            </w:r>
          </w:p>
        </w:tc>
        <w:tc>
          <w:tcPr>
            <w:tcW w:w="100" w:type="dxa"/>
            <w:vAlign w:val="bottom"/>
          </w:tcPr>
          <w:p>
            <w:pPr>
              <w:spacing w:after="0"/>
              <w:rPr>
                <w:sz w:val="18"/>
                <w:szCs w:val="18"/>
                <w:color w:val="auto"/>
              </w:rPr>
            </w:pPr>
          </w:p>
        </w:tc>
        <w:tc>
          <w:tcPr>
            <w:tcW w:w="480" w:type="dxa"/>
            <w:vAlign w:val="bottom"/>
          </w:tcPr>
          <w:p>
            <w:pPr>
              <w:jc w:val="right"/>
              <w:ind w:right="299"/>
              <w:spacing w:after="0"/>
              <w:rPr>
                <w:sz w:val="20"/>
                <w:szCs w:val="20"/>
                <w:color w:val="auto"/>
              </w:rPr>
            </w:pPr>
            <w:r>
              <w:rPr>
                <w:rFonts w:ascii="Arial" w:cs="Arial" w:eastAsia="Arial" w:hAnsi="Arial"/>
                <w:sz w:val="16"/>
                <w:szCs w:val="16"/>
                <w:b w:val="1"/>
                <w:bCs w:val="1"/>
                <w:color w:val="auto"/>
                <w:w w:val="89"/>
              </w:rPr>
              <w:t>$</w:t>
            </w:r>
          </w:p>
        </w:tc>
        <w:tc>
          <w:tcPr>
            <w:tcW w:w="1480" w:type="dxa"/>
            <w:vAlign w:val="bottom"/>
          </w:tcPr>
          <w:p>
            <w:pPr>
              <w:jc w:val="right"/>
              <w:spacing w:after="0"/>
              <w:rPr>
                <w:sz w:val="20"/>
                <w:szCs w:val="20"/>
                <w:color w:val="auto"/>
              </w:rPr>
            </w:pPr>
            <w:r>
              <w:rPr>
                <w:rFonts w:ascii="Arial" w:cs="Arial" w:eastAsia="Arial" w:hAnsi="Arial"/>
                <w:sz w:val="16"/>
                <w:szCs w:val="16"/>
                <w:b w:val="1"/>
                <w:bCs w:val="1"/>
                <w:color w:val="auto"/>
              </w:rPr>
              <w:t>(23,692,247)</w:t>
            </w:r>
          </w:p>
        </w:tc>
        <w:tc>
          <w:tcPr>
            <w:tcW w:w="10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-1924685</wp:posOffset>
            </wp:positionV>
            <wp:extent cx="432054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4320540" cy="8255"/>
                    </a:xfrm>
                    <a:prstGeom prst="rect">
                      <a:avLst/>
                    </a:prstGeom>
                    <a:noFill/>
                  </pic:spPr>
                </pic:pic>
              </a:graphicData>
            </a:graphic>
          </wp:anchor>
        </w:drawing>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Income</w:t>
      </w:r>
    </w:p>
    <w:p>
      <w:pPr>
        <w:spacing w:after="0" w:line="252" w:lineRule="exact"/>
        <w:rPr>
          <w:sz w:val="20"/>
          <w:szCs w:val="20"/>
          <w:color w:val="auto"/>
        </w:rPr>
      </w:pPr>
    </w:p>
    <w:p>
      <w:pPr>
        <w:jc w:val="both"/>
        <w:ind w:firstLine="364"/>
        <w:spacing w:after="0" w:line="255" w:lineRule="auto"/>
        <w:rPr>
          <w:sz w:val="20"/>
          <w:szCs w:val="20"/>
          <w:color w:val="auto"/>
        </w:rPr>
      </w:pPr>
      <w:r>
        <w:rPr>
          <w:rFonts w:ascii="Arial" w:cs="Arial" w:eastAsia="Arial" w:hAnsi="Arial"/>
          <w:sz w:val="18"/>
          <w:szCs w:val="18"/>
          <w:color w:val="auto"/>
        </w:rPr>
        <w:t>Investment income increased to $291,352 for the three months ended March 31, 2021 from $251,763 for the three months ended March 31, 2020. The net increase between periods was due to an increase in dividend income from NewLake Capital Partners, Inc. (f/k/a GreenAcreage Real Estate Corp.), Aventine Property Group, Inc. and interest income from the Residential Homes for Rent, LLC (d/b/a Second Avenue) term loan, Enjoy Technologies, Inc. convertible promissory note and Neutron Holdings, Inc. (d/b/a Lime) junior preferred convertible note. The increase was offset by a decrease in dividend income received from Treehouse Real Estate Investment Trust, Inc. during the three months ended March 31, 2021, relative to the three months ended March 31, 2020.</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52" w:lineRule="exact"/>
        <w:rPr>
          <w:sz w:val="20"/>
          <w:szCs w:val="20"/>
          <w:color w:val="auto"/>
        </w:rPr>
      </w:pPr>
    </w:p>
    <w:p>
      <w:pPr>
        <w:jc w:val="both"/>
        <w:ind w:firstLine="364"/>
        <w:spacing w:after="0" w:line="311" w:lineRule="auto"/>
        <w:rPr>
          <w:sz w:val="20"/>
          <w:szCs w:val="20"/>
          <w:color w:val="auto"/>
        </w:rPr>
      </w:pPr>
      <w:r>
        <w:rPr>
          <w:rFonts w:ascii="Arial" w:cs="Arial" w:eastAsia="Arial" w:hAnsi="Arial"/>
          <w:sz w:val="16"/>
          <w:szCs w:val="16"/>
          <w:color w:val="auto"/>
        </w:rPr>
        <w:t>Total operating expenses decreased to $3,125,670 for the three months ended March 31, 2021 from $3,256,316 for the three months ended March 31, 2020. The decrease in operating expense was primarily due to the decrease in professional fees and other expenses. The decrease was partially offset by an increase in compensation expense during the three months ended March 31, 2021, relative to the three months ended March 31, 2020.</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Investment Loss</w:t>
      </w:r>
    </w:p>
    <w:p>
      <w:pPr>
        <w:spacing w:after="0" w:line="252" w:lineRule="exact"/>
        <w:rPr>
          <w:sz w:val="20"/>
          <w:szCs w:val="20"/>
          <w:color w:val="auto"/>
        </w:rPr>
      </w:pPr>
    </w:p>
    <w:p>
      <w:pPr>
        <w:jc w:val="both"/>
        <w:ind w:firstLine="364"/>
        <w:spacing w:after="0" w:line="311" w:lineRule="auto"/>
        <w:rPr>
          <w:sz w:val="20"/>
          <w:szCs w:val="20"/>
          <w:color w:val="auto"/>
        </w:rPr>
      </w:pPr>
      <w:r>
        <w:rPr>
          <w:rFonts w:ascii="Arial" w:cs="Arial" w:eastAsia="Arial" w:hAnsi="Arial"/>
          <w:sz w:val="16"/>
          <w:szCs w:val="16"/>
          <w:color w:val="auto"/>
        </w:rPr>
        <w:t>For the three months ended March 31, 2021, we recognized a net investment loss of $2,834,318, compared to a net investment loss of $3,004,553 for the three months ended March 31, 2020. The change between periods resulted from the decrease in operating expenses and an increase in total investment income between periods during the three months ended March 31, 2021, relative to the three months ended March 31, 2020.</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Realized Gain on Investments</w:t>
      </w:r>
    </w:p>
    <w:p>
      <w:pPr>
        <w:spacing w:after="0" w:line="252" w:lineRule="exact"/>
        <w:rPr>
          <w:sz w:val="20"/>
          <w:szCs w:val="20"/>
          <w:color w:val="auto"/>
        </w:rPr>
      </w:pPr>
    </w:p>
    <w:p>
      <w:pPr>
        <w:jc w:val="both"/>
        <w:ind w:firstLine="364"/>
        <w:spacing w:after="0" w:line="311" w:lineRule="auto"/>
        <w:rPr>
          <w:sz w:val="20"/>
          <w:szCs w:val="20"/>
          <w:color w:val="auto"/>
        </w:rPr>
      </w:pPr>
      <w:r>
        <w:rPr>
          <w:rFonts w:ascii="Arial" w:cs="Arial" w:eastAsia="Arial" w:hAnsi="Arial"/>
          <w:sz w:val="16"/>
          <w:szCs w:val="16"/>
          <w:color w:val="auto"/>
        </w:rPr>
        <w:t>For the three months ended March 31, 2021, we recognized a net realized gain on our investments of $112,152,518, compared to a net realized gain of $6,978,240 for the three months ended March 31, 2020. The components of our net realized gains on portfolio investments for the three months ended March 31, 2021 and 2020, excluding U.S. Treasury investments, are reflected in the tables above, under “—Portfolio and Investment Activity.”</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240"/>
          </w:cols>
          <w:pgMar w:left="320" w:top="122" w:right="339" w:bottom="1440" w:gutter="0" w:footer="0" w:header="0"/>
        </w:sectPr>
      </w:pPr>
    </w:p>
    <w:bookmarkStart w:id="65" w:name="page66"/>
    <w:bookmarkEnd w:id="65"/>
    <w:p>
      <w:pPr>
        <w:spacing w:after="0"/>
        <w:rPr>
          <w:rFonts w:ascii="Arial" w:cs="Arial" w:eastAsia="Arial" w:hAnsi="Arial"/>
          <w:sz w:val="14"/>
          <w:szCs w:val="14"/>
          <w:color w:val="0000FF"/>
        </w:rPr>
      </w:pPr>
      <w:hyperlink w:anchor="page1">
        <w:r>
          <w:rPr>
            <w:rFonts w:ascii="Arial" w:cs="Arial" w:eastAsia="Arial" w:hAnsi="Arial"/>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Change in Unrealized Appreciation/(Depreciation) of Investments</w:t>
      </w:r>
    </w:p>
    <w:p>
      <w:pPr>
        <w:spacing w:after="0" w:line="252"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For the three months ended March 31, 2021, we had a net change in unrealized depreciation of $1,315,837. For the three months ended March 31, 2020, we had a net change in unrealized depreciation of $27,665,934. The following tables summarize, by portfolio company, the significant changes in unrealized appreciation and/or depreciation of our investment portfolio for the three months ended March 31, 2021 and 2020.</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20" w:type="dxa"/>
            <w:vAlign w:val="bottom"/>
          </w:tcPr>
          <w:p>
            <w:pPr>
              <w:jc w:val="center"/>
              <w:ind w:right="101"/>
              <w:spacing w:after="0"/>
              <w:rPr>
                <w:sz w:val="20"/>
                <w:szCs w:val="20"/>
                <w:color w:val="auto"/>
              </w:rPr>
            </w:pPr>
            <w:r>
              <w:rPr>
                <w:rFonts w:ascii="Arial" w:cs="Arial" w:eastAsia="Arial" w:hAnsi="Arial"/>
                <w:sz w:val="14"/>
                <w:szCs w:val="14"/>
                <w:b w:val="1"/>
                <w:bCs w:val="1"/>
                <w:color w:val="auto"/>
                <w:w w:val="93"/>
              </w:rPr>
              <w:t>Net Change in Unrealized</w:t>
            </w:r>
          </w:p>
        </w:tc>
        <w:tc>
          <w:tcPr>
            <w:tcW w:w="10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20" w:type="dxa"/>
            <w:vAlign w:val="bottom"/>
          </w:tcPr>
          <w:p>
            <w:pPr>
              <w:jc w:val="center"/>
              <w:ind w:right="101"/>
              <w:spacing w:after="0"/>
              <w:rPr>
                <w:sz w:val="20"/>
                <w:szCs w:val="20"/>
                <w:color w:val="auto"/>
              </w:rPr>
            </w:pPr>
            <w:r>
              <w:rPr>
                <w:rFonts w:ascii="Arial" w:cs="Arial" w:eastAsia="Arial" w:hAnsi="Arial"/>
                <w:sz w:val="14"/>
                <w:szCs w:val="14"/>
                <w:b w:val="1"/>
                <w:bCs w:val="1"/>
                <w:color w:val="auto"/>
                <w:w w:val="93"/>
              </w:rPr>
              <w:t>Net Change in Unrealized</w:t>
            </w:r>
          </w:p>
        </w:tc>
        <w:tc>
          <w:tcPr>
            <w:tcW w:w="0" w:type="dxa"/>
            <w:vAlign w:val="bottom"/>
          </w:tcPr>
          <w:p>
            <w:pPr>
              <w:spacing w:after="0"/>
              <w:rPr>
                <w:sz w:val="1"/>
                <w:szCs w:val="1"/>
                <w:color w:val="auto"/>
              </w:rPr>
            </w:pPr>
          </w:p>
        </w:tc>
      </w:tr>
      <w:tr>
        <w:trPr>
          <w:trHeight w:val="135"/>
        </w:trPr>
        <w:tc>
          <w:tcPr>
            <w:tcW w:w="3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10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w w:val="94"/>
              </w:rPr>
              <w:t>Appreciation/(Depreciation) For</w:t>
            </w:r>
          </w:p>
        </w:tc>
        <w:tc>
          <w:tcPr>
            <w:tcW w:w="100" w:type="dxa"/>
            <w:vAlign w:val="bottom"/>
          </w:tcPr>
          <w:p>
            <w:pPr>
              <w:spacing w:after="0"/>
              <w:rPr>
                <w:sz w:val="11"/>
                <w:szCs w:val="11"/>
                <w:color w:val="auto"/>
              </w:rPr>
            </w:pPr>
          </w:p>
        </w:tc>
        <w:tc>
          <w:tcPr>
            <w:tcW w:w="3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10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w w:val="94"/>
              </w:rPr>
              <w:t>Appreciation/(Depreciation) For</w:t>
            </w:r>
          </w:p>
        </w:tc>
        <w:tc>
          <w:tcPr>
            <w:tcW w:w="0" w:type="dxa"/>
            <w:vAlign w:val="bottom"/>
          </w:tcPr>
          <w:p>
            <w:pPr>
              <w:spacing w:after="0"/>
              <w:rPr>
                <w:sz w:val="1"/>
                <w:szCs w:val="1"/>
                <w:color w:val="auto"/>
              </w:rPr>
            </w:pPr>
          </w:p>
        </w:tc>
      </w:tr>
      <w:tr>
        <w:trPr>
          <w:trHeight w:val="135"/>
        </w:trPr>
        <w:tc>
          <w:tcPr>
            <w:tcW w:w="36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Portfolio Company</w:t>
            </w:r>
          </w:p>
        </w:tc>
        <w:tc>
          <w:tcPr>
            <w:tcW w:w="100" w:type="dxa"/>
            <w:vAlign w:val="bottom"/>
            <w:vMerge w:val="restart"/>
          </w:tcPr>
          <w:p>
            <w:pPr>
              <w:spacing w:after="0"/>
              <w:rPr>
                <w:sz w:val="11"/>
                <w:szCs w:val="11"/>
                <w:color w:val="auto"/>
              </w:rPr>
            </w:pPr>
          </w:p>
        </w:tc>
        <w:tc>
          <w:tcPr>
            <w:tcW w:w="210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w w:val="94"/>
              </w:rPr>
              <w:t>the Three Months Ended March</w:t>
            </w:r>
          </w:p>
        </w:tc>
        <w:tc>
          <w:tcPr>
            <w:tcW w:w="100" w:type="dxa"/>
            <w:vAlign w:val="bottom"/>
          </w:tcPr>
          <w:p>
            <w:pPr>
              <w:spacing w:after="0"/>
              <w:rPr>
                <w:sz w:val="11"/>
                <w:szCs w:val="11"/>
                <w:color w:val="auto"/>
              </w:rPr>
            </w:pPr>
          </w:p>
        </w:tc>
        <w:tc>
          <w:tcPr>
            <w:tcW w:w="31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Portfolio Company</w:t>
            </w:r>
          </w:p>
        </w:tc>
        <w:tc>
          <w:tcPr>
            <w:tcW w:w="100" w:type="dxa"/>
            <w:vAlign w:val="bottom"/>
            <w:vMerge w:val="restart"/>
          </w:tcPr>
          <w:p>
            <w:pPr>
              <w:spacing w:after="0"/>
              <w:rPr>
                <w:sz w:val="11"/>
                <w:szCs w:val="11"/>
                <w:color w:val="auto"/>
              </w:rPr>
            </w:pPr>
          </w:p>
        </w:tc>
        <w:tc>
          <w:tcPr>
            <w:tcW w:w="210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w w:val="94"/>
              </w:rPr>
              <w:t>the Three Months Ended March</w:t>
            </w:r>
          </w:p>
        </w:tc>
        <w:tc>
          <w:tcPr>
            <w:tcW w:w="0" w:type="dxa"/>
            <w:vAlign w:val="bottom"/>
          </w:tcPr>
          <w:p>
            <w:pPr>
              <w:spacing w:after="0"/>
              <w:rPr>
                <w:sz w:val="1"/>
                <w:szCs w:val="1"/>
                <w:color w:val="auto"/>
              </w:rPr>
            </w:pPr>
          </w:p>
        </w:tc>
      </w:tr>
      <w:tr>
        <w:trPr>
          <w:trHeight w:val="188"/>
        </w:trPr>
        <w:tc>
          <w:tcPr>
            <w:tcW w:w="36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tcPr>
          <w:p>
            <w:pPr>
              <w:jc w:val="center"/>
              <w:ind w:right="101"/>
              <w:spacing w:after="0"/>
              <w:rPr>
                <w:sz w:val="20"/>
                <w:szCs w:val="20"/>
                <w:color w:val="auto"/>
              </w:rPr>
            </w:pPr>
            <w:r>
              <w:rPr>
                <w:rFonts w:ascii="Arial" w:cs="Arial" w:eastAsia="Arial" w:hAnsi="Arial"/>
                <w:sz w:val="14"/>
                <w:szCs w:val="14"/>
                <w:b w:val="1"/>
                <w:bCs w:val="1"/>
                <w:color w:val="auto"/>
                <w:w w:val="91"/>
              </w:rPr>
              <w:t>31, 2021</w:t>
            </w:r>
          </w:p>
        </w:tc>
        <w:tc>
          <w:tcPr>
            <w:tcW w:w="100" w:type="dxa"/>
            <w:vAlign w:val="bottom"/>
            <w:tcBorders>
              <w:bottom w:val="single" w:sz="8" w:color="CCEEFF"/>
            </w:tcBorders>
          </w:tcPr>
          <w:p>
            <w:pPr>
              <w:spacing w:after="0"/>
              <w:rPr>
                <w:sz w:val="16"/>
                <w:szCs w:val="16"/>
                <w:color w:val="auto"/>
              </w:rPr>
            </w:pPr>
          </w:p>
        </w:tc>
        <w:tc>
          <w:tcPr>
            <w:tcW w:w="31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tcPr>
          <w:p>
            <w:pPr>
              <w:jc w:val="center"/>
              <w:ind w:right="101"/>
              <w:spacing w:after="0"/>
              <w:rPr>
                <w:sz w:val="20"/>
                <w:szCs w:val="20"/>
                <w:color w:val="auto"/>
              </w:rPr>
            </w:pPr>
            <w:r>
              <w:rPr>
                <w:rFonts w:ascii="Arial" w:cs="Arial" w:eastAsia="Arial" w:hAnsi="Arial"/>
                <w:sz w:val="14"/>
                <w:szCs w:val="14"/>
                <w:b w:val="1"/>
                <w:bCs w:val="1"/>
                <w:color w:val="auto"/>
                <w:w w:val="91"/>
              </w:rPr>
              <w:t>31, 2020</w:t>
            </w:r>
          </w:p>
        </w:tc>
        <w:tc>
          <w:tcPr>
            <w:tcW w:w="0" w:type="dxa"/>
            <w:vAlign w:val="bottom"/>
          </w:tcPr>
          <w:p>
            <w:pPr>
              <w:spacing w:after="0"/>
              <w:rPr>
                <w:sz w:val="1"/>
                <w:szCs w:val="1"/>
                <w:color w:val="auto"/>
              </w:rPr>
            </w:pPr>
          </w:p>
        </w:tc>
      </w:tr>
      <w:tr>
        <w:trPr>
          <w:trHeight w:val="211"/>
        </w:trPr>
        <w:tc>
          <w:tcPr>
            <w:tcW w:w="37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Coursera, Inc.</w:t>
            </w:r>
          </w:p>
        </w:tc>
        <w:tc>
          <w:tcPr>
            <w:tcW w:w="18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w w:val="89"/>
              </w:rPr>
              <w:t>$</w:t>
            </w:r>
          </w:p>
        </w:tc>
        <w:tc>
          <w:tcPr>
            <w:tcW w:w="19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73,516,484</w:t>
            </w:r>
          </w:p>
        </w:tc>
        <w:tc>
          <w:tcPr>
            <w:tcW w:w="100" w:type="dxa"/>
            <w:vAlign w:val="bottom"/>
            <w:shd w:val="clear" w:color="auto" w:fill="CCEEFF"/>
          </w:tcPr>
          <w:p>
            <w:pPr>
              <w:spacing w:after="0"/>
              <w:rPr>
                <w:sz w:val="18"/>
                <w:szCs w:val="18"/>
                <w:color w:val="auto"/>
              </w:rPr>
            </w:pPr>
          </w:p>
        </w:tc>
        <w:tc>
          <w:tcPr>
            <w:tcW w:w="32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Coursera, Inc.</w:t>
            </w:r>
          </w:p>
        </w:tc>
        <w:tc>
          <w:tcPr>
            <w:tcW w:w="18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w w:val="89"/>
              </w:rPr>
              <w:t>$</w:t>
            </w:r>
          </w:p>
        </w:tc>
        <w:tc>
          <w:tcPr>
            <w:tcW w:w="1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1,137,694</w:t>
            </w:r>
          </w:p>
        </w:tc>
        <w:tc>
          <w:tcPr>
            <w:tcW w:w="0" w:type="dxa"/>
            <w:vAlign w:val="bottom"/>
          </w:tcPr>
          <w:p>
            <w:pPr>
              <w:spacing w:after="0"/>
              <w:rPr>
                <w:sz w:val="1"/>
                <w:szCs w:val="1"/>
                <w:color w:val="auto"/>
              </w:rPr>
            </w:pPr>
          </w:p>
        </w:tc>
      </w:tr>
      <w:tr>
        <w:trPr>
          <w:trHeight w:val="213"/>
        </w:trPr>
        <w:tc>
          <w:tcPr>
            <w:tcW w:w="3720" w:type="dxa"/>
            <w:vAlign w:val="bottom"/>
            <w:gridSpan w:val="2"/>
          </w:tcPr>
          <w:p>
            <w:pPr>
              <w:ind w:left="20"/>
              <w:spacing w:after="0"/>
              <w:rPr>
                <w:sz w:val="20"/>
                <w:szCs w:val="20"/>
                <w:color w:val="auto"/>
              </w:rPr>
            </w:pPr>
            <w:r>
              <w:rPr>
                <w:rFonts w:ascii="Arial" w:cs="Arial" w:eastAsia="Arial" w:hAnsi="Arial"/>
                <w:sz w:val="16"/>
                <w:szCs w:val="16"/>
                <w:color w:val="auto"/>
              </w:rPr>
              <w:t>Nextdoor.com, Inc.</w:t>
            </w:r>
          </w:p>
        </w:tc>
        <w:tc>
          <w:tcPr>
            <w:tcW w:w="180" w:type="dxa"/>
            <w:vAlign w:val="bottom"/>
          </w:tcPr>
          <w:p>
            <w:pPr>
              <w:spacing w:after="0"/>
              <w:rPr>
                <w:sz w:val="18"/>
                <w:szCs w:val="18"/>
                <w:color w:val="auto"/>
              </w:rPr>
            </w:pPr>
          </w:p>
        </w:tc>
        <w:tc>
          <w:tcPr>
            <w:tcW w:w="1920" w:type="dxa"/>
            <w:vAlign w:val="bottom"/>
          </w:tcPr>
          <w:p>
            <w:pPr>
              <w:jc w:val="right"/>
              <w:ind w:right="1"/>
              <w:spacing w:after="0"/>
              <w:rPr>
                <w:sz w:val="20"/>
                <w:szCs w:val="20"/>
                <w:color w:val="auto"/>
              </w:rPr>
            </w:pPr>
            <w:r>
              <w:rPr>
                <w:rFonts w:ascii="Arial" w:cs="Arial" w:eastAsia="Arial" w:hAnsi="Arial"/>
                <w:sz w:val="16"/>
                <w:szCs w:val="16"/>
                <w:color w:val="auto"/>
              </w:rPr>
              <w:t>5,081,591</w:t>
            </w:r>
          </w:p>
        </w:tc>
        <w:tc>
          <w:tcPr>
            <w:tcW w:w="100" w:type="dxa"/>
            <w:vAlign w:val="bottom"/>
          </w:tcPr>
          <w:p>
            <w:pPr>
              <w:spacing w:after="0"/>
              <w:rPr>
                <w:sz w:val="18"/>
                <w:szCs w:val="18"/>
                <w:color w:val="auto"/>
              </w:rPr>
            </w:pPr>
          </w:p>
        </w:tc>
        <w:tc>
          <w:tcPr>
            <w:tcW w:w="3220" w:type="dxa"/>
            <w:vAlign w:val="bottom"/>
            <w:gridSpan w:val="2"/>
          </w:tcPr>
          <w:p>
            <w:pPr>
              <w:ind w:left="20"/>
              <w:spacing w:after="0"/>
              <w:rPr>
                <w:sz w:val="20"/>
                <w:szCs w:val="20"/>
                <w:color w:val="auto"/>
              </w:rPr>
            </w:pPr>
            <w:r>
              <w:rPr>
                <w:rFonts w:ascii="Arial" w:cs="Arial" w:eastAsia="Arial" w:hAnsi="Arial"/>
                <w:sz w:val="16"/>
                <w:szCs w:val="16"/>
                <w:color w:val="auto"/>
              </w:rPr>
              <w:t>Course Hero, Inc.</w:t>
            </w:r>
          </w:p>
        </w:tc>
        <w:tc>
          <w:tcPr>
            <w:tcW w:w="18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Arial" w:cs="Arial" w:eastAsia="Arial" w:hAnsi="Arial"/>
                <w:sz w:val="16"/>
                <w:szCs w:val="16"/>
                <w:color w:val="auto"/>
              </w:rPr>
              <w:t>(1,038,511)</w:t>
            </w:r>
          </w:p>
        </w:tc>
        <w:tc>
          <w:tcPr>
            <w:tcW w:w="0" w:type="dxa"/>
            <w:vAlign w:val="bottom"/>
          </w:tcPr>
          <w:p>
            <w:pPr>
              <w:spacing w:after="0"/>
              <w:rPr>
                <w:sz w:val="1"/>
                <w:szCs w:val="1"/>
                <w:color w:val="auto"/>
              </w:rPr>
            </w:pPr>
          </w:p>
        </w:tc>
      </w:tr>
      <w:tr>
        <w:trPr>
          <w:trHeight w:val="219"/>
        </w:trPr>
        <w:tc>
          <w:tcPr>
            <w:tcW w:w="37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 Place for Rover Inc. (f/k/a DogVacay, Inc.)</w:t>
            </w:r>
          </w:p>
        </w:tc>
        <w:tc>
          <w:tcPr>
            <w:tcW w:w="180" w:type="dxa"/>
            <w:vAlign w:val="bottom"/>
            <w:shd w:val="clear" w:color="auto" w:fill="CCEEFF"/>
          </w:tcPr>
          <w:p>
            <w:pPr>
              <w:spacing w:after="0"/>
              <w:rPr>
                <w:sz w:val="19"/>
                <w:szCs w:val="19"/>
                <w:color w:val="auto"/>
              </w:rPr>
            </w:pPr>
          </w:p>
        </w:tc>
        <w:tc>
          <w:tcPr>
            <w:tcW w:w="19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3,941,249</w:t>
            </w:r>
          </w:p>
        </w:tc>
        <w:tc>
          <w:tcPr>
            <w:tcW w:w="100" w:type="dxa"/>
            <w:vAlign w:val="bottom"/>
            <w:shd w:val="clear" w:color="auto" w:fill="CCEEFF"/>
          </w:tcPr>
          <w:p>
            <w:pPr>
              <w:spacing w:after="0"/>
              <w:rPr>
                <w:sz w:val="19"/>
                <w:szCs w:val="19"/>
                <w:color w:val="auto"/>
              </w:rPr>
            </w:pPr>
          </w:p>
        </w:tc>
        <w:tc>
          <w:tcPr>
            <w:tcW w:w="32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Palantir Technologies, Inc.</w:t>
            </w:r>
          </w:p>
        </w:tc>
        <w:tc>
          <w:tcPr>
            <w:tcW w:w="18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(1,039,264)</w:t>
            </w:r>
          </w:p>
        </w:tc>
        <w:tc>
          <w:tcPr>
            <w:tcW w:w="0" w:type="dxa"/>
            <w:vAlign w:val="bottom"/>
          </w:tcPr>
          <w:p>
            <w:pPr>
              <w:spacing w:after="0"/>
              <w:rPr>
                <w:sz w:val="1"/>
                <w:szCs w:val="1"/>
                <w:color w:val="auto"/>
              </w:rPr>
            </w:pPr>
          </w:p>
        </w:tc>
      </w:tr>
      <w:tr>
        <w:trPr>
          <w:trHeight w:val="213"/>
        </w:trPr>
        <w:tc>
          <w:tcPr>
            <w:tcW w:w="3720" w:type="dxa"/>
            <w:vAlign w:val="bottom"/>
            <w:gridSpan w:val="2"/>
          </w:tcPr>
          <w:p>
            <w:pPr>
              <w:ind w:left="20"/>
              <w:spacing w:after="0"/>
              <w:rPr>
                <w:sz w:val="20"/>
                <w:szCs w:val="20"/>
                <w:color w:val="auto"/>
              </w:rPr>
            </w:pPr>
            <w:r>
              <w:rPr>
                <w:rFonts w:ascii="Arial" w:cs="Arial" w:eastAsia="Arial" w:hAnsi="Arial"/>
                <w:sz w:val="16"/>
                <w:szCs w:val="16"/>
                <w:color w:val="auto"/>
              </w:rPr>
              <w:t>Ozy Media, Inc.</w:t>
            </w:r>
          </w:p>
        </w:tc>
        <w:tc>
          <w:tcPr>
            <w:tcW w:w="180" w:type="dxa"/>
            <w:vAlign w:val="bottom"/>
          </w:tcPr>
          <w:p>
            <w:pPr>
              <w:spacing w:after="0"/>
              <w:rPr>
                <w:sz w:val="18"/>
                <w:szCs w:val="18"/>
                <w:color w:val="auto"/>
              </w:rPr>
            </w:pPr>
          </w:p>
        </w:tc>
        <w:tc>
          <w:tcPr>
            <w:tcW w:w="1920" w:type="dxa"/>
            <w:vAlign w:val="bottom"/>
          </w:tcPr>
          <w:p>
            <w:pPr>
              <w:jc w:val="right"/>
              <w:ind w:right="1"/>
              <w:spacing w:after="0"/>
              <w:rPr>
                <w:sz w:val="20"/>
                <w:szCs w:val="20"/>
                <w:color w:val="auto"/>
              </w:rPr>
            </w:pPr>
            <w:r>
              <w:rPr>
                <w:rFonts w:ascii="Arial" w:cs="Arial" w:eastAsia="Arial" w:hAnsi="Arial"/>
                <w:sz w:val="16"/>
                <w:szCs w:val="16"/>
                <w:color w:val="auto"/>
              </w:rPr>
              <w:t>1,391,903</w:t>
            </w:r>
          </w:p>
        </w:tc>
        <w:tc>
          <w:tcPr>
            <w:tcW w:w="100" w:type="dxa"/>
            <w:vAlign w:val="bottom"/>
          </w:tcPr>
          <w:p>
            <w:pPr>
              <w:spacing w:after="0"/>
              <w:rPr>
                <w:sz w:val="18"/>
                <w:szCs w:val="18"/>
                <w:color w:val="auto"/>
              </w:rPr>
            </w:pPr>
          </w:p>
        </w:tc>
        <w:tc>
          <w:tcPr>
            <w:tcW w:w="3220" w:type="dxa"/>
            <w:vAlign w:val="bottom"/>
            <w:gridSpan w:val="2"/>
          </w:tcPr>
          <w:p>
            <w:pPr>
              <w:ind w:left="20"/>
              <w:spacing w:after="0"/>
              <w:rPr>
                <w:sz w:val="20"/>
                <w:szCs w:val="20"/>
                <w:color w:val="auto"/>
              </w:rPr>
            </w:pPr>
            <w:r>
              <w:rPr>
                <w:rFonts w:ascii="Arial" w:cs="Arial" w:eastAsia="Arial" w:hAnsi="Arial"/>
                <w:sz w:val="16"/>
                <w:szCs w:val="16"/>
                <w:color w:val="auto"/>
              </w:rPr>
              <w:t>NestGSV, Inc. (d/b/a GSV Labs, Inc.)</w:t>
            </w:r>
          </w:p>
        </w:tc>
        <w:tc>
          <w:tcPr>
            <w:tcW w:w="18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Arial" w:cs="Arial" w:eastAsia="Arial" w:hAnsi="Arial"/>
                <w:sz w:val="16"/>
                <w:szCs w:val="16"/>
                <w:color w:val="auto"/>
              </w:rPr>
              <w:t>(2,494,963)</w:t>
            </w:r>
          </w:p>
        </w:tc>
        <w:tc>
          <w:tcPr>
            <w:tcW w:w="0" w:type="dxa"/>
            <w:vAlign w:val="bottom"/>
          </w:tcPr>
          <w:p>
            <w:pPr>
              <w:spacing w:after="0"/>
              <w:rPr>
                <w:sz w:val="1"/>
                <w:szCs w:val="1"/>
                <w:color w:val="auto"/>
              </w:rPr>
            </w:pPr>
          </w:p>
        </w:tc>
      </w:tr>
      <w:tr>
        <w:trPr>
          <w:trHeight w:val="219"/>
        </w:trPr>
        <w:tc>
          <w:tcPr>
            <w:tcW w:w="3720" w:type="dxa"/>
            <w:vAlign w:val="bottom"/>
            <w:gridSpan w:val="2"/>
            <w:shd w:val="clear" w:color="auto" w:fill="CCEEFF"/>
          </w:tcPr>
          <w:p>
            <w:pPr>
              <w:ind w:left="20"/>
              <w:spacing w:after="0" w:line="219" w:lineRule="exact"/>
              <w:rPr>
                <w:sz w:val="20"/>
                <w:szCs w:val="20"/>
                <w:color w:val="auto"/>
              </w:rPr>
            </w:pPr>
            <w:r>
              <w:rPr>
                <w:rFonts w:ascii="Arial" w:cs="Arial" w:eastAsia="Arial" w:hAnsi="Arial"/>
                <w:sz w:val="16"/>
                <w:szCs w:val="16"/>
                <w:color w:val="auto"/>
              </w:rPr>
              <w:t>Aventine Property Group, Inc.</w:t>
            </w:r>
            <w:r>
              <w:rPr>
                <w:rFonts w:ascii="Arial" w:cs="Arial" w:eastAsia="Arial" w:hAnsi="Arial"/>
                <w:sz w:val="21"/>
                <w:szCs w:val="21"/>
                <w:color w:val="auto"/>
                <w:vertAlign w:val="superscript"/>
              </w:rPr>
              <w:t>(1)</w:t>
            </w:r>
          </w:p>
        </w:tc>
        <w:tc>
          <w:tcPr>
            <w:tcW w:w="180" w:type="dxa"/>
            <w:vAlign w:val="bottom"/>
            <w:shd w:val="clear" w:color="auto" w:fill="CCEEFF"/>
          </w:tcPr>
          <w:p>
            <w:pPr>
              <w:spacing w:after="0"/>
              <w:rPr>
                <w:sz w:val="19"/>
                <w:szCs w:val="19"/>
                <w:color w:val="auto"/>
              </w:rPr>
            </w:pPr>
          </w:p>
        </w:tc>
        <w:tc>
          <w:tcPr>
            <w:tcW w:w="19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1,293,674</w:t>
            </w:r>
          </w:p>
        </w:tc>
        <w:tc>
          <w:tcPr>
            <w:tcW w:w="100" w:type="dxa"/>
            <w:vAlign w:val="bottom"/>
            <w:shd w:val="clear" w:color="auto" w:fill="CCEEFF"/>
          </w:tcPr>
          <w:p>
            <w:pPr>
              <w:spacing w:after="0"/>
              <w:rPr>
                <w:sz w:val="19"/>
                <w:szCs w:val="19"/>
                <w:color w:val="auto"/>
              </w:rPr>
            </w:pPr>
          </w:p>
        </w:tc>
        <w:tc>
          <w:tcPr>
            <w:tcW w:w="32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SharesPost, Inc.</w:t>
            </w:r>
          </w:p>
        </w:tc>
        <w:tc>
          <w:tcPr>
            <w:tcW w:w="18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(2,549,092)</w:t>
            </w:r>
          </w:p>
        </w:tc>
        <w:tc>
          <w:tcPr>
            <w:tcW w:w="0" w:type="dxa"/>
            <w:vAlign w:val="bottom"/>
          </w:tcPr>
          <w:p>
            <w:pPr>
              <w:spacing w:after="0"/>
              <w:rPr>
                <w:sz w:val="1"/>
                <w:szCs w:val="1"/>
                <w:color w:val="auto"/>
              </w:rPr>
            </w:pPr>
          </w:p>
        </w:tc>
      </w:tr>
      <w:tr>
        <w:trPr>
          <w:trHeight w:val="213"/>
        </w:trPr>
        <w:tc>
          <w:tcPr>
            <w:tcW w:w="3720" w:type="dxa"/>
            <w:vAlign w:val="bottom"/>
            <w:gridSpan w:val="2"/>
          </w:tcPr>
          <w:p>
            <w:pPr>
              <w:ind w:left="20"/>
              <w:spacing w:after="0"/>
              <w:rPr>
                <w:sz w:val="20"/>
                <w:szCs w:val="20"/>
                <w:color w:val="auto"/>
              </w:rPr>
            </w:pPr>
            <w:r>
              <w:rPr>
                <w:rFonts w:ascii="Arial" w:cs="Arial" w:eastAsia="Arial" w:hAnsi="Arial"/>
                <w:sz w:val="16"/>
                <w:szCs w:val="16"/>
                <w:color w:val="auto"/>
              </w:rPr>
              <w:t>Enjoy Technology, Inc.</w:t>
            </w:r>
          </w:p>
        </w:tc>
        <w:tc>
          <w:tcPr>
            <w:tcW w:w="18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Arial" w:cs="Arial" w:eastAsia="Arial" w:hAnsi="Arial"/>
                <w:sz w:val="16"/>
                <w:szCs w:val="16"/>
                <w:color w:val="auto"/>
              </w:rPr>
              <w:t>(2,434,915)</w:t>
            </w:r>
          </w:p>
        </w:tc>
        <w:tc>
          <w:tcPr>
            <w:tcW w:w="100" w:type="dxa"/>
            <w:vAlign w:val="bottom"/>
          </w:tcPr>
          <w:p>
            <w:pPr>
              <w:spacing w:after="0"/>
              <w:rPr>
                <w:sz w:val="18"/>
                <w:szCs w:val="18"/>
                <w:color w:val="auto"/>
              </w:rPr>
            </w:pPr>
          </w:p>
        </w:tc>
        <w:tc>
          <w:tcPr>
            <w:tcW w:w="3220" w:type="dxa"/>
            <w:vAlign w:val="bottom"/>
            <w:gridSpan w:val="2"/>
          </w:tcPr>
          <w:p>
            <w:pPr>
              <w:ind w:left="20"/>
              <w:spacing w:after="0"/>
              <w:rPr>
                <w:sz w:val="20"/>
                <w:szCs w:val="20"/>
                <w:color w:val="auto"/>
              </w:rPr>
            </w:pPr>
            <w:r>
              <w:rPr>
                <w:rFonts w:ascii="Arial" w:cs="Arial" w:eastAsia="Arial" w:hAnsi="Arial"/>
                <w:sz w:val="16"/>
                <w:szCs w:val="16"/>
                <w:color w:val="auto"/>
              </w:rPr>
              <w:t>Ozy Media, Inc.</w:t>
            </w:r>
          </w:p>
        </w:tc>
        <w:tc>
          <w:tcPr>
            <w:tcW w:w="18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Arial" w:cs="Arial" w:eastAsia="Arial" w:hAnsi="Arial"/>
                <w:sz w:val="16"/>
                <w:szCs w:val="16"/>
                <w:color w:val="auto"/>
              </w:rPr>
              <w:t>(6,349,135)</w:t>
            </w:r>
          </w:p>
        </w:tc>
        <w:tc>
          <w:tcPr>
            <w:tcW w:w="0" w:type="dxa"/>
            <w:vAlign w:val="bottom"/>
          </w:tcPr>
          <w:p>
            <w:pPr>
              <w:spacing w:after="0"/>
              <w:rPr>
                <w:sz w:val="1"/>
                <w:szCs w:val="1"/>
                <w:color w:val="auto"/>
              </w:rPr>
            </w:pPr>
          </w:p>
        </w:tc>
      </w:tr>
      <w:tr>
        <w:trPr>
          <w:trHeight w:val="219"/>
        </w:trPr>
        <w:tc>
          <w:tcPr>
            <w:tcW w:w="37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Course Hero, Inc.</w:t>
            </w:r>
          </w:p>
        </w:tc>
        <w:tc>
          <w:tcPr>
            <w:tcW w:w="18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(2,548,258)</w:t>
            </w:r>
          </w:p>
        </w:tc>
        <w:tc>
          <w:tcPr>
            <w:tcW w:w="100" w:type="dxa"/>
            <w:vAlign w:val="bottom"/>
            <w:shd w:val="clear" w:color="auto" w:fill="CCEEFF"/>
          </w:tcPr>
          <w:p>
            <w:pPr>
              <w:spacing w:after="0"/>
              <w:rPr>
                <w:sz w:val="19"/>
                <w:szCs w:val="19"/>
                <w:color w:val="auto"/>
              </w:rPr>
            </w:pPr>
          </w:p>
        </w:tc>
        <w:tc>
          <w:tcPr>
            <w:tcW w:w="3220" w:type="dxa"/>
            <w:vAlign w:val="bottom"/>
            <w:gridSpan w:val="2"/>
            <w:shd w:val="clear" w:color="auto" w:fill="CCEEFF"/>
          </w:tcPr>
          <w:p>
            <w:pPr>
              <w:ind w:left="20"/>
              <w:spacing w:after="0" w:line="219" w:lineRule="exact"/>
              <w:rPr>
                <w:sz w:val="20"/>
                <w:szCs w:val="20"/>
                <w:color w:val="auto"/>
              </w:rPr>
            </w:pPr>
            <w:r>
              <w:rPr>
                <w:rFonts w:ascii="Arial" w:cs="Arial" w:eastAsia="Arial" w:hAnsi="Arial"/>
                <w:sz w:val="16"/>
                <w:szCs w:val="16"/>
                <w:color w:val="auto"/>
              </w:rPr>
              <w:t>Parchment, Inc.</w:t>
            </w:r>
            <w:r>
              <w:rPr>
                <w:rFonts w:ascii="Arial" w:cs="Arial" w:eastAsia="Arial" w:hAnsi="Arial"/>
                <w:sz w:val="21"/>
                <w:szCs w:val="21"/>
                <w:color w:val="auto"/>
                <w:vertAlign w:val="superscript"/>
              </w:rPr>
              <w:t>(1)</w:t>
            </w:r>
          </w:p>
        </w:tc>
        <w:tc>
          <w:tcPr>
            <w:tcW w:w="18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(6,895,603)</w:t>
            </w:r>
          </w:p>
        </w:tc>
        <w:tc>
          <w:tcPr>
            <w:tcW w:w="0" w:type="dxa"/>
            <w:vAlign w:val="bottom"/>
          </w:tcPr>
          <w:p>
            <w:pPr>
              <w:spacing w:after="0"/>
              <w:rPr>
                <w:sz w:val="1"/>
                <w:szCs w:val="1"/>
                <w:color w:val="auto"/>
              </w:rPr>
            </w:pPr>
          </w:p>
        </w:tc>
      </w:tr>
      <w:tr>
        <w:trPr>
          <w:trHeight w:val="216"/>
        </w:trPr>
        <w:tc>
          <w:tcPr>
            <w:tcW w:w="3720" w:type="dxa"/>
            <w:vAlign w:val="bottom"/>
            <w:gridSpan w:val="2"/>
          </w:tcPr>
          <w:p>
            <w:pPr>
              <w:ind w:left="20"/>
              <w:spacing w:after="0" w:line="216" w:lineRule="exact"/>
              <w:rPr>
                <w:sz w:val="20"/>
                <w:szCs w:val="20"/>
                <w:color w:val="auto"/>
              </w:rPr>
            </w:pPr>
            <w:r>
              <w:rPr>
                <w:rFonts w:ascii="Arial" w:cs="Arial" w:eastAsia="Arial" w:hAnsi="Arial"/>
                <w:sz w:val="16"/>
                <w:szCs w:val="16"/>
                <w:color w:val="auto"/>
              </w:rPr>
              <w:t>Palantir Technologies, Inc.</w:t>
            </w:r>
            <w:r>
              <w:rPr>
                <w:rFonts w:ascii="Arial" w:cs="Arial" w:eastAsia="Arial" w:hAnsi="Arial"/>
                <w:sz w:val="21"/>
                <w:szCs w:val="21"/>
                <w:color w:val="auto"/>
                <w:vertAlign w:val="superscript"/>
              </w:rPr>
              <w:t>(1)</w:t>
            </w:r>
          </w:p>
        </w:tc>
        <w:tc>
          <w:tcPr>
            <w:tcW w:w="18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Arial" w:cs="Arial" w:eastAsia="Arial" w:hAnsi="Arial"/>
                <w:sz w:val="16"/>
                <w:szCs w:val="16"/>
                <w:color w:val="auto"/>
              </w:rPr>
              <w:t>(81,760,272)</w:t>
            </w:r>
          </w:p>
        </w:tc>
        <w:tc>
          <w:tcPr>
            <w:tcW w:w="100" w:type="dxa"/>
            <w:vAlign w:val="bottom"/>
          </w:tcPr>
          <w:p>
            <w:pPr>
              <w:spacing w:after="0"/>
              <w:rPr>
                <w:sz w:val="18"/>
                <w:szCs w:val="18"/>
                <w:color w:val="auto"/>
              </w:rPr>
            </w:pPr>
          </w:p>
        </w:tc>
        <w:tc>
          <w:tcPr>
            <w:tcW w:w="3220" w:type="dxa"/>
            <w:vAlign w:val="bottom"/>
            <w:gridSpan w:val="2"/>
          </w:tcPr>
          <w:p>
            <w:pPr>
              <w:ind w:left="20"/>
              <w:spacing w:after="0"/>
              <w:rPr>
                <w:sz w:val="20"/>
                <w:szCs w:val="20"/>
                <w:color w:val="auto"/>
              </w:rPr>
            </w:pPr>
            <w:r>
              <w:rPr>
                <w:rFonts w:ascii="Arial" w:cs="Arial" w:eastAsia="Arial" w:hAnsi="Arial"/>
                <w:sz w:val="16"/>
                <w:szCs w:val="16"/>
                <w:color w:val="auto"/>
              </w:rPr>
              <w:t>Neutron Holdings, Inc. (d/b/a/ Lime)</w:t>
            </w:r>
          </w:p>
        </w:tc>
        <w:tc>
          <w:tcPr>
            <w:tcW w:w="18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Arial" w:cs="Arial" w:eastAsia="Arial" w:hAnsi="Arial"/>
                <w:sz w:val="16"/>
                <w:szCs w:val="16"/>
                <w:color w:val="auto"/>
              </w:rPr>
              <w:t>(6,451,613)</w:t>
            </w:r>
          </w:p>
        </w:tc>
        <w:tc>
          <w:tcPr>
            <w:tcW w:w="0" w:type="dxa"/>
            <w:vAlign w:val="bottom"/>
          </w:tcPr>
          <w:p>
            <w:pPr>
              <w:spacing w:after="0"/>
              <w:rPr>
                <w:sz w:val="1"/>
                <w:szCs w:val="1"/>
                <w:color w:val="auto"/>
              </w:rPr>
            </w:pPr>
          </w:p>
        </w:tc>
      </w:tr>
      <w:tr>
        <w:trPr>
          <w:trHeight w:val="216"/>
        </w:trPr>
        <w:tc>
          <w:tcPr>
            <w:tcW w:w="3720" w:type="dxa"/>
            <w:vAlign w:val="bottom"/>
            <w:gridSpan w:val="2"/>
            <w:shd w:val="clear" w:color="auto" w:fill="CCEEFF"/>
          </w:tcPr>
          <w:p>
            <w:pPr>
              <w:ind w:left="20"/>
              <w:spacing w:after="0" w:line="216" w:lineRule="exact"/>
              <w:rPr>
                <w:sz w:val="20"/>
                <w:szCs w:val="20"/>
                <w:color w:val="auto"/>
              </w:rPr>
            </w:pPr>
            <w:r>
              <w:rPr>
                <w:rFonts w:ascii="Arial" w:cs="Arial" w:eastAsia="Arial" w:hAnsi="Arial"/>
                <w:sz w:val="16"/>
                <w:szCs w:val="16"/>
                <w:color w:val="auto"/>
              </w:rPr>
              <w:t>Other</w:t>
            </w:r>
            <w:r>
              <w:rPr>
                <w:rFonts w:ascii="Arial" w:cs="Arial" w:eastAsia="Arial" w:hAnsi="Arial"/>
                <w:sz w:val="21"/>
                <w:szCs w:val="21"/>
                <w:color w:val="auto"/>
                <w:vertAlign w:val="superscript"/>
              </w:rPr>
              <w:t>(2)</w:t>
            </w:r>
          </w:p>
        </w:tc>
        <w:tc>
          <w:tcPr>
            <w:tcW w:w="180" w:type="dxa"/>
            <w:vAlign w:val="bottom"/>
            <w:tcBorders>
              <w:bottom w:val="single" w:sz="8" w:color="auto"/>
            </w:tcBorders>
            <w:shd w:val="clear" w:color="auto" w:fill="CCEEFF"/>
          </w:tcPr>
          <w:p>
            <w:pPr>
              <w:spacing w:after="0"/>
              <w:rPr>
                <w:sz w:val="18"/>
                <w:szCs w:val="18"/>
                <w:color w:val="auto"/>
              </w:rPr>
            </w:pPr>
          </w:p>
        </w:tc>
        <w:tc>
          <w:tcPr>
            <w:tcW w:w="19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202,707</w:t>
            </w:r>
          </w:p>
        </w:tc>
        <w:tc>
          <w:tcPr>
            <w:tcW w:w="100" w:type="dxa"/>
            <w:vAlign w:val="bottom"/>
            <w:shd w:val="clear" w:color="auto" w:fill="CCEEFF"/>
          </w:tcPr>
          <w:p>
            <w:pPr>
              <w:spacing w:after="0"/>
              <w:rPr>
                <w:sz w:val="18"/>
                <w:szCs w:val="18"/>
                <w:color w:val="auto"/>
              </w:rPr>
            </w:pPr>
          </w:p>
        </w:tc>
        <w:tc>
          <w:tcPr>
            <w:tcW w:w="3220" w:type="dxa"/>
            <w:vAlign w:val="bottom"/>
            <w:gridSpan w:val="2"/>
            <w:shd w:val="clear" w:color="auto" w:fill="CCEEFF"/>
          </w:tcPr>
          <w:p>
            <w:pPr>
              <w:ind w:left="20"/>
              <w:spacing w:after="0" w:line="216" w:lineRule="exact"/>
              <w:rPr>
                <w:sz w:val="20"/>
                <w:szCs w:val="20"/>
                <w:color w:val="auto"/>
              </w:rPr>
            </w:pPr>
            <w:r>
              <w:rPr>
                <w:rFonts w:ascii="Arial" w:cs="Arial" w:eastAsia="Arial" w:hAnsi="Arial"/>
                <w:sz w:val="16"/>
                <w:szCs w:val="16"/>
                <w:color w:val="auto"/>
              </w:rPr>
              <w:t>Other</w:t>
            </w:r>
            <w:r>
              <w:rPr>
                <w:rFonts w:ascii="Arial" w:cs="Arial" w:eastAsia="Arial" w:hAnsi="Arial"/>
                <w:sz w:val="21"/>
                <w:szCs w:val="21"/>
                <w:color w:val="auto"/>
                <w:vertAlign w:val="superscript"/>
              </w:rPr>
              <w:t>(2)</w:t>
            </w:r>
          </w:p>
        </w:tc>
        <w:tc>
          <w:tcPr>
            <w:tcW w:w="180" w:type="dxa"/>
            <w:vAlign w:val="bottom"/>
            <w:tcBorders>
              <w:bottom w:val="single" w:sz="8" w:color="auto"/>
            </w:tcBorders>
            <w:shd w:val="clear" w:color="auto" w:fill="CCEEFF"/>
          </w:tcPr>
          <w:p>
            <w:pPr>
              <w:spacing w:after="0"/>
              <w:rPr>
                <w:sz w:val="18"/>
                <w:szCs w:val="18"/>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(1,985,447)</w:t>
            </w:r>
          </w:p>
        </w:tc>
        <w:tc>
          <w:tcPr>
            <w:tcW w:w="0" w:type="dxa"/>
            <w:vAlign w:val="bottom"/>
          </w:tcPr>
          <w:p>
            <w:pPr>
              <w:spacing w:after="0"/>
              <w:rPr>
                <w:sz w:val="1"/>
                <w:szCs w:val="1"/>
                <w:color w:val="auto"/>
              </w:rPr>
            </w:pPr>
          </w:p>
        </w:tc>
      </w:tr>
      <w:tr>
        <w:trPr>
          <w:trHeight w:val="209"/>
        </w:trPr>
        <w:tc>
          <w:tcPr>
            <w:tcW w:w="3720" w:type="dxa"/>
            <w:vAlign w:val="bottom"/>
            <w:gridSpan w:val="2"/>
          </w:tcPr>
          <w:p>
            <w:pPr>
              <w:ind w:left="20"/>
              <w:spacing w:after="0"/>
              <w:rPr>
                <w:sz w:val="20"/>
                <w:szCs w:val="20"/>
                <w:color w:val="auto"/>
              </w:rPr>
            </w:pPr>
            <w:r>
              <w:rPr>
                <w:rFonts w:ascii="Arial" w:cs="Arial" w:eastAsia="Arial" w:hAnsi="Arial"/>
                <w:sz w:val="16"/>
                <w:szCs w:val="16"/>
                <w:b w:val="1"/>
                <w:bCs w:val="1"/>
                <w:color w:val="auto"/>
              </w:rPr>
              <w:t>Total</w:t>
            </w:r>
          </w:p>
        </w:tc>
        <w:tc>
          <w:tcPr>
            <w:tcW w:w="18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b w:val="1"/>
                <w:bCs w:val="1"/>
                <w:color w:val="auto"/>
                <w:w w:val="89"/>
              </w:rPr>
              <w:t>$</w:t>
            </w: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(1,315,837)</w:t>
            </w:r>
          </w:p>
        </w:tc>
        <w:tc>
          <w:tcPr>
            <w:tcW w:w="100" w:type="dxa"/>
            <w:vAlign w:val="bottom"/>
          </w:tcPr>
          <w:p>
            <w:pPr>
              <w:spacing w:after="0"/>
              <w:rPr>
                <w:sz w:val="18"/>
                <w:szCs w:val="18"/>
                <w:color w:val="auto"/>
              </w:rPr>
            </w:pPr>
          </w:p>
        </w:tc>
        <w:tc>
          <w:tcPr>
            <w:tcW w:w="3220" w:type="dxa"/>
            <w:vAlign w:val="bottom"/>
            <w:gridSpan w:val="2"/>
          </w:tcPr>
          <w:p>
            <w:pPr>
              <w:ind w:left="20"/>
              <w:spacing w:after="0"/>
              <w:rPr>
                <w:sz w:val="20"/>
                <w:szCs w:val="20"/>
                <w:color w:val="auto"/>
              </w:rPr>
            </w:pPr>
            <w:r>
              <w:rPr>
                <w:rFonts w:ascii="Arial" w:cs="Arial" w:eastAsia="Arial" w:hAnsi="Arial"/>
                <w:sz w:val="16"/>
                <w:szCs w:val="16"/>
                <w:color w:val="auto"/>
              </w:rPr>
              <w:t>Total</w:t>
            </w:r>
          </w:p>
        </w:tc>
        <w:tc>
          <w:tcPr>
            <w:tcW w:w="18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b w:val="1"/>
                <w:bCs w:val="1"/>
                <w:color w:val="auto"/>
                <w:w w:val="89"/>
              </w:rPr>
              <w:t>$</w:t>
            </w: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(27,665,934)</w:t>
            </w:r>
          </w:p>
        </w:tc>
        <w:tc>
          <w:tcPr>
            <w:tcW w:w="0" w:type="dxa"/>
            <w:vAlign w:val="bottom"/>
          </w:tcPr>
          <w:p>
            <w:pPr>
              <w:spacing w:after="0"/>
              <w:rPr>
                <w:sz w:val="1"/>
                <w:szCs w:val="1"/>
                <w:color w:val="auto"/>
              </w:rPr>
            </w:pPr>
          </w:p>
        </w:tc>
      </w:tr>
      <w:tr>
        <w:trPr>
          <w:trHeight w:val="21"/>
        </w:trPr>
        <w:tc>
          <w:tcPr>
            <w:tcW w:w="3620" w:type="dxa"/>
            <w:vAlign w:val="bottom"/>
            <w:vMerge w:val="restart"/>
          </w:tcPr>
          <w:p>
            <w:pPr>
              <w:spacing w:after="0"/>
              <w:rPr>
                <w:sz w:val="20"/>
                <w:szCs w:val="20"/>
                <w:color w:val="auto"/>
              </w:rPr>
            </w:pPr>
            <w:r>
              <w:rPr>
                <w:rFonts w:ascii="Arial" w:cs="Arial" w:eastAsia="Arial" w:hAnsi="Arial"/>
                <w:sz w:val="18"/>
                <w:szCs w:val="18"/>
                <w:color w:val="auto"/>
              </w:rPr>
              <w:t>_______________________</w:t>
            </w:r>
          </w:p>
        </w:tc>
        <w:tc>
          <w:tcPr>
            <w:tcW w:w="100" w:type="dxa"/>
            <w:vAlign w:val="bottom"/>
            <w:vMerge w:val="restart"/>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3620" w:type="dxa"/>
            <w:vAlign w:val="bottom"/>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ind w:left="500" w:hanging="492"/>
        <w:spacing w:after="0" w:line="249" w:lineRule="auto"/>
        <w:tabs>
          <w:tab w:leader="none" w:pos="50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change in unrealized appreciation/(depreciation) reflected for these investments resulted from the full or partial sale, repayment, capital transaction (merger), or write-off of the investment, which resulted in the reversal of previously accrued unrealized appreciation/(depreciation), as applicable.</w:t>
      </w:r>
    </w:p>
    <w:p>
      <w:pPr>
        <w:ind w:left="500" w:hanging="492"/>
        <w:spacing w:after="0" w:line="257" w:lineRule="auto"/>
        <w:tabs>
          <w:tab w:leader="none" w:pos="500" w:val="left"/>
        </w:tabs>
        <w:numPr>
          <w:ilvl w:val="0"/>
          <w:numId w:val="43"/>
        </w:numPr>
        <w:rPr>
          <w:rFonts w:ascii="Arial" w:cs="Arial" w:eastAsia="Arial" w:hAnsi="Arial"/>
          <w:sz w:val="16"/>
          <w:szCs w:val="16"/>
          <w:color w:val="auto"/>
        </w:rPr>
      </w:pPr>
      <w:r>
        <w:rPr>
          <w:rFonts w:ascii="Arial" w:cs="Arial" w:eastAsia="Arial" w:hAnsi="Arial"/>
          <w:sz w:val="16"/>
          <w:szCs w:val="16"/>
          <w:color w:val="auto"/>
        </w:rPr>
        <w:t>“Other” represents investments (including U.S. Treasury bills) for which individual change in unrealized appreciation/(depreciation) was less than $1.0 million for the three months ended March 31, 2021 and 2020.</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Portfolio Activity</w:t>
      </w:r>
    </w:p>
    <w:p>
      <w:pPr>
        <w:spacing w:after="0" w:line="252" w:lineRule="exact"/>
        <w:rPr>
          <w:sz w:val="20"/>
          <w:szCs w:val="20"/>
          <w:color w:val="auto"/>
        </w:rPr>
      </w:pPr>
    </w:p>
    <w:p>
      <w:pPr>
        <w:jc w:val="both"/>
        <w:ind w:firstLine="364"/>
        <w:spacing w:after="0" w:line="277" w:lineRule="auto"/>
        <w:rPr>
          <w:sz w:val="20"/>
          <w:szCs w:val="20"/>
          <w:color w:val="auto"/>
        </w:rPr>
      </w:pPr>
      <w:r>
        <w:rPr>
          <w:rFonts w:ascii="Arial" w:cs="Arial" w:eastAsia="Arial" w:hAnsi="Arial"/>
          <w:sz w:val="18"/>
          <w:szCs w:val="18"/>
          <w:color w:val="auto"/>
        </w:rPr>
        <w:t>Please refer to “Note 12—Subsequent Events” to our condensed consolidated financial statements as of March 31, 2021 for details regarding activity in our investment portfolio from April 1, 2021 through May 5, 2021.</w:t>
      </w:r>
    </w:p>
    <w:p>
      <w:pPr>
        <w:spacing w:after="0" w:line="197" w:lineRule="exact"/>
        <w:rPr>
          <w:sz w:val="20"/>
          <w:szCs w:val="20"/>
          <w:color w:val="auto"/>
        </w:rPr>
      </w:pPr>
    </w:p>
    <w:p>
      <w:pPr>
        <w:ind w:right="400" w:firstLine="324"/>
        <w:spacing w:after="0" w:line="277" w:lineRule="auto"/>
        <w:rPr>
          <w:sz w:val="20"/>
          <w:szCs w:val="20"/>
          <w:color w:val="auto"/>
        </w:rPr>
      </w:pPr>
      <w:r>
        <w:rPr>
          <w:rFonts w:ascii="Arial" w:cs="Arial" w:eastAsia="Arial" w:hAnsi="Arial"/>
          <w:sz w:val="18"/>
          <w:szCs w:val="18"/>
          <w:color w:val="auto"/>
        </w:rPr>
        <w:t>As the COVID-19 situation continues to evolve, we are maintaining close communications with our portfolio companies to proactively assess and manage potential risks across our investment portfolio.</w:t>
      </w:r>
    </w:p>
    <w:p>
      <w:pPr>
        <w:spacing w:after="0" w:line="197" w:lineRule="exact"/>
        <w:rPr>
          <w:sz w:val="20"/>
          <w:szCs w:val="20"/>
          <w:color w:val="auto"/>
        </w:rPr>
      </w:pPr>
    </w:p>
    <w:p>
      <w:pPr>
        <w:jc w:val="both"/>
        <w:ind w:firstLine="364"/>
        <w:spacing w:after="0" w:line="275" w:lineRule="auto"/>
        <w:rPr>
          <w:sz w:val="20"/>
          <w:szCs w:val="20"/>
          <w:color w:val="auto"/>
        </w:rPr>
      </w:pPr>
      <w:r>
        <w:rPr>
          <w:rFonts w:ascii="Arial" w:cs="Arial" w:eastAsia="Arial" w:hAnsi="Arial"/>
          <w:sz w:val="17"/>
          <w:szCs w:val="17"/>
          <w:color w:val="auto"/>
        </w:rPr>
        <w:t>We are frequently in negotiations with various private companies with respect to investments in such companies. Investments in private companies are generally subject to satisfaction of applicable closing conditions. In the case of secondary market transactions, such closing conditions may include approval of the issuer, waiver or failure to exercise rights of first refusal by the issuer and/or its stockholders and termination rights by the seller or us. Equity investments made through the secondary market may involve making deposits in escrow accounts until the applicable closing conditions are satisfied, at which time the escrow accounts will close and such equity investments will be effectuated.</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252"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On May 4, 2021, the Company’s Board of Directors declared a dividend of $2.50 per share payable on June 30, 2021 to stockholders of record as of the close of business on May 18, 2021. The ex-dividend date is May 17, 2021. The dividend will be paid in cash or shares of the Company’s common stock at the election of the stockholders, although the total amount of cash to be distributed to all stockholders will be limited to no more than 50% of the total dividend to be paid to all stockholders. The number of shares of the Company’s common stock to be issued to stockholders receiving all or a portion of the dividend in shares of common stock will be based on the volume weighted-average price per share of the Company’s common stock on the Nasdaq Capital Market on May 12, 13 and 14, 2021, less $2.50 to reflect the declared dividend.</w:t>
      </w:r>
    </w:p>
    <w:p>
      <w:pPr>
        <w:spacing w:after="0" w:line="20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This dividend is being made in accordance with certain applicable Treasury regulations and guidance issued by the IRS that allow a publicly traded RIC to satisfy its distribution requirements from a distribution paid partly in common stock provided certain requirements are satisfied. For additional information, please refer to "Certain Information Regarding the Dividends" in</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240"/>
          </w:cols>
          <w:pgMar w:left="320" w:top="122" w:right="339" w:bottom="1440" w:gutter="0" w:footer="0" w:header="0"/>
        </w:sectPr>
      </w:pPr>
    </w:p>
    <w:bookmarkStart w:id="66" w:name="page67"/>
    <w:bookmarkEnd w:id="66"/>
    <w:p>
      <w:pPr>
        <w:spacing w:after="0"/>
        <w:rPr>
          <w:rFonts w:ascii="Arial" w:cs="Arial" w:eastAsia="Arial" w:hAnsi="Arial"/>
          <w:sz w:val="14"/>
          <w:szCs w:val="14"/>
          <w:color w:val="0000FF"/>
        </w:rPr>
      </w:pPr>
      <w:hyperlink w:anchor="page1">
        <w:r>
          <w:rPr>
            <w:rFonts w:ascii="Arial" w:cs="Arial" w:eastAsia="Arial" w:hAnsi="Arial"/>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Company's press release dated May 5, 2021 included as Exhibit 99.1 to the Company's Current Report on Form 8-K filed with the SEC on May 5, 2021.</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COVID-19</w:t>
      </w:r>
    </w:p>
    <w:p>
      <w:pPr>
        <w:spacing w:after="0" w:line="252"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The Company has been closely monitoring the COVID-19 pandemic, its broader impact on the global economy and the more recent impacts on the U.S. economy. Subsequent to March 31, 2021, the global outbreak of the COVID-19 pandemic, and the related effect on the U.S. and global economies, may have adverse consequences for the business operations of some of the Company’s portfolio companies and, as a result, may have adverse effects on the Company’s operations. The ultimate economic fallout from the pandemic, and the long-term impact on economies, markets, industries and individual issuers, remain uncertain. The operational and financial performance of the issuers of securities in which the Company invests depends on future developments, including the duration and spread of the outbreak, and such uncertainty may in turn adversely affect the value and liquidity of the Company’s investments and negatively impact the Company’s performance.</w:t>
      </w:r>
    </w:p>
    <w:p>
      <w:pPr>
        <w:spacing w:after="0" w:line="20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As of May 5, 2021, there is no indication of a reportable subsequent event impacting the Company’s financial statements for the three months ended March 31, 2021. The Company continues to observe and respond to the evolving COVID-19 environment and its potential impact on areas across its business.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Second Amended Employment Agreements</w:t>
      </w:r>
    </w:p>
    <w:p>
      <w:pPr>
        <w:spacing w:after="0" w:line="252"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On April 26, 2021, the Company entered into a second amended and restated employment agreement with each of Mark D. Klein, the Company’s Chairman, Chief Executive Officer and President (the “Second Amended Klein Agreement”), and Allison Green, the Company’s Chief Financial Officer, Chief Compliance Officer, Treasurer and Corporate Secretary (the “Second Amended Green Agreement”), which extended the term of their prior employment agreements, each dated April 28, 2020, to December 31, 2024. For more information, including descriptions of such agreements, please refer to the Company’s current report on Form 8-K filed with the SEC on April 27, 2021. Such descriptions of the Second Amended Klein Agreement and the Second Amended Green Agreement are qualified in their entirety by reference to the text of such agreements filed as exhibits to this quarterly report on Form 10-Q.</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6" w:lineRule="exact"/>
        <w:rPr>
          <w:sz w:val="20"/>
          <w:szCs w:val="20"/>
          <w:color w:val="auto"/>
        </w:rPr>
      </w:pPr>
    </w:p>
    <w:p>
      <w:pPr>
        <w:jc w:val="both"/>
        <w:ind w:firstLine="364"/>
        <w:spacing w:after="0" w:line="279" w:lineRule="auto"/>
        <w:rPr>
          <w:sz w:val="20"/>
          <w:szCs w:val="20"/>
          <w:color w:val="auto"/>
        </w:rPr>
      </w:pPr>
      <w:r>
        <w:rPr>
          <w:rFonts w:ascii="Arial" w:cs="Arial" w:eastAsia="Arial" w:hAnsi="Arial"/>
          <w:sz w:val="17"/>
          <w:szCs w:val="17"/>
          <w:color w:val="auto"/>
        </w:rPr>
        <w:t>Our liquidity and capital resources are generated primarily from the sales of our investments and the net proceeds from public offerings of our equity and debt securities, including pursuant to our continuous at-the-market offering of shares of our common stock as discussed below under "At-the-Market Offering". On March 28, 2018, we issued $40.0 million aggregate principal amount of 4.75% Convertible Senior Notes due 2023, as discussed further below and in “Note 10—Debt Capital Activities” to our condensed consolidated financial statements as of March 31, 2021.</w:t>
      </w:r>
    </w:p>
    <w:p>
      <w:pPr>
        <w:spacing w:after="0" w:line="198" w:lineRule="exact"/>
        <w:rPr>
          <w:sz w:val="20"/>
          <w:szCs w:val="20"/>
          <w:color w:val="auto"/>
        </w:rPr>
      </w:pPr>
    </w:p>
    <w:p>
      <w:pPr>
        <w:jc w:val="both"/>
        <w:ind w:firstLine="364"/>
        <w:spacing w:after="0" w:line="342" w:lineRule="auto"/>
        <w:rPr>
          <w:sz w:val="20"/>
          <w:szCs w:val="20"/>
          <w:color w:val="auto"/>
        </w:rPr>
      </w:pPr>
      <w:r>
        <w:rPr>
          <w:rFonts w:ascii="Arial" w:cs="Arial" w:eastAsia="Arial" w:hAnsi="Arial"/>
          <w:sz w:val="16"/>
          <w:szCs w:val="16"/>
          <w:color w:val="auto"/>
        </w:rPr>
        <w:t>Our primary uses of cash are to make investments, pay our operating expenses, and make distributions to our stockholders. For the three months ended March 31, 2021, our operating expenses were $3,125,670. For the three months ended March 31, 2020, our operating expenses were $3,256,316.</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2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Cash Reserves and Liquid Securities</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March 31, 2021</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right"/>
              <w:ind w:right="281"/>
              <w:spacing w:after="0"/>
              <w:rPr>
                <w:sz w:val="20"/>
                <w:szCs w:val="20"/>
                <w:color w:val="auto"/>
              </w:rPr>
            </w:pPr>
            <w:r>
              <w:rPr>
                <w:rFonts w:ascii="Arial" w:cs="Arial" w:eastAsia="Arial" w:hAnsi="Arial"/>
                <w:sz w:val="14"/>
                <w:szCs w:val="14"/>
                <w:b w:val="1"/>
                <w:bCs w:val="1"/>
                <w:color w:val="auto"/>
              </w:rPr>
              <w:t>December 31, 2020</w:t>
            </w:r>
          </w:p>
        </w:tc>
      </w:tr>
      <w:tr>
        <w:trPr>
          <w:trHeight w:val="215"/>
        </w:trPr>
        <w:tc>
          <w:tcPr>
            <w:tcW w:w="73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Cash</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165,699,565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45,793,724</w:t>
            </w:r>
          </w:p>
        </w:tc>
      </w:tr>
      <w:tr>
        <w:trPr>
          <w:trHeight w:val="213"/>
        </w:trPr>
        <w:tc>
          <w:tcPr>
            <w:tcW w:w="7380" w:type="dxa"/>
            <w:vAlign w:val="bottom"/>
            <w:gridSpan w:val="2"/>
          </w:tcPr>
          <w:p>
            <w:pPr>
              <w:ind w:left="20"/>
              <w:spacing w:after="0"/>
              <w:rPr>
                <w:sz w:val="20"/>
                <w:szCs w:val="20"/>
                <w:color w:val="auto"/>
              </w:rPr>
            </w:pPr>
            <w:r>
              <w:rPr>
                <w:rFonts w:ascii="Arial" w:cs="Arial" w:eastAsia="Arial" w:hAnsi="Arial"/>
                <w:sz w:val="16"/>
                <w:szCs w:val="16"/>
                <w:color w:val="auto"/>
              </w:rPr>
              <w:t>Securities of publicly traded portfolio companies:</w:t>
            </w:r>
          </w:p>
        </w:tc>
        <w:tc>
          <w:tcPr>
            <w:tcW w:w="2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tcPr>
          <w:p>
            <w:pPr>
              <w:spacing w:after="0"/>
              <w:rPr>
                <w:sz w:val="18"/>
                <w:szCs w:val="18"/>
                <w:color w:val="auto"/>
              </w:rPr>
            </w:pPr>
          </w:p>
        </w:tc>
      </w:tr>
      <w:tr>
        <w:trPr>
          <w:trHeight w:val="219"/>
        </w:trPr>
        <w:tc>
          <w:tcPr>
            <w:tcW w:w="7380" w:type="dxa"/>
            <w:vAlign w:val="bottom"/>
            <w:gridSpan w:val="2"/>
            <w:shd w:val="clear" w:color="auto" w:fill="CCEEFF"/>
          </w:tcPr>
          <w:p>
            <w:pPr>
              <w:ind w:left="180"/>
              <w:spacing w:after="0" w:line="219" w:lineRule="exact"/>
              <w:rPr>
                <w:sz w:val="20"/>
                <w:szCs w:val="20"/>
                <w:color w:val="auto"/>
              </w:rPr>
            </w:pPr>
            <w:r>
              <w:rPr>
                <w:rFonts w:ascii="Arial" w:cs="Arial" w:eastAsia="Arial" w:hAnsi="Arial"/>
                <w:sz w:val="16"/>
                <w:szCs w:val="16"/>
                <w:color w:val="auto"/>
              </w:rPr>
              <w:t>Unrestricted securities</w:t>
            </w:r>
            <w:r>
              <w:rPr>
                <w:rFonts w:ascii="Arial" w:cs="Arial" w:eastAsia="Arial" w:hAnsi="Arial"/>
                <w:sz w:val="21"/>
                <w:szCs w:val="21"/>
                <w:color w:val="auto"/>
                <w:vertAlign w:val="superscript"/>
              </w:rPr>
              <w:t>(1)</w:t>
            </w:r>
          </w:p>
        </w:tc>
        <w:tc>
          <w:tcPr>
            <w:tcW w:w="28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7380" w:type="dxa"/>
            <w:vAlign w:val="bottom"/>
            <w:tcBorders>
              <w:bottom w:val="single" w:sz="8" w:color="CCEEFF"/>
            </w:tcBorders>
            <w:gridSpan w:val="2"/>
          </w:tcPr>
          <w:p>
            <w:pPr>
              <w:ind w:left="180"/>
              <w:spacing w:after="0" w:line="216" w:lineRule="exact"/>
              <w:rPr>
                <w:sz w:val="20"/>
                <w:szCs w:val="20"/>
                <w:color w:val="auto"/>
              </w:rPr>
            </w:pPr>
            <w:r>
              <w:rPr>
                <w:rFonts w:ascii="Arial" w:cs="Arial" w:eastAsia="Arial" w:hAnsi="Arial"/>
                <w:sz w:val="16"/>
                <w:szCs w:val="16"/>
                <w:color w:val="auto"/>
              </w:rPr>
              <w:t>Subject to other sales restrictions</w:t>
            </w:r>
            <w:r>
              <w:rPr>
                <w:rFonts w:ascii="Arial" w:cs="Arial" w:eastAsia="Arial" w:hAnsi="Arial"/>
                <w:sz w:val="21"/>
                <w:szCs w:val="21"/>
                <w:color w:val="auto"/>
                <w:vertAlign w:val="superscript"/>
              </w:rPr>
              <w:t>(2)</w:t>
            </w:r>
          </w:p>
        </w:tc>
        <w:tc>
          <w:tcPr>
            <w:tcW w:w="2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126,698,621</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94,635,398</w:t>
            </w:r>
          </w:p>
        </w:tc>
      </w:tr>
      <w:tr>
        <w:trPr>
          <w:trHeight w:val="206"/>
        </w:trPr>
        <w:tc>
          <w:tcPr>
            <w:tcW w:w="73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Securities of publicly traded portfolio companies</w:t>
            </w:r>
          </w:p>
        </w:tc>
        <w:tc>
          <w:tcPr>
            <w:tcW w:w="280" w:type="dxa"/>
            <w:vAlign w:val="bottom"/>
            <w:tcBorders>
              <w:bottom w:val="single" w:sz="8" w:color="auto"/>
            </w:tcBorders>
            <w:shd w:val="clear" w:color="auto" w:fill="CCEEFF"/>
          </w:tcPr>
          <w:p>
            <w:pPr>
              <w:spacing w:after="0"/>
              <w:rPr>
                <w:sz w:val="17"/>
                <w:szCs w:val="17"/>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126,698,621</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94,635,398</w:t>
            </w:r>
          </w:p>
        </w:tc>
      </w:tr>
      <w:tr>
        <w:trPr>
          <w:trHeight w:val="213"/>
        </w:trPr>
        <w:tc>
          <w:tcPr>
            <w:tcW w:w="7380" w:type="dxa"/>
            <w:vAlign w:val="bottom"/>
            <w:gridSpan w:val="2"/>
          </w:tcPr>
          <w:p>
            <w:pPr>
              <w:ind w:left="20"/>
              <w:spacing w:after="0"/>
              <w:rPr>
                <w:sz w:val="20"/>
                <w:szCs w:val="20"/>
                <w:color w:val="auto"/>
              </w:rPr>
            </w:pPr>
            <w:r>
              <w:rPr>
                <w:rFonts w:ascii="Arial" w:cs="Arial" w:eastAsia="Arial" w:hAnsi="Arial"/>
                <w:sz w:val="16"/>
                <w:szCs w:val="16"/>
                <w:b w:val="1"/>
                <w:bCs w:val="1"/>
                <w:color w:val="auto"/>
              </w:rPr>
              <w:t>Total Cash Reserves and Liquid Securities</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292,398,186</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140,429,122</w:t>
            </w:r>
          </w:p>
        </w:tc>
      </w:tr>
      <w:tr>
        <w:trPr>
          <w:trHeight w:val="20"/>
        </w:trPr>
        <w:tc>
          <w:tcPr>
            <w:tcW w:w="7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62"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w:t>
      </w:r>
    </w:p>
    <w:p>
      <w:pPr>
        <w:spacing w:after="0" w:line="13" w:lineRule="exact"/>
        <w:rPr>
          <w:sz w:val="20"/>
          <w:szCs w:val="20"/>
          <w:color w:val="auto"/>
        </w:rPr>
      </w:pPr>
    </w:p>
    <w:p>
      <w:pPr>
        <w:jc w:val="both"/>
        <w:ind w:left="500" w:hanging="492"/>
        <w:spacing w:after="0" w:line="241" w:lineRule="auto"/>
        <w:tabs>
          <w:tab w:leader="none" w:pos="492" w:val="left"/>
        </w:tabs>
        <w:numPr>
          <w:ilvl w:val="0"/>
          <w:numId w:val="44"/>
        </w:numPr>
        <w:rPr>
          <w:rFonts w:ascii="Arial" w:cs="Arial" w:eastAsia="Arial" w:hAnsi="Arial"/>
          <w:sz w:val="14"/>
          <w:szCs w:val="14"/>
          <w:color w:val="auto"/>
        </w:rPr>
      </w:pPr>
      <w:r>
        <w:rPr>
          <w:rFonts w:ascii="Arial" w:cs="Arial" w:eastAsia="Arial" w:hAnsi="Arial"/>
          <w:sz w:val="14"/>
          <w:szCs w:val="14"/>
          <w:color w:val="auto"/>
        </w:rPr>
        <w:t>"Unrestricted securities" represents common stock of our publicly traded companies that are not subject to any restrictions upon sale. We may incur losses if we liquidate these positions to pay operating expenses or fund new investments. As of March 31, 2021, this balance was $0 as we were not holding any publicly traded portfolio companies that were not subject to other sales restrictions. As of December 31, 2020, this balance was $0 as we were not holding any publicly traded portfolio companies.</w:t>
      </w:r>
    </w:p>
    <w:p>
      <w:pPr>
        <w:spacing w:after="0" w:line="1" w:lineRule="exact"/>
        <w:rPr>
          <w:rFonts w:ascii="Arial" w:cs="Arial" w:eastAsia="Arial" w:hAnsi="Arial"/>
          <w:sz w:val="14"/>
          <w:szCs w:val="14"/>
          <w:color w:val="auto"/>
        </w:rPr>
      </w:pPr>
    </w:p>
    <w:p>
      <w:pPr>
        <w:ind w:left="500" w:hanging="492"/>
        <w:spacing w:after="0" w:line="255" w:lineRule="auto"/>
        <w:tabs>
          <w:tab w:leader="none" w:pos="492" w:val="left"/>
        </w:tabs>
        <w:numPr>
          <w:ilvl w:val="0"/>
          <w:numId w:val="44"/>
        </w:numPr>
        <w:rPr>
          <w:rFonts w:ascii="Arial" w:cs="Arial" w:eastAsia="Arial" w:hAnsi="Arial"/>
          <w:sz w:val="14"/>
          <w:szCs w:val="14"/>
          <w:color w:val="auto"/>
        </w:rPr>
      </w:pPr>
      <w:r>
        <w:rPr>
          <w:rFonts w:ascii="Arial" w:cs="Arial" w:eastAsia="Arial" w:hAnsi="Arial"/>
          <w:sz w:val="14"/>
          <w:szCs w:val="14"/>
          <w:color w:val="auto"/>
        </w:rPr>
        <w:t>As of March 31, 2021, this balance represents our shares of common stock in Coursera, Inc. that were subject to certain lock-up restrictions. As of December 31, 2020, this balance represented our shares of common stock in Palantir Technologies, Inc. that were subject to certain lock-up restrictions.</w:t>
      </w:r>
    </w:p>
    <w:p>
      <w:pPr>
        <w:spacing w:after="0" w:line="217" w:lineRule="exact"/>
        <w:rPr>
          <w:sz w:val="20"/>
          <w:szCs w:val="20"/>
          <w:color w:val="auto"/>
        </w:rPr>
      </w:pPr>
    </w:p>
    <w:p>
      <w:pPr>
        <w:ind w:firstLine="364"/>
        <w:spacing w:after="0" w:line="277" w:lineRule="auto"/>
        <w:rPr>
          <w:sz w:val="20"/>
          <w:szCs w:val="20"/>
          <w:color w:val="auto"/>
        </w:rPr>
      </w:pPr>
      <w:r>
        <w:rPr>
          <w:rFonts w:ascii="Arial" w:cs="Arial" w:eastAsia="Arial" w:hAnsi="Arial"/>
          <w:sz w:val="18"/>
          <w:szCs w:val="18"/>
          <w:color w:val="auto"/>
        </w:rPr>
        <w:t>During the three months ended March 31, 2021, cash increased to $165,699,565 from $45,793,724 at the beginning of the year. The increase in cash was primarily due to proceeds from the sale of our investment in Palantir Technologies, Inc. and</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240"/>
          </w:cols>
          <w:pgMar w:left="320" w:top="122" w:right="339" w:bottom="1440" w:gutter="0" w:footer="0" w:header="0"/>
        </w:sectPr>
      </w:pPr>
    </w:p>
    <w:bookmarkStart w:id="67" w:name="page68"/>
    <w:bookmarkEnd w:id="67"/>
    <w:p>
      <w:pPr>
        <w:spacing w:after="0"/>
        <w:rPr>
          <w:rFonts w:ascii="Arial" w:cs="Arial" w:eastAsia="Arial" w:hAnsi="Arial"/>
          <w:sz w:val="14"/>
          <w:szCs w:val="14"/>
          <w:color w:val="0000FF"/>
        </w:rPr>
      </w:pPr>
      <w:hyperlink w:anchor="page1">
        <w:r>
          <w:rPr>
            <w:rFonts w:ascii="Arial" w:cs="Arial" w:eastAsia="Arial" w:hAnsi="Arial"/>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Palantir Lending Trust SPV I, offset by cash used to purchase investments, pay dividends, redeem convertible notes, and cash used for our operating expenses.</w:t>
      </w:r>
    </w:p>
    <w:p>
      <w:pPr>
        <w:spacing w:after="0" w:line="19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Currently, we believe we have ample liquidity to support our near-term capital requirements. As the impact of the COVID-19 continues to unfold and consistent with past and current practices, we will continue to evaluate our overall liquidity position and take proactive steps to maintain the appropriate liquidity position based upon the current circumstances.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our significant contractual payment obligations as of March 31, 2021 is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680" w:type="dxa"/>
            <w:vAlign w:val="bottom"/>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580" w:type="dxa"/>
            <w:vAlign w:val="bottom"/>
            <w:tcBorders>
              <w:bottom w:val="single" w:sz="8" w:color="auto"/>
            </w:tcBorders>
            <w:gridSpan w:val="6"/>
          </w:tcPr>
          <w:p>
            <w:pPr>
              <w:jc w:val="center"/>
              <w:ind w:right="80"/>
              <w:spacing w:after="0"/>
              <w:rPr>
                <w:sz w:val="20"/>
                <w:szCs w:val="20"/>
                <w:color w:val="auto"/>
              </w:rPr>
            </w:pPr>
            <w:r>
              <w:rPr>
                <w:rFonts w:ascii="Arial" w:cs="Arial" w:eastAsia="Arial" w:hAnsi="Arial"/>
                <w:sz w:val="16"/>
                <w:szCs w:val="16"/>
                <w:b w:val="1"/>
                <w:bCs w:val="1"/>
                <w:color w:val="auto"/>
                <w:w w:val="90"/>
              </w:rPr>
              <w:t xml:space="preserve">Payments Due By Period </w:t>
            </w:r>
            <w:r>
              <w:rPr>
                <w:rFonts w:ascii="Arial" w:cs="Arial" w:eastAsia="Arial" w:hAnsi="Arial"/>
                <w:sz w:val="16"/>
                <w:szCs w:val="16"/>
                <w:b w:val="1"/>
                <w:bCs w:val="1"/>
                <w:i w:val="1"/>
                <w:iCs w:val="1"/>
                <w:color w:val="auto"/>
                <w:w w:val="90"/>
              </w:rPr>
              <w:t>( in millions)</w:t>
            </w:r>
          </w:p>
        </w:tc>
        <w:tc>
          <w:tcPr>
            <w:tcW w:w="14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3680" w:type="dxa"/>
            <w:vAlign w:val="bottom"/>
          </w:tcPr>
          <w:p>
            <w:pPr>
              <w:spacing w:after="0"/>
              <w:rPr>
                <w:sz w:val="13"/>
                <w:szCs w:val="13"/>
                <w:color w:val="auto"/>
              </w:rPr>
            </w:pPr>
          </w:p>
        </w:tc>
        <w:tc>
          <w:tcPr>
            <w:tcW w:w="1020" w:type="dxa"/>
            <w:vAlign w:val="bottom"/>
            <w:vMerge w:val="restart"/>
          </w:tcPr>
          <w:p>
            <w:pPr>
              <w:ind w:left="540"/>
              <w:spacing w:after="0"/>
              <w:rPr>
                <w:sz w:val="20"/>
                <w:szCs w:val="20"/>
                <w:color w:val="auto"/>
              </w:rPr>
            </w:pPr>
            <w:r>
              <w:rPr>
                <w:rFonts w:ascii="Arial" w:cs="Arial" w:eastAsia="Arial" w:hAnsi="Arial"/>
                <w:sz w:val="16"/>
                <w:szCs w:val="16"/>
                <w:b w:val="1"/>
                <w:bCs w:val="1"/>
                <w:color w:val="auto"/>
              </w:rPr>
              <w:t>Total</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40" w:type="dxa"/>
            <w:vAlign w:val="bottom"/>
            <w:gridSpan w:val="2"/>
          </w:tcPr>
          <w:p>
            <w:pPr>
              <w:jc w:val="center"/>
              <w:ind w:right="120"/>
              <w:spacing w:after="0" w:line="158" w:lineRule="exact"/>
              <w:rPr>
                <w:sz w:val="20"/>
                <w:szCs w:val="20"/>
                <w:color w:val="auto"/>
              </w:rPr>
            </w:pPr>
            <w:r>
              <w:rPr>
                <w:rFonts w:ascii="Arial" w:cs="Arial" w:eastAsia="Arial" w:hAnsi="Arial"/>
                <w:sz w:val="16"/>
                <w:szCs w:val="16"/>
                <w:b w:val="1"/>
                <w:bCs w:val="1"/>
                <w:color w:val="auto"/>
                <w:w w:val="88"/>
              </w:rPr>
              <w:t>Less than</w:t>
            </w:r>
          </w:p>
        </w:tc>
        <w:tc>
          <w:tcPr>
            <w:tcW w:w="140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87"/>
              </w:rPr>
              <w:t>1–3 years</w:t>
            </w:r>
          </w:p>
        </w:tc>
        <w:tc>
          <w:tcPr>
            <w:tcW w:w="120" w:type="dxa"/>
            <w:vAlign w:val="bottom"/>
            <w:vMerge w:val="restart"/>
          </w:tcPr>
          <w:p>
            <w:pPr>
              <w:spacing w:after="0"/>
              <w:rPr>
                <w:sz w:val="13"/>
                <w:szCs w:val="13"/>
                <w:color w:val="auto"/>
              </w:rPr>
            </w:pPr>
          </w:p>
        </w:tc>
        <w:tc>
          <w:tcPr>
            <w:tcW w:w="1420" w:type="dxa"/>
            <w:vAlign w:val="bottom"/>
            <w:vMerge w:val="restart"/>
          </w:tcPr>
          <w:p>
            <w:pPr>
              <w:jc w:val="right"/>
              <w:ind w:right="299"/>
              <w:spacing w:after="0"/>
              <w:rPr>
                <w:sz w:val="20"/>
                <w:szCs w:val="20"/>
                <w:color w:val="auto"/>
              </w:rPr>
            </w:pPr>
            <w:r>
              <w:rPr>
                <w:rFonts w:ascii="Arial" w:cs="Arial" w:eastAsia="Arial" w:hAnsi="Arial"/>
                <w:sz w:val="16"/>
                <w:szCs w:val="16"/>
                <w:b w:val="1"/>
                <w:bCs w:val="1"/>
                <w:color w:val="auto"/>
              </w:rPr>
              <w:t>3–5 years</w:t>
            </w:r>
          </w:p>
        </w:tc>
        <w:tc>
          <w:tcPr>
            <w:tcW w:w="100" w:type="dxa"/>
            <w:vAlign w:val="bottom"/>
            <w:vMerge w:val="restart"/>
          </w:tcPr>
          <w:p>
            <w:pPr>
              <w:spacing w:after="0"/>
              <w:rPr>
                <w:sz w:val="13"/>
                <w:szCs w:val="13"/>
                <w:color w:val="auto"/>
              </w:rPr>
            </w:pPr>
          </w:p>
        </w:tc>
        <w:tc>
          <w:tcPr>
            <w:tcW w:w="1440" w:type="dxa"/>
            <w:vAlign w:val="bottom"/>
          </w:tcPr>
          <w:p>
            <w:pPr>
              <w:jc w:val="center"/>
              <w:spacing w:after="0" w:line="158" w:lineRule="exact"/>
              <w:rPr>
                <w:sz w:val="20"/>
                <w:szCs w:val="20"/>
                <w:color w:val="auto"/>
              </w:rPr>
            </w:pPr>
            <w:r>
              <w:rPr>
                <w:rFonts w:ascii="Arial" w:cs="Arial" w:eastAsia="Arial" w:hAnsi="Arial"/>
                <w:sz w:val="16"/>
                <w:szCs w:val="16"/>
                <w:b w:val="1"/>
                <w:bCs w:val="1"/>
                <w:color w:val="auto"/>
                <w:w w:val="94"/>
              </w:rPr>
              <w:t>More than</w:t>
            </w:r>
          </w:p>
        </w:tc>
        <w:tc>
          <w:tcPr>
            <w:tcW w:w="0" w:type="dxa"/>
            <w:vAlign w:val="bottom"/>
          </w:tcPr>
          <w:p>
            <w:pPr>
              <w:spacing w:after="0"/>
              <w:rPr>
                <w:sz w:val="1"/>
                <w:szCs w:val="1"/>
                <w:color w:val="auto"/>
              </w:rPr>
            </w:pPr>
          </w:p>
        </w:tc>
      </w:tr>
      <w:tr>
        <w:trPr>
          <w:trHeight w:val="213"/>
        </w:trPr>
        <w:tc>
          <w:tcPr>
            <w:tcW w:w="368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0"/>
              </w:rPr>
              <w:t>1 year</w:t>
            </w:r>
          </w:p>
        </w:tc>
        <w:tc>
          <w:tcPr>
            <w:tcW w:w="120" w:type="dxa"/>
            <w:vAlign w:val="bottom"/>
            <w:tcBorders>
              <w:bottom w:val="single" w:sz="8" w:color="CCEEFF"/>
            </w:tcBorders>
          </w:tcPr>
          <w:p>
            <w:pPr>
              <w:spacing w:after="0"/>
              <w:rPr>
                <w:sz w:val="18"/>
                <w:szCs w:val="18"/>
                <w:color w:val="auto"/>
              </w:rPr>
            </w:pPr>
          </w:p>
        </w:tc>
        <w:tc>
          <w:tcPr>
            <w:tcW w:w="140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vMerge w:val="continue"/>
          </w:tcPr>
          <w:p>
            <w:pPr>
              <w:spacing w:after="0"/>
              <w:rPr>
                <w:sz w:val="18"/>
                <w:szCs w:val="18"/>
                <w:color w:val="auto"/>
              </w:rPr>
            </w:pPr>
          </w:p>
        </w:tc>
        <w:tc>
          <w:tcPr>
            <w:tcW w:w="14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6"/>
              </w:rPr>
              <w:t>5 years</w:t>
            </w:r>
          </w:p>
        </w:tc>
        <w:tc>
          <w:tcPr>
            <w:tcW w:w="0" w:type="dxa"/>
            <w:vAlign w:val="bottom"/>
          </w:tcPr>
          <w:p>
            <w:pPr>
              <w:spacing w:after="0"/>
              <w:rPr>
                <w:sz w:val="1"/>
                <w:szCs w:val="1"/>
                <w:color w:val="auto"/>
              </w:rPr>
            </w:pPr>
          </w:p>
        </w:tc>
      </w:tr>
      <w:tr>
        <w:trPr>
          <w:trHeight w:val="212"/>
        </w:trPr>
        <w:tc>
          <w:tcPr>
            <w:tcW w:w="47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Operating lease liability</w:t>
            </w: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w:t>
            </w: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ind w:left="12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Repurchase Program</w:t>
      </w:r>
    </w:p>
    <w:p>
      <w:pPr>
        <w:spacing w:after="0" w:line="252"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During the three months ended March 31, 2021, we did not repurchase shares of our common stock pursuant to the Share Repurchase Program. As of March 31, 2021, the dollar value of shares that remained available to be purchased under the Share Repurchase Program was approximately $9.6 million.</w:t>
      </w:r>
    </w:p>
    <w:p>
      <w:pPr>
        <w:spacing w:after="0" w:line="15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Under the Share Repurchase Program, we may repurchase our outstanding common stock in the open market provided that we comply with the prohibitions under our insider trading policies and procedures and the applicable provisions of the 1940 Act and the Securities Exchange Act of 1934, as amended. For more information on the Share Repurchase Program, see “Note 5—Common Stock”.</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252" w:lineRule="exact"/>
        <w:rPr>
          <w:sz w:val="20"/>
          <w:szCs w:val="20"/>
          <w:color w:val="auto"/>
        </w:rPr>
      </w:pPr>
    </w:p>
    <w:p>
      <w:pPr>
        <w:ind w:left="380"/>
        <w:spacing w:after="0"/>
        <w:rPr>
          <w:sz w:val="20"/>
          <w:szCs w:val="20"/>
          <w:color w:val="auto"/>
        </w:rPr>
      </w:pPr>
      <w:r>
        <w:rPr>
          <w:rFonts w:ascii="Arial" w:cs="Arial" w:eastAsia="Arial" w:hAnsi="Arial"/>
          <w:sz w:val="16"/>
          <w:szCs w:val="16"/>
          <w:color w:val="auto"/>
        </w:rPr>
        <w:t>As of March 31, 2021, we had no off-balance sheet arrangements, including any risk management of commodity pricing or other hedging practices.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However, we may employ hedging and other risk management techniques in the future.</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Issuances &amp; Debt Capital Activities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At-the-Market Offering</w:t>
      </w:r>
    </w:p>
    <w:p>
      <w:pPr>
        <w:spacing w:after="0" w:line="256" w:lineRule="exact"/>
        <w:rPr>
          <w:sz w:val="20"/>
          <w:szCs w:val="20"/>
          <w:color w:val="auto"/>
        </w:rPr>
      </w:pPr>
    </w:p>
    <w:p>
      <w:pPr>
        <w:jc w:val="both"/>
        <w:ind w:firstLine="324"/>
        <w:spacing w:after="0" w:line="238" w:lineRule="auto"/>
        <w:rPr>
          <w:sz w:val="20"/>
          <w:szCs w:val="20"/>
          <w:color w:val="auto"/>
        </w:rPr>
      </w:pPr>
      <w:r>
        <w:rPr>
          <w:rFonts w:ascii="Arial" w:cs="Arial" w:eastAsia="Arial" w:hAnsi="Arial"/>
          <w:sz w:val="18"/>
          <w:szCs w:val="18"/>
          <w:color w:val="auto"/>
        </w:rPr>
        <w:t>On July 29, 2020, the Company entered into an At-the-Market Sales Agreement, dated July 29, 2020 (the "Initial Sales Agreement"), with BTIG, LLC, JMP Securities LLC, and Ladenburg Thalmann &amp; Co., Inc. (collectively, the "Agents"). Under the Initial Sales Agreement, the Company may, but has no obligation to, issue and sell up to $50.0 million in aggregate amount of shares of its common stock (the "Shares") from time to time through the Agents or to them as principal for their own account (the "ATM Program"). On September 23, 2020, the Company increased the maximum amount of Shares to be sold through the ATM Program to $150.0 million from $50.0 million. In connection with the upsize of the ATM Program to $150.0 million, the Company entered into the Amendment No. 1 to the At-the-Market Sales Agreement, dated September 23, 2020, with the Agents. The Company intends to use the net proceeds from the ATM Program to make investments in portfolio companies in accordance with its investment objective and strategy and for general corporate purposes.</w:t>
      </w:r>
    </w:p>
    <w:p>
      <w:pPr>
        <w:spacing w:after="0" w:line="221" w:lineRule="exact"/>
        <w:rPr>
          <w:sz w:val="20"/>
          <w:szCs w:val="20"/>
          <w:color w:val="auto"/>
        </w:rPr>
      </w:pPr>
    </w:p>
    <w:p>
      <w:pPr>
        <w:jc w:val="both"/>
        <w:ind w:firstLine="324"/>
        <w:spacing w:after="0" w:line="248" w:lineRule="auto"/>
        <w:rPr>
          <w:sz w:val="20"/>
          <w:szCs w:val="20"/>
          <w:color w:val="auto"/>
        </w:rPr>
      </w:pPr>
      <w:r>
        <w:rPr>
          <w:rFonts w:ascii="Arial" w:cs="Arial" w:eastAsia="Arial" w:hAnsi="Arial"/>
          <w:sz w:val="18"/>
          <w:szCs w:val="18"/>
          <w:color w:val="auto"/>
        </w:rPr>
        <w:t>During the three months ended March 31, 2021, the Company did not issue or sell any shares under the ATM Program. As of March 31, 2021, up to $99.1 million in aggregate amount of the Shares remain available for sale under the ATM Program. Refer to “Note 5—Common Stock” to our consolidated financial statements as of March 31, 2021 for more information regarding the ATM Program.</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4.75% Convertible Senior Notes due 2023</w:t>
      </w:r>
    </w:p>
    <w:p>
      <w:pPr>
        <w:spacing w:after="0" w:line="256"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On March 28, 2018, we issued $40.0 million aggregate principal amount of 4.75% Convertible Senior Notes due 2023, which bore interest at a fixed rate of 4.75% per year, payable semi-annually in arrears on March 31 and September 30 of each year, commencing on September 30, 2018. We received approximately $38.2 million in proceeds from the offering, net of underwriting discounts and commissions and other offering expenses. The 4.75% Convertible Senior Notes due 2023 had a maturity date of March 28, 2023, unless previously repurchased or converted in accordance with their terms. We did not have the right to redeem the 4.75% Convertible Senior Notes due 2023 prior to March 27, 2021.</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66</w:t>
      </w:r>
    </w:p>
    <w:p>
      <w:pPr>
        <w:sectPr>
          <w:pgSz w:w="11900" w:h="16838" w:orient="portrait"/>
          <w:cols w:equalWidth="0" w:num="1">
            <w:col w:w="11240"/>
          </w:cols>
          <w:pgMar w:left="320" w:top="122" w:right="339" w:bottom="1440" w:gutter="0" w:footer="0" w:header="0"/>
          <w:type w:val="continuous"/>
        </w:sectPr>
      </w:pPr>
    </w:p>
    <w:bookmarkStart w:id="68" w:name="page69"/>
    <w:bookmarkEnd w:id="68"/>
    <w:p>
      <w:pPr>
        <w:spacing w:after="0"/>
        <w:rPr>
          <w:rFonts w:ascii="Arial" w:cs="Arial" w:eastAsia="Arial" w:hAnsi="Arial"/>
          <w:sz w:val="14"/>
          <w:szCs w:val="14"/>
          <w:color w:val="0000FF"/>
        </w:rPr>
      </w:pPr>
      <w:hyperlink w:anchor="page1">
        <w:r>
          <w:rPr>
            <w:rFonts w:ascii="Arial" w:cs="Arial" w:eastAsia="Arial" w:hAnsi="Arial"/>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On March 29, 2021, the Company redeemed $0.3 million in aggregate principal amount of the 4.75% Convertible Senior Notes due 2023 at a redemption price equal to 100% of their principal amount ($1,000 per convertible note), plus accrued and unpaid interest thereon, which amounted to approximately $0.8 million. As a result of this redemption and prior conversions of the 4.75% Convertible Senior Notes due 2023 into shares of our common stock by the holders thereof, the 4.75% Convertible Senior Notes due 2023 were no longer outstanding as of March 29, 2021.</w:t>
      </w:r>
    </w:p>
    <w:p>
      <w:pPr>
        <w:spacing w:after="0" w:line="198"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For the three months ended March 31, 2021 the Company issued 4,097,808 shares of its common stock and cash for fractional shares upon the conversion of approximately $37.9 million in aggregate principal amount of the 4.75% Convertible Senior Notes due 2023. The Company also redeemed approximately $0.3 million of aggregate principal amount for cash plus accrued and unpaid interest on March 29, 2021.</w:t>
      </w:r>
    </w:p>
    <w:p>
      <w:pPr>
        <w:spacing w:after="0" w:line="192"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Refer to “Note 10—Debt Capital Activities” to our condensed consolidated financial statements as of March 31, 2021 for more information regarding the 4.75% Convertible Senior Notes due 2023.</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Distributions</w:t>
      </w:r>
    </w:p>
    <w:p>
      <w:pPr>
        <w:spacing w:after="0" w:line="25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timing and amount of our distributions, if any, will be determined by our Board of Directors and will be declared out of assets legally available for distribution. The following table lists the distributions, including dividends and returns of capital, if any, per share that we have declared since our formation through March 31, 2021. The table is divided by fiscal year according to record date:</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00" w:type="dxa"/>
            <w:vAlign w:val="bottom"/>
            <w:gridSpan w:val="2"/>
          </w:tcPr>
          <w:p>
            <w:pPr>
              <w:ind w:left="20"/>
              <w:spacing w:after="0"/>
              <w:rPr>
                <w:sz w:val="20"/>
                <w:szCs w:val="20"/>
                <w:color w:val="auto"/>
              </w:rPr>
            </w:pPr>
            <w:r>
              <w:rPr>
                <w:rFonts w:ascii="Arial" w:cs="Arial" w:eastAsia="Arial" w:hAnsi="Arial"/>
                <w:sz w:val="14"/>
                <w:szCs w:val="14"/>
                <w:b w:val="1"/>
                <w:bCs w:val="1"/>
                <w:color w:val="auto"/>
              </w:rPr>
              <w:t>Date Declared</w:t>
            </w:r>
          </w:p>
        </w:tc>
        <w:tc>
          <w:tcPr>
            <w:tcW w:w="23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Record Date</w:t>
            </w:r>
          </w:p>
        </w:tc>
        <w:tc>
          <w:tcPr>
            <w:tcW w:w="22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Payment Date</w:t>
            </w:r>
          </w:p>
        </w:tc>
        <w:tc>
          <w:tcPr>
            <w:tcW w:w="220" w:type="dxa"/>
            <w:vAlign w:val="bottom"/>
          </w:tcPr>
          <w:p>
            <w:pPr>
              <w:spacing w:after="0"/>
              <w:rPr>
                <w:sz w:val="16"/>
                <w:szCs w:val="16"/>
                <w:color w:val="auto"/>
              </w:rPr>
            </w:pPr>
          </w:p>
        </w:tc>
        <w:tc>
          <w:tcPr>
            <w:tcW w:w="1560" w:type="dxa"/>
            <w:vAlign w:val="bottom"/>
          </w:tcPr>
          <w:p>
            <w:pPr>
              <w:jc w:val="right"/>
              <w:ind w:right="234"/>
              <w:spacing w:after="0"/>
              <w:rPr>
                <w:sz w:val="20"/>
                <w:szCs w:val="20"/>
                <w:color w:val="auto"/>
              </w:rPr>
            </w:pPr>
            <w:r>
              <w:rPr>
                <w:rFonts w:ascii="Arial" w:cs="Arial" w:eastAsia="Arial" w:hAnsi="Arial"/>
                <w:sz w:val="14"/>
                <w:szCs w:val="14"/>
                <w:b w:val="1"/>
                <w:bCs w:val="1"/>
                <w:color w:val="auto"/>
              </w:rPr>
              <w:t>Amount per Share</w:t>
            </w:r>
          </w:p>
        </w:tc>
      </w:tr>
      <w:tr>
        <w:trPr>
          <w:trHeight w:val="229"/>
        </w:trPr>
        <w:tc>
          <w:tcPr>
            <w:tcW w:w="47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Fiscal 2015:</w:t>
            </w:r>
          </w:p>
        </w:tc>
        <w:tc>
          <w:tcPr>
            <w:tcW w:w="100" w:type="dxa"/>
            <w:vAlign w:val="bottom"/>
            <w:tcBorders>
              <w:top w:val="single" w:sz="8" w:color="CCEEFF"/>
            </w:tcBorders>
            <w:shd w:val="clear" w:color="auto" w:fill="CCEEFF"/>
          </w:tcPr>
          <w:p>
            <w:pPr>
              <w:spacing w:after="0"/>
              <w:rPr>
                <w:sz w:val="19"/>
                <w:szCs w:val="19"/>
                <w:color w:val="auto"/>
              </w:rPr>
            </w:pPr>
          </w:p>
        </w:tc>
        <w:tc>
          <w:tcPr>
            <w:tcW w:w="22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1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spacing w:after="0"/>
              <w:rPr>
                <w:sz w:val="19"/>
                <w:szCs w:val="19"/>
                <w:color w:val="auto"/>
              </w:rPr>
            </w:pPr>
          </w:p>
        </w:tc>
      </w:tr>
      <w:tr>
        <w:trPr>
          <w:trHeight w:val="229"/>
        </w:trPr>
        <w:tc>
          <w:tcPr>
            <w:tcW w:w="4800" w:type="dxa"/>
            <w:vAlign w:val="bottom"/>
            <w:gridSpan w:val="2"/>
          </w:tcPr>
          <w:p>
            <w:pPr>
              <w:ind w:left="180"/>
              <w:spacing w:after="0" w:line="230" w:lineRule="exact"/>
              <w:rPr>
                <w:sz w:val="20"/>
                <w:szCs w:val="20"/>
                <w:color w:val="auto"/>
              </w:rPr>
            </w:pPr>
            <w:r>
              <w:rPr>
                <w:rFonts w:ascii="Arial" w:cs="Arial" w:eastAsia="Arial" w:hAnsi="Arial"/>
                <w:sz w:val="18"/>
                <w:szCs w:val="18"/>
                <w:color w:val="auto"/>
              </w:rPr>
              <w:t>November 4, 2015</w:t>
            </w:r>
            <w:r>
              <w:rPr>
                <w:rFonts w:ascii="Arial" w:cs="Arial" w:eastAsia="Arial" w:hAnsi="Arial"/>
                <w:sz w:val="23"/>
                <w:szCs w:val="23"/>
                <w:color w:val="auto"/>
                <w:vertAlign w:val="superscript"/>
              </w:rPr>
              <w:t>(1)</w:t>
            </w:r>
          </w:p>
        </w:tc>
        <w:tc>
          <w:tcPr>
            <w:tcW w:w="234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November 16, 2015</w:t>
            </w:r>
          </w:p>
        </w:tc>
        <w:tc>
          <w:tcPr>
            <w:tcW w:w="226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December 31, 2015</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2.76</w:t>
            </w:r>
          </w:p>
        </w:tc>
      </w:tr>
      <w:tr>
        <w:trPr>
          <w:trHeight w:val="230"/>
        </w:trPr>
        <w:tc>
          <w:tcPr>
            <w:tcW w:w="480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Fiscal 2016:</w:t>
            </w:r>
          </w:p>
        </w:tc>
        <w:tc>
          <w:tcPr>
            <w:tcW w:w="2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r>
      <w:tr>
        <w:trPr>
          <w:trHeight w:val="229"/>
        </w:trPr>
        <w:tc>
          <w:tcPr>
            <w:tcW w:w="4800" w:type="dxa"/>
            <w:vAlign w:val="bottom"/>
            <w:gridSpan w:val="2"/>
          </w:tcPr>
          <w:p>
            <w:pPr>
              <w:ind w:left="180"/>
              <w:spacing w:after="0" w:line="230" w:lineRule="exact"/>
              <w:rPr>
                <w:sz w:val="20"/>
                <w:szCs w:val="20"/>
                <w:color w:val="auto"/>
              </w:rPr>
            </w:pPr>
            <w:r>
              <w:rPr>
                <w:rFonts w:ascii="Arial" w:cs="Arial" w:eastAsia="Arial" w:hAnsi="Arial"/>
                <w:sz w:val="18"/>
                <w:szCs w:val="18"/>
                <w:color w:val="auto"/>
              </w:rPr>
              <w:t>August 3, 2016</w:t>
            </w:r>
            <w:r>
              <w:rPr>
                <w:rFonts w:ascii="Arial" w:cs="Arial" w:eastAsia="Arial" w:hAnsi="Arial"/>
                <w:sz w:val="23"/>
                <w:szCs w:val="23"/>
                <w:color w:val="auto"/>
                <w:vertAlign w:val="superscript"/>
              </w:rPr>
              <w:t>(2)</w:t>
            </w:r>
          </w:p>
        </w:tc>
        <w:tc>
          <w:tcPr>
            <w:tcW w:w="234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August 16, 2016</w:t>
            </w:r>
          </w:p>
        </w:tc>
        <w:tc>
          <w:tcPr>
            <w:tcW w:w="226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August 24, 2016</w:t>
            </w:r>
          </w:p>
        </w:tc>
        <w:tc>
          <w:tcPr>
            <w:tcW w:w="2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0.04</w:t>
            </w:r>
          </w:p>
        </w:tc>
      </w:tr>
      <w:tr>
        <w:trPr>
          <w:trHeight w:val="229"/>
        </w:trPr>
        <w:tc>
          <w:tcPr>
            <w:tcW w:w="480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Fiscal 2019:</w:t>
            </w:r>
          </w:p>
        </w:tc>
        <w:tc>
          <w:tcPr>
            <w:tcW w:w="2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r>
      <w:tr>
        <w:trPr>
          <w:trHeight w:val="230"/>
        </w:trPr>
        <w:tc>
          <w:tcPr>
            <w:tcW w:w="4800" w:type="dxa"/>
            <w:vAlign w:val="bottom"/>
            <w:gridSpan w:val="2"/>
          </w:tcPr>
          <w:p>
            <w:pPr>
              <w:ind w:left="180"/>
              <w:spacing w:after="0" w:line="230" w:lineRule="exact"/>
              <w:rPr>
                <w:sz w:val="20"/>
                <w:szCs w:val="20"/>
                <w:color w:val="auto"/>
              </w:rPr>
            </w:pPr>
            <w:r>
              <w:rPr>
                <w:rFonts w:ascii="Arial" w:cs="Arial" w:eastAsia="Arial" w:hAnsi="Arial"/>
                <w:sz w:val="18"/>
                <w:szCs w:val="18"/>
                <w:color w:val="auto"/>
              </w:rPr>
              <w:t>November 5, 2019</w:t>
            </w:r>
            <w:r>
              <w:rPr>
                <w:rFonts w:ascii="Arial" w:cs="Arial" w:eastAsia="Arial" w:hAnsi="Arial"/>
                <w:sz w:val="23"/>
                <w:szCs w:val="23"/>
                <w:color w:val="auto"/>
                <w:vertAlign w:val="superscript"/>
              </w:rPr>
              <w:t>(3)</w:t>
            </w:r>
          </w:p>
        </w:tc>
        <w:tc>
          <w:tcPr>
            <w:tcW w:w="234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December 2, 2019</w:t>
            </w:r>
          </w:p>
        </w:tc>
        <w:tc>
          <w:tcPr>
            <w:tcW w:w="226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December 12, 2019</w:t>
            </w:r>
          </w:p>
        </w:tc>
        <w:tc>
          <w:tcPr>
            <w:tcW w:w="2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0.20</w:t>
            </w:r>
          </w:p>
        </w:tc>
      </w:tr>
      <w:tr>
        <w:trPr>
          <w:trHeight w:val="230"/>
        </w:trPr>
        <w:tc>
          <w:tcPr>
            <w:tcW w:w="4800" w:type="dxa"/>
            <w:vAlign w:val="bottom"/>
            <w:gridSpan w:val="2"/>
            <w:shd w:val="clear" w:color="auto" w:fill="CCEEFF"/>
          </w:tcPr>
          <w:p>
            <w:pPr>
              <w:ind w:left="180"/>
              <w:spacing w:after="0" w:line="230" w:lineRule="exact"/>
              <w:rPr>
                <w:sz w:val="20"/>
                <w:szCs w:val="20"/>
                <w:color w:val="auto"/>
              </w:rPr>
            </w:pPr>
            <w:r>
              <w:rPr>
                <w:rFonts w:ascii="Arial" w:cs="Arial" w:eastAsia="Arial" w:hAnsi="Arial"/>
                <w:sz w:val="18"/>
                <w:szCs w:val="18"/>
                <w:color w:val="auto"/>
              </w:rPr>
              <w:t>December 20, 2019</w:t>
            </w:r>
            <w:r>
              <w:rPr>
                <w:rFonts w:ascii="Arial" w:cs="Arial" w:eastAsia="Arial" w:hAnsi="Arial"/>
                <w:sz w:val="23"/>
                <w:szCs w:val="23"/>
                <w:color w:val="auto"/>
                <w:vertAlign w:val="superscript"/>
              </w:rPr>
              <w:t>(4)</w:t>
            </w:r>
          </w:p>
        </w:tc>
        <w:tc>
          <w:tcPr>
            <w:tcW w:w="23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December 31, 2019</w:t>
            </w:r>
          </w:p>
        </w:tc>
        <w:tc>
          <w:tcPr>
            <w:tcW w:w="22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9"/>
              </w:rPr>
              <w:t>January 15, 2020</w:t>
            </w:r>
          </w:p>
        </w:tc>
        <w:tc>
          <w:tcPr>
            <w:tcW w:w="2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0.12</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80" w:type="dxa"/>
            <w:vAlign w:val="bottom"/>
          </w:tcPr>
          <w:p>
            <w:pPr>
              <w:ind w:left="20"/>
              <w:spacing w:after="0"/>
              <w:rPr>
                <w:sz w:val="20"/>
                <w:szCs w:val="20"/>
                <w:color w:val="auto"/>
              </w:rPr>
            </w:pPr>
            <w:r>
              <w:rPr>
                <w:rFonts w:ascii="Arial" w:cs="Arial" w:eastAsia="Arial" w:hAnsi="Arial"/>
                <w:sz w:val="18"/>
                <w:szCs w:val="18"/>
                <w:b w:val="1"/>
                <w:bCs w:val="1"/>
                <w:color w:val="auto"/>
              </w:rPr>
              <w:t>Fiscal 2020:</w:t>
            </w:r>
          </w:p>
        </w:tc>
        <w:tc>
          <w:tcPr>
            <w:tcW w:w="360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80" w:type="dxa"/>
            <w:vAlign w:val="bottom"/>
            <w:shd w:val="clear" w:color="auto" w:fill="CCEEFF"/>
          </w:tcPr>
          <w:p>
            <w:pPr>
              <w:ind w:left="180"/>
              <w:spacing w:after="0" w:line="230" w:lineRule="exact"/>
              <w:rPr>
                <w:sz w:val="20"/>
                <w:szCs w:val="20"/>
                <w:color w:val="auto"/>
              </w:rPr>
            </w:pPr>
            <w:r>
              <w:rPr>
                <w:rFonts w:ascii="Arial" w:cs="Arial" w:eastAsia="Arial" w:hAnsi="Arial"/>
                <w:sz w:val="18"/>
                <w:szCs w:val="18"/>
                <w:color w:val="auto"/>
              </w:rPr>
              <w:t>July 29, 2020</w:t>
            </w:r>
            <w:r>
              <w:rPr>
                <w:rFonts w:ascii="Arial" w:cs="Arial" w:eastAsia="Arial" w:hAnsi="Arial"/>
                <w:sz w:val="23"/>
                <w:szCs w:val="23"/>
                <w:color w:val="auto"/>
                <w:vertAlign w:val="superscript"/>
              </w:rPr>
              <w:t>(5)</w:t>
            </w:r>
          </w:p>
        </w:tc>
        <w:tc>
          <w:tcPr>
            <w:tcW w:w="3600" w:type="dxa"/>
            <w:vAlign w:val="bottom"/>
            <w:shd w:val="clear" w:color="auto" w:fill="CCEEFF"/>
          </w:tcPr>
          <w:p>
            <w:pPr>
              <w:jc w:val="center"/>
              <w:ind w:left="1190"/>
              <w:spacing w:after="0"/>
              <w:rPr>
                <w:sz w:val="20"/>
                <w:szCs w:val="20"/>
                <w:color w:val="auto"/>
              </w:rPr>
            </w:pPr>
            <w:r>
              <w:rPr>
                <w:rFonts w:ascii="Arial" w:cs="Arial" w:eastAsia="Arial" w:hAnsi="Arial"/>
                <w:sz w:val="18"/>
                <w:szCs w:val="18"/>
                <w:color w:val="auto"/>
                <w:w w:val="91"/>
              </w:rPr>
              <w:t>August 11, 2020</w:t>
            </w:r>
          </w:p>
        </w:tc>
        <w:tc>
          <w:tcPr>
            <w:tcW w:w="3080" w:type="dxa"/>
            <w:vAlign w:val="bottom"/>
            <w:gridSpan w:val="2"/>
            <w:shd w:val="clear" w:color="auto" w:fill="CCEEFF"/>
          </w:tcPr>
          <w:p>
            <w:pPr>
              <w:jc w:val="center"/>
              <w:ind w:right="710"/>
              <w:spacing w:after="0"/>
              <w:rPr>
                <w:sz w:val="20"/>
                <w:szCs w:val="20"/>
                <w:color w:val="auto"/>
              </w:rPr>
            </w:pPr>
            <w:r>
              <w:rPr>
                <w:rFonts w:ascii="Arial" w:cs="Arial" w:eastAsia="Arial" w:hAnsi="Arial"/>
                <w:sz w:val="18"/>
                <w:szCs w:val="18"/>
                <w:color w:val="auto"/>
                <w:w w:val="91"/>
              </w:rPr>
              <w:t>August 25, 2020</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0.15</w:t>
            </w:r>
          </w:p>
        </w:tc>
        <w:tc>
          <w:tcPr>
            <w:tcW w:w="0" w:type="dxa"/>
            <w:vAlign w:val="bottom"/>
          </w:tcPr>
          <w:p>
            <w:pPr>
              <w:spacing w:after="0"/>
              <w:rPr>
                <w:sz w:val="1"/>
                <w:szCs w:val="1"/>
                <w:color w:val="auto"/>
              </w:rPr>
            </w:pPr>
          </w:p>
        </w:tc>
      </w:tr>
      <w:tr>
        <w:trPr>
          <w:trHeight w:val="229"/>
        </w:trPr>
        <w:tc>
          <w:tcPr>
            <w:tcW w:w="3480" w:type="dxa"/>
            <w:vAlign w:val="bottom"/>
          </w:tcPr>
          <w:p>
            <w:pPr>
              <w:ind w:left="180"/>
              <w:spacing w:after="0" w:line="230" w:lineRule="exact"/>
              <w:rPr>
                <w:sz w:val="20"/>
                <w:szCs w:val="20"/>
                <w:color w:val="auto"/>
              </w:rPr>
            </w:pPr>
            <w:r>
              <w:rPr>
                <w:rFonts w:ascii="Arial" w:cs="Arial" w:eastAsia="Arial" w:hAnsi="Arial"/>
                <w:sz w:val="18"/>
                <w:szCs w:val="18"/>
                <w:color w:val="auto"/>
              </w:rPr>
              <w:t>September 28, 2020</w:t>
            </w:r>
            <w:r>
              <w:rPr>
                <w:rFonts w:ascii="Arial" w:cs="Arial" w:eastAsia="Arial" w:hAnsi="Arial"/>
                <w:sz w:val="23"/>
                <w:szCs w:val="23"/>
                <w:color w:val="auto"/>
                <w:vertAlign w:val="superscript"/>
              </w:rPr>
              <w:t>(6)</w:t>
            </w:r>
          </w:p>
        </w:tc>
        <w:tc>
          <w:tcPr>
            <w:tcW w:w="3600" w:type="dxa"/>
            <w:vAlign w:val="bottom"/>
          </w:tcPr>
          <w:p>
            <w:pPr>
              <w:jc w:val="center"/>
              <w:ind w:left="1190"/>
              <w:spacing w:after="0"/>
              <w:rPr>
                <w:sz w:val="20"/>
                <w:szCs w:val="20"/>
                <w:color w:val="auto"/>
              </w:rPr>
            </w:pPr>
            <w:r>
              <w:rPr>
                <w:rFonts w:ascii="Arial" w:cs="Arial" w:eastAsia="Arial" w:hAnsi="Arial"/>
                <w:sz w:val="18"/>
                <w:szCs w:val="18"/>
                <w:color w:val="auto"/>
                <w:w w:val="89"/>
              </w:rPr>
              <w:t>October 5, 2020</w:t>
            </w:r>
          </w:p>
        </w:tc>
        <w:tc>
          <w:tcPr>
            <w:tcW w:w="3080" w:type="dxa"/>
            <w:vAlign w:val="bottom"/>
            <w:gridSpan w:val="2"/>
          </w:tcPr>
          <w:p>
            <w:pPr>
              <w:jc w:val="center"/>
              <w:ind w:right="710"/>
              <w:spacing w:after="0"/>
              <w:rPr>
                <w:sz w:val="20"/>
                <w:szCs w:val="20"/>
                <w:color w:val="auto"/>
              </w:rPr>
            </w:pPr>
            <w:r>
              <w:rPr>
                <w:rFonts w:ascii="Arial" w:cs="Arial" w:eastAsia="Arial" w:hAnsi="Arial"/>
                <w:sz w:val="18"/>
                <w:szCs w:val="18"/>
                <w:color w:val="auto"/>
                <w:w w:val="89"/>
              </w:rPr>
              <w:t>October 20, 2020</w:t>
            </w:r>
          </w:p>
        </w:tc>
        <w:tc>
          <w:tcPr>
            <w:tcW w:w="1020" w:type="dxa"/>
            <w:vAlign w:val="bottom"/>
          </w:tcPr>
          <w:p>
            <w:pPr>
              <w:jc w:val="right"/>
              <w:spacing w:after="0"/>
              <w:rPr>
                <w:sz w:val="20"/>
                <w:szCs w:val="20"/>
                <w:color w:val="auto"/>
              </w:rPr>
            </w:pPr>
            <w:r>
              <w:rPr>
                <w:rFonts w:ascii="Arial" w:cs="Arial" w:eastAsia="Arial" w:hAnsi="Arial"/>
                <w:sz w:val="18"/>
                <w:szCs w:val="18"/>
                <w:color w:val="auto"/>
              </w:rPr>
              <w:t>0.25</w:t>
            </w:r>
          </w:p>
        </w:tc>
        <w:tc>
          <w:tcPr>
            <w:tcW w:w="0" w:type="dxa"/>
            <w:vAlign w:val="bottom"/>
          </w:tcPr>
          <w:p>
            <w:pPr>
              <w:spacing w:after="0"/>
              <w:rPr>
                <w:sz w:val="1"/>
                <w:szCs w:val="1"/>
                <w:color w:val="auto"/>
              </w:rPr>
            </w:pPr>
          </w:p>
        </w:tc>
      </w:tr>
      <w:tr>
        <w:trPr>
          <w:trHeight w:val="230"/>
        </w:trPr>
        <w:tc>
          <w:tcPr>
            <w:tcW w:w="3480" w:type="dxa"/>
            <w:vAlign w:val="bottom"/>
            <w:shd w:val="clear" w:color="auto" w:fill="CCEEFF"/>
          </w:tcPr>
          <w:p>
            <w:pPr>
              <w:ind w:left="180"/>
              <w:spacing w:after="0" w:line="230" w:lineRule="exact"/>
              <w:rPr>
                <w:sz w:val="20"/>
                <w:szCs w:val="20"/>
                <w:color w:val="auto"/>
              </w:rPr>
            </w:pPr>
            <w:r>
              <w:rPr>
                <w:rFonts w:ascii="Arial" w:cs="Arial" w:eastAsia="Arial" w:hAnsi="Arial"/>
                <w:sz w:val="18"/>
                <w:szCs w:val="18"/>
                <w:color w:val="auto"/>
              </w:rPr>
              <w:t>October 28, 2020</w:t>
            </w:r>
            <w:r>
              <w:rPr>
                <w:rFonts w:ascii="Arial" w:cs="Arial" w:eastAsia="Arial" w:hAnsi="Arial"/>
                <w:sz w:val="23"/>
                <w:szCs w:val="23"/>
                <w:color w:val="auto"/>
                <w:vertAlign w:val="superscript"/>
              </w:rPr>
              <w:t>(7)</w:t>
            </w:r>
          </w:p>
        </w:tc>
        <w:tc>
          <w:tcPr>
            <w:tcW w:w="3600" w:type="dxa"/>
            <w:vAlign w:val="bottom"/>
            <w:shd w:val="clear" w:color="auto" w:fill="CCEEFF"/>
          </w:tcPr>
          <w:p>
            <w:pPr>
              <w:jc w:val="center"/>
              <w:ind w:left="1190"/>
              <w:spacing w:after="0"/>
              <w:rPr>
                <w:sz w:val="20"/>
                <w:szCs w:val="20"/>
                <w:color w:val="auto"/>
              </w:rPr>
            </w:pPr>
            <w:r>
              <w:rPr>
                <w:rFonts w:ascii="Arial" w:cs="Arial" w:eastAsia="Arial" w:hAnsi="Arial"/>
                <w:sz w:val="18"/>
                <w:szCs w:val="18"/>
                <w:color w:val="auto"/>
                <w:w w:val="91"/>
              </w:rPr>
              <w:t>November 10, 2020</w:t>
            </w:r>
          </w:p>
        </w:tc>
        <w:tc>
          <w:tcPr>
            <w:tcW w:w="3080" w:type="dxa"/>
            <w:vAlign w:val="bottom"/>
            <w:gridSpan w:val="2"/>
            <w:shd w:val="clear" w:color="auto" w:fill="CCEEFF"/>
          </w:tcPr>
          <w:p>
            <w:pPr>
              <w:jc w:val="center"/>
              <w:ind w:right="710"/>
              <w:spacing w:after="0"/>
              <w:rPr>
                <w:sz w:val="20"/>
                <w:szCs w:val="20"/>
                <w:color w:val="auto"/>
              </w:rPr>
            </w:pPr>
            <w:r>
              <w:rPr>
                <w:rFonts w:ascii="Arial" w:cs="Arial" w:eastAsia="Arial" w:hAnsi="Arial"/>
                <w:sz w:val="18"/>
                <w:szCs w:val="18"/>
                <w:color w:val="auto"/>
                <w:w w:val="91"/>
              </w:rPr>
              <w:t>November 30, 2020</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0.25</w:t>
            </w:r>
          </w:p>
        </w:tc>
        <w:tc>
          <w:tcPr>
            <w:tcW w:w="0" w:type="dxa"/>
            <w:vAlign w:val="bottom"/>
          </w:tcPr>
          <w:p>
            <w:pPr>
              <w:spacing w:after="0"/>
              <w:rPr>
                <w:sz w:val="1"/>
                <w:szCs w:val="1"/>
                <w:color w:val="auto"/>
              </w:rPr>
            </w:pPr>
          </w:p>
        </w:tc>
      </w:tr>
      <w:tr>
        <w:trPr>
          <w:trHeight w:val="230"/>
        </w:trPr>
        <w:tc>
          <w:tcPr>
            <w:tcW w:w="3480" w:type="dxa"/>
            <w:vAlign w:val="bottom"/>
          </w:tcPr>
          <w:p>
            <w:pPr>
              <w:ind w:left="180"/>
              <w:spacing w:after="0" w:line="230" w:lineRule="exact"/>
              <w:rPr>
                <w:sz w:val="20"/>
                <w:szCs w:val="20"/>
                <w:color w:val="auto"/>
              </w:rPr>
            </w:pPr>
            <w:r>
              <w:rPr>
                <w:rFonts w:ascii="Arial" w:cs="Arial" w:eastAsia="Arial" w:hAnsi="Arial"/>
                <w:sz w:val="18"/>
                <w:szCs w:val="18"/>
                <w:color w:val="auto"/>
              </w:rPr>
              <w:t>December 16, 2020</w:t>
            </w:r>
            <w:r>
              <w:rPr>
                <w:rFonts w:ascii="Arial" w:cs="Arial" w:eastAsia="Arial" w:hAnsi="Arial"/>
                <w:sz w:val="23"/>
                <w:szCs w:val="23"/>
                <w:color w:val="auto"/>
                <w:vertAlign w:val="superscript"/>
              </w:rPr>
              <w:t>(8)</w:t>
            </w:r>
          </w:p>
        </w:tc>
        <w:tc>
          <w:tcPr>
            <w:tcW w:w="3600" w:type="dxa"/>
            <w:vAlign w:val="bottom"/>
          </w:tcPr>
          <w:p>
            <w:pPr>
              <w:jc w:val="center"/>
              <w:ind w:left="1190"/>
              <w:spacing w:after="0"/>
              <w:rPr>
                <w:sz w:val="20"/>
                <w:szCs w:val="20"/>
                <w:color w:val="auto"/>
              </w:rPr>
            </w:pPr>
            <w:r>
              <w:rPr>
                <w:rFonts w:ascii="Arial" w:cs="Arial" w:eastAsia="Arial" w:hAnsi="Arial"/>
                <w:sz w:val="18"/>
                <w:szCs w:val="18"/>
                <w:color w:val="auto"/>
                <w:w w:val="88"/>
              </w:rPr>
              <w:t>December 30, 2020</w:t>
            </w:r>
          </w:p>
        </w:tc>
        <w:tc>
          <w:tcPr>
            <w:tcW w:w="3080" w:type="dxa"/>
            <w:vAlign w:val="bottom"/>
            <w:gridSpan w:val="2"/>
          </w:tcPr>
          <w:p>
            <w:pPr>
              <w:jc w:val="center"/>
              <w:ind w:right="710"/>
              <w:spacing w:after="0"/>
              <w:rPr>
                <w:sz w:val="20"/>
                <w:szCs w:val="20"/>
                <w:color w:val="auto"/>
              </w:rPr>
            </w:pPr>
            <w:r>
              <w:rPr>
                <w:rFonts w:ascii="Arial" w:cs="Arial" w:eastAsia="Arial" w:hAnsi="Arial"/>
                <w:sz w:val="18"/>
                <w:szCs w:val="18"/>
                <w:color w:val="auto"/>
                <w:w w:val="89"/>
              </w:rPr>
              <w:t>January 15, 2021</w:t>
            </w:r>
          </w:p>
        </w:tc>
        <w:tc>
          <w:tcPr>
            <w:tcW w:w="1020" w:type="dxa"/>
            <w:vAlign w:val="bottom"/>
          </w:tcPr>
          <w:p>
            <w:pPr>
              <w:jc w:val="right"/>
              <w:spacing w:after="0"/>
              <w:rPr>
                <w:sz w:val="20"/>
                <w:szCs w:val="20"/>
                <w:color w:val="auto"/>
              </w:rPr>
            </w:pPr>
            <w:r>
              <w:rPr>
                <w:rFonts w:ascii="Arial" w:cs="Arial" w:eastAsia="Arial" w:hAnsi="Arial"/>
                <w:sz w:val="18"/>
                <w:szCs w:val="18"/>
                <w:color w:val="auto"/>
              </w:rPr>
              <w:t>0.22</w:t>
            </w:r>
          </w:p>
        </w:tc>
        <w:tc>
          <w:tcPr>
            <w:tcW w:w="0" w:type="dxa"/>
            <w:vAlign w:val="bottom"/>
          </w:tcPr>
          <w:p>
            <w:pPr>
              <w:spacing w:after="0"/>
              <w:rPr>
                <w:sz w:val="1"/>
                <w:szCs w:val="1"/>
                <w:color w:val="auto"/>
              </w:rPr>
            </w:pPr>
          </w:p>
        </w:tc>
      </w:tr>
      <w:tr>
        <w:trPr>
          <w:trHeight w:val="230"/>
        </w:trPr>
        <w:tc>
          <w:tcPr>
            <w:tcW w:w="34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Fiscal 2021:</w:t>
            </w:r>
          </w:p>
        </w:tc>
        <w:tc>
          <w:tcPr>
            <w:tcW w:w="3600" w:type="dxa"/>
            <w:vAlign w:val="bottom"/>
            <w:shd w:val="clear" w:color="auto" w:fill="CCEEFF"/>
          </w:tcPr>
          <w:p>
            <w:pPr>
              <w:spacing w:after="0"/>
              <w:rPr>
                <w:sz w:val="19"/>
                <w:szCs w:val="19"/>
                <w:color w:val="auto"/>
              </w:rPr>
            </w:pPr>
          </w:p>
        </w:tc>
        <w:tc>
          <w:tcPr>
            <w:tcW w:w="23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80" w:type="dxa"/>
            <w:vAlign w:val="bottom"/>
          </w:tcPr>
          <w:p>
            <w:pPr>
              <w:ind w:left="180"/>
              <w:spacing w:after="0" w:line="230" w:lineRule="exact"/>
              <w:rPr>
                <w:sz w:val="20"/>
                <w:szCs w:val="20"/>
                <w:color w:val="auto"/>
              </w:rPr>
            </w:pPr>
            <w:r>
              <w:rPr>
                <w:rFonts w:ascii="Arial" w:cs="Arial" w:eastAsia="Arial" w:hAnsi="Arial"/>
                <w:sz w:val="18"/>
                <w:szCs w:val="18"/>
                <w:color w:val="auto"/>
              </w:rPr>
              <w:t>January 26, 2021</w:t>
            </w:r>
            <w:r>
              <w:rPr>
                <w:rFonts w:ascii="Arial" w:cs="Arial" w:eastAsia="Arial" w:hAnsi="Arial"/>
                <w:sz w:val="23"/>
                <w:szCs w:val="23"/>
                <w:color w:val="auto"/>
                <w:vertAlign w:val="superscript"/>
              </w:rPr>
              <w:t>(9)</w:t>
            </w:r>
          </w:p>
        </w:tc>
        <w:tc>
          <w:tcPr>
            <w:tcW w:w="3600" w:type="dxa"/>
            <w:vAlign w:val="bottom"/>
          </w:tcPr>
          <w:p>
            <w:pPr>
              <w:jc w:val="center"/>
              <w:ind w:left="1190"/>
              <w:spacing w:after="0"/>
              <w:rPr>
                <w:sz w:val="20"/>
                <w:szCs w:val="20"/>
                <w:color w:val="auto"/>
              </w:rPr>
            </w:pPr>
            <w:r>
              <w:rPr>
                <w:rFonts w:ascii="Arial" w:cs="Arial" w:eastAsia="Arial" w:hAnsi="Arial"/>
                <w:sz w:val="18"/>
                <w:szCs w:val="18"/>
                <w:color w:val="auto"/>
                <w:w w:val="90"/>
              </w:rPr>
              <w:t>February 5, 2021</w:t>
            </w:r>
          </w:p>
        </w:tc>
        <w:tc>
          <w:tcPr>
            <w:tcW w:w="3080" w:type="dxa"/>
            <w:vAlign w:val="bottom"/>
            <w:gridSpan w:val="2"/>
          </w:tcPr>
          <w:p>
            <w:pPr>
              <w:jc w:val="center"/>
              <w:ind w:right="710"/>
              <w:spacing w:after="0"/>
              <w:rPr>
                <w:sz w:val="20"/>
                <w:szCs w:val="20"/>
                <w:color w:val="auto"/>
              </w:rPr>
            </w:pPr>
            <w:r>
              <w:rPr>
                <w:rFonts w:ascii="Arial" w:cs="Arial" w:eastAsia="Arial" w:hAnsi="Arial"/>
                <w:sz w:val="18"/>
                <w:szCs w:val="18"/>
                <w:color w:val="auto"/>
                <w:w w:val="89"/>
              </w:rPr>
              <w:t>February 19, 2021</w:t>
            </w:r>
          </w:p>
        </w:tc>
        <w:tc>
          <w:tcPr>
            <w:tcW w:w="1020" w:type="dxa"/>
            <w:vAlign w:val="bottom"/>
          </w:tcPr>
          <w:p>
            <w:pPr>
              <w:jc w:val="right"/>
              <w:spacing w:after="0"/>
              <w:rPr>
                <w:sz w:val="20"/>
                <w:szCs w:val="20"/>
                <w:color w:val="auto"/>
              </w:rPr>
            </w:pPr>
            <w:r>
              <w:rPr>
                <w:rFonts w:ascii="Arial" w:cs="Arial" w:eastAsia="Arial" w:hAnsi="Arial"/>
                <w:sz w:val="18"/>
                <w:szCs w:val="18"/>
                <w:color w:val="auto"/>
              </w:rPr>
              <w:t>0.25</w:t>
            </w:r>
          </w:p>
        </w:tc>
        <w:tc>
          <w:tcPr>
            <w:tcW w:w="0" w:type="dxa"/>
            <w:vAlign w:val="bottom"/>
          </w:tcPr>
          <w:p>
            <w:pPr>
              <w:spacing w:after="0"/>
              <w:rPr>
                <w:sz w:val="1"/>
                <w:szCs w:val="1"/>
                <w:color w:val="auto"/>
              </w:rPr>
            </w:pPr>
          </w:p>
        </w:tc>
      </w:tr>
      <w:tr>
        <w:trPr>
          <w:trHeight w:val="229"/>
        </w:trPr>
        <w:tc>
          <w:tcPr>
            <w:tcW w:w="3480" w:type="dxa"/>
            <w:vAlign w:val="bottom"/>
            <w:shd w:val="clear" w:color="auto" w:fill="CCEEFF"/>
          </w:tcPr>
          <w:p>
            <w:pPr>
              <w:ind w:left="180"/>
              <w:spacing w:after="0" w:line="230" w:lineRule="exact"/>
              <w:rPr>
                <w:sz w:val="20"/>
                <w:szCs w:val="20"/>
                <w:color w:val="auto"/>
              </w:rPr>
            </w:pPr>
            <w:r>
              <w:rPr>
                <w:rFonts w:ascii="Arial" w:cs="Arial" w:eastAsia="Arial" w:hAnsi="Arial"/>
                <w:sz w:val="18"/>
                <w:szCs w:val="18"/>
                <w:color w:val="auto"/>
              </w:rPr>
              <w:t>March 8, 2021</w:t>
            </w:r>
            <w:r>
              <w:rPr>
                <w:rFonts w:ascii="Arial" w:cs="Arial" w:eastAsia="Arial" w:hAnsi="Arial"/>
                <w:sz w:val="23"/>
                <w:szCs w:val="23"/>
                <w:color w:val="auto"/>
                <w:vertAlign w:val="superscript"/>
              </w:rPr>
              <w:t>(10)</w:t>
            </w:r>
          </w:p>
        </w:tc>
        <w:tc>
          <w:tcPr>
            <w:tcW w:w="3600" w:type="dxa"/>
            <w:vAlign w:val="bottom"/>
            <w:shd w:val="clear" w:color="auto" w:fill="CCEEFF"/>
          </w:tcPr>
          <w:p>
            <w:pPr>
              <w:jc w:val="center"/>
              <w:ind w:left="1190"/>
              <w:spacing w:after="0"/>
              <w:rPr>
                <w:sz w:val="20"/>
                <w:szCs w:val="20"/>
                <w:color w:val="auto"/>
              </w:rPr>
            </w:pPr>
            <w:r>
              <w:rPr>
                <w:rFonts w:ascii="Arial" w:cs="Arial" w:eastAsia="Arial" w:hAnsi="Arial"/>
                <w:sz w:val="18"/>
                <w:szCs w:val="18"/>
                <w:color w:val="auto"/>
                <w:w w:val="92"/>
              </w:rPr>
              <w:t>March 30, 2021</w:t>
            </w:r>
          </w:p>
        </w:tc>
        <w:tc>
          <w:tcPr>
            <w:tcW w:w="3080" w:type="dxa"/>
            <w:vAlign w:val="bottom"/>
            <w:gridSpan w:val="2"/>
            <w:shd w:val="clear" w:color="auto" w:fill="CCEEFF"/>
          </w:tcPr>
          <w:p>
            <w:pPr>
              <w:jc w:val="center"/>
              <w:ind w:right="690"/>
              <w:spacing w:after="0"/>
              <w:rPr>
                <w:sz w:val="20"/>
                <w:szCs w:val="20"/>
                <w:color w:val="auto"/>
              </w:rPr>
            </w:pPr>
            <w:r>
              <w:rPr>
                <w:rFonts w:ascii="Arial" w:cs="Arial" w:eastAsia="Arial" w:hAnsi="Arial"/>
                <w:sz w:val="18"/>
                <w:szCs w:val="18"/>
                <w:color w:val="auto"/>
                <w:w w:val="95"/>
              </w:rPr>
              <w:t>April 15, 2021</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0.25</w:t>
            </w:r>
          </w:p>
        </w:tc>
        <w:tc>
          <w:tcPr>
            <w:tcW w:w="0" w:type="dxa"/>
            <w:vAlign w:val="bottom"/>
          </w:tcPr>
          <w:p>
            <w:pPr>
              <w:spacing w:after="0"/>
              <w:rPr>
                <w:sz w:val="1"/>
                <w:szCs w:val="1"/>
                <w:color w:val="auto"/>
              </w:rPr>
            </w:pPr>
          </w:p>
        </w:tc>
      </w:tr>
      <w:tr>
        <w:trPr>
          <w:trHeight w:val="223"/>
        </w:trPr>
        <w:tc>
          <w:tcPr>
            <w:tcW w:w="3480" w:type="dxa"/>
            <w:vAlign w:val="bottom"/>
          </w:tcPr>
          <w:p>
            <w:pPr>
              <w:ind w:left="20"/>
              <w:spacing w:after="0"/>
              <w:rPr>
                <w:sz w:val="20"/>
                <w:szCs w:val="20"/>
                <w:color w:val="auto"/>
              </w:rPr>
            </w:pPr>
            <w:r>
              <w:rPr>
                <w:rFonts w:ascii="Arial" w:cs="Arial" w:eastAsia="Arial" w:hAnsi="Arial"/>
                <w:sz w:val="18"/>
                <w:szCs w:val="18"/>
                <w:b w:val="1"/>
                <w:bCs w:val="1"/>
                <w:color w:val="auto"/>
              </w:rPr>
              <w:t>Total</w:t>
            </w:r>
          </w:p>
        </w:tc>
        <w:tc>
          <w:tcPr>
            <w:tcW w:w="360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4.49</w:t>
            </w:r>
          </w:p>
        </w:tc>
        <w:tc>
          <w:tcPr>
            <w:tcW w:w="0" w:type="dxa"/>
            <w:vAlign w:val="bottom"/>
          </w:tcPr>
          <w:p>
            <w:pPr>
              <w:spacing w:after="0"/>
              <w:rPr>
                <w:sz w:val="1"/>
                <w:szCs w:val="1"/>
                <w:color w:val="auto"/>
              </w:rPr>
            </w:pPr>
          </w:p>
        </w:tc>
      </w:tr>
      <w:tr>
        <w:trPr>
          <w:trHeight w:val="21"/>
        </w:trPr>
        <w:tc>
          <w:tcPr>
            <w:tcW w:w="3480" w:type="dxa"/>
            <w:vAlign w:val="bottom"/>
            <w:vMerge w:val="restart"/>
          </w:tcPr>
          <w:p>
            <w:pPr>
              <w:spacing w:after="0"/>
              <w:rPr>
                <w:sz w:val="20"/>
                <w:szCs w:val="20"/>
                <w:color w:val="auto"/>
              </w:rPr>
            </w:pPr>
            <w:r>
              <w:rPr>
                <w:rFonts w:ascii="Arial" w:cs="Arial" w:eastAsia="Arial" w:hAnsi="Arial"/>
                <w:sz w:val="16"/>
                <w:szCs w:val="16"/>
                <w:color w:val="auto"/>
              </w:rPr>
              <w:t>___________________</w:t>
            </w:r>
          </w:p>
        </w:tc>
        <w:tc>
          <w:tcPr>
            <w:tcW w:w="360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3480" w:type="dxa"/>
            <w:vAlign w:val="bottom"/>
            <w:vMerge w:val="continue"/>
          </w:tcPr>
          <w:p>
            <w:pPr>
              <w:spacing w:after="0"/>
              <w:rPr>
                <w:sz w:val="16"/>
                <w:szCs w:val="16"/>
                <w:color w:val="auto"/>
              </w:rPr>
            </w:pPr>
          </w:p>
        </w:tc>
        <w:tc>
          <w:tcPr>
            <w:tcW w:w="360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91" w:lineRule="exact"/>
        <w:rPr>
          <w:sz w:val="20"/>
          <w:szCs w:val="20"/>
          <w:color w:val="auto"/>
        </w:rPr>
      </w:pPr>
    </w:p>
    <w:p>
      <w:pPr>
        <w:jc w:val="both"/>
        <w:ind w:left="340" w:hanging="332"/>
        <w:spacing w:after="0" w:line="285" w:lineRule="auto"/>
        <w:tabs>
          <w:tab w:leader="none" w:pos="430" w:val="left"/>
        </w:tabs>
        <w:numPr>
          <w:ilvl w:val="0"/>
          <w:numId w:val="45"/>
        </w:numPr>
        <w:rPr>
          <w:rFonts w:ascii="Arial" w:cs="Arial" w:eastAsia="Arial" w:hAnsi="Arial"/>
          <w:sz w:val="14"/>
          <w:szCs w:val="14"/>
          <w:color w:val="auto"/>
        </w:rPr>
      </w:pPr>
      <w:r>
        <w:rPr>
          <w:rFonts w:ascii="Arial" w:cs="Arial" w:eastAsia="Arial" w:hAnsi="Arial"/>
          <w:sz w:val="14"/>
          <w:szCs w:val="14"/>
          <w:color w:val="auto"/>
        </w:rPr>
        <w:t>The distribution was paid in cash or shares of our common stock at the election of stockholders, although the total amount of cash distributed to all stockholders was limited to approximately 50% of the total distribution to be paid to all stockholders. As a result of stockholder elections, the distribution consisted of 2,860,903 shares of common stock issued in lieu of cash, or approximately 14.8% of our outstanding shares prior to the distribution, as well as cash of $26,358,885. The number of shares of common stock comprising the stock portion was calculated based on a price of $9.425 per share, which equaled the average of the volume weighted-average trading price per share of our common stock on December 28, 29 and 30, 2015. None of the $2.76 per share distribution represented a return of capital.</w:t>
      </w:r>
    </w:p>
    <w:p>
      <w:pPr>
        <w:spacing w:after="0" w:line="3" w:lineRule="exact"/>
        <w:rPr>
          <w:rFonts w:ascii="Arial" w:cs="Arial" w:eastAsia="Arial" w:hAnsi="Arial"/>
          <w:sz w:val="14"/>
          <w:szCs w:val="14"/>
          <w:color w:val="auto"/>
        </w:rPr>
      </w:pPr>
    </w:p>
    <w:p>
      <w:pPr>
        <w:ind w:left="360" w:hanging="352"/>
        <w:spacing w:after="0"/>
        <w:tabs>
          <w:tab w:leader="none" w:pos="360" w:val="left"/>
        </w:tabs>
        <w:numPr>
          <w:ilvl w:val="0"/>
          <w:numId w:val="45"/>
        </w:numPr>
        <w:rPr>
          <w:rFonts w:ascii="Arial" w:cs="Arial" w:eastAsia="Arial" w:hAnsi="Arial"/>
          <w:sz w:val="15"/>
          <w:szCs w:val="15"/>
          <w:color w:val="auto"/>
        </w:rPr>
      </w:pPr>
      <w:r>
        <w:rPr>
          <w:rFonts w:ascii="Arial" w:cs="Arial" w:eastAsia="Arial" w:hAnsi="Arial"/>
          <w:sz w:val="15"/>
          <w:szCs w:val="15"/>
          <w:color w:val="auto"/>
        </w:rPr>
        <w:t>Of the total distribution of $887,240 on August 24, 2016, $820,753 represented a distribution from realized gains, and $66,487 represented a return of capital.</w:t>
      </w:r>
    </w:p>
    <w:p>
      <w:pPr>
        <w:spacing w:after="0" w:line="16" w:lineRule="exact"/>
        <w:rPr>
          <w:rFonts w:ascii="Arial" w:cs="Arial" w:eastAsia="Arial" w:hAnsi="Arial"/>
          <w:sz w:val="15"/>
          <w:szCs w:val="15"/>
          <w:color w:val="auto"/>
        </w:rPr>
      </w:pPr>
    </w:p>
    <w:p>
      <w:pPr>
        <w:ind w:left="360" w:hanging="352"/>
        <w:spacing w:after="0"/>
        <w:tabs>
          <w:tab w:leader="none" w:pos="360" w:val="left"/>
        </w:tabs>
        <w:numPr>
          <w:ilvl w:val="0"/>
          <w:numId w:val="45"/>
        </w:numPr>
        <w:rPr>
          <w:rFonts w:ascii="Arial" w:cs="Arial" w:eastAsia="Arial" w:hAnsi="Arial"/>
          <w:sz w:val="15"/>
          <w:szCs w:val="15"/>
          <w:color w:val="auto"/>
        </w:rPr>
      </w:pPr>
      <w:r>
        <w:rPr>
          <w:rFonts w:ascii="Arial" w:cs="Arial" w:eastAsia="Arial" w:hAnsi="Arial"/>
          <w:sz w:val="15"/>
          <w:szCs w:val="15"/>
          <w:color w:val="auto"/>
        </w:rPr>
        <w:t>All of the $3,512,849 distribution paid on December 12, 2019 represented a distribution from realized gains. None of the distribution represented a return of capital.</w:t>
      </w:r>
    </w:p>
    <w:p>
      <w:pPr>
        <w:spacing w:after="0" w:line="16" w:lineRule="exact"/>
        <w:rPr>
          <w:rFonts w:ascii="Arial" w:cs="Arial" w:eastAsia="Arial" w:hAnsi="Arial"/>
          <w:sz w:val="15"/>
          <w:szCs w:val="15"/>
          <w:color w:val="auto"/>
        </w:rPr>
      </w:pPr>
    </w:p>
    <w:p>
      <w:pPr>
        <w:ind w:left="240" w:hanging="232"/>
        <w:spacing w:after="0"/>
        <w:tabs>
          <w:tab w:leader="none" w:pos="240" w:val="left"/>
        </w:tabs>
        <w:numPr>
          <w:ilvl w:val="0"/>
          <w:numId w:val="45"/>
        </w:numPr>
        <w:rPr>
          <w:rFonts w:ascii="Arial" w:cs="Arial" w:eastAsia="Arial" w:hAnsi="Arial"/>
          <w:sz w:val="15"/>
          <w:szCs w:val="15"/>
          <w:color w:val="auto"/>
        </w:rPr>
      </w:pPr>
      <w:r>
        <w:rPr>
          <w:rFonts w:ascii="Arial" w:cs="Arial" w:eastAsia="Arial" w:hAnsi="Arial"/>
          <w:sz w:val="15"/>
          <w:szCs w:val="15"/>
          <w:color w:val="auto"/>
        </w:rPr>
        <w:t>All of the $2,107,709 distribution paid on January 15, 2020 represented a distribution from realized gains. None of the distribution represented a return of capital.</w:t>
      </w:r>
    </w:p>
    <w:p>
      <w:pPr>
        <w:spacing w:after="0" w:line="3" w:lineRule="exact"/>
        <w:rPr>
          <w:rFonts w:ascii="Arial" w:cs="Arial" w:eastAsia="Arial" w:hAnsi="Arial"/>
          <w:sz w:val="15"/>
          <w:szCs w:val="15"/>
          <w:color w:val="auto"/>
        </w:rPr>
      </w:pPr>
    </w:p>
    <w:p>
      <w:pPr>
        <w:ind w:left="240" w:hanging="232"/>
        <w:spacing w:after="0"/>
        <w:tabs>
          <w:tab w:leader="none" w:pos="240" w:val="left"/>
        </w:tabs>
        <w:numPr>
          <w:ilvl w:val="0"/>
          <w:numId w:val="45"/>
        </w:numPr>
        <w:rPr>
          <w:rFonts w:ascii="Arial" w:cs="Arial" w:eastAsia="Arial" w:hAnsi="Arial"/>
          <w:sz w:val="15"/>
          <w:szCs w:val="15"/>
          <w:color w:val="auto"/>
        </w:rPr>
      </w:pPr>
      <w:r>
        <w:rPr>
          <w:rFonts w:ascii="Arial" w:cs="Arial" w:eastAsia="Arial" w:hAnsi="Arial"/>
          <w:sz w:val="15"/>
          <w:szCs w:val="15"/>
          <w:color w:val="auto"/>
        </w:rPr>
        <w:t>All of the $2,516,452 distribution paid on August 25, 2020 represented a distribution from realized gains. None of the distribution represented a return of capital.</w:t>
      </w:r>
    </w:p>
    <w:p>
      <w:pPr>
        <w:spacing w:after="0" w:line="3" w:lineRule="exact"/>
        <w:rPr>
          <w:rFonts w:ascii="Arial" w:cs="Arial" w:eastAsia="Arial" w:hAnsi="Arial"/>
          <w:sz w:val="15"/>
          <w:szCs w:val="15"/>
          <w:color w:val="auto"/>
        </w:rPr>
      </w:pPr>
    </w:p>
    <w:p>
      <w:pPr>
        <w:ind w:left="240" w:hanging="232"/>
        <w:spacing w:after="0"/>
        <w:tabs>
          <w:tab w:leader="none" w:pos="240" w:val="left"/>
        </w:tabs>
        <w:numPr>
          <w:ilvl w:val="0"/>
          <w:numId w:val="45"/>
        </w:numPr>
        <w:rPr>
          <w:rFonts w:ascii="Arial" w:cs="Arial" w:eastAsia="Arial" w:hAnsi="Arial"/>
          <w:sz w:val="15"/>
          <w:szCs w:val="15"/>
          <w:color w:val="auto"/>
        </w:rPr>
      </w:pPr>
      <w:r>
        <w:rPr>
          <w:rFonts w:ascii="Arial" w:cs="Arial" w:eastAsia="Arial" w:hAnsi="Arial"/>
          <w:sz w:val="15"/>
          <w:szCs w:val="15"/>
          <w:color w:val="auto"/>
        </w:rPr>
        <w:t>All of the $5,071,326 distribution paid on October 20, 2020 represented a distribution from realized gains. None of the distribution represented a return of capital.</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240"/>
          </w:cols>
          <w:pgMar w:left="320" w:top="122" w:right="339" w:bottom="1440" w:gutter="0" w:footer="0" w:header="0"/>
        </w:sectPr>
      </w:pPr>
    </w:p>
    <w:bookmarkStart w:id="69" w:name="page70"/>
    <w:bookmarkEnd w:id="69"/>
    <w:p>
      <w:pPr>
        <w:spacing w:after="0"/>
        <w:rPr>
          <w:rFonts w:ascii="Arial" w:cs="Arial" w:eastAsia="Arial" w:hAnsi="Arial"/>
          <w:sz w:val="14"/>
          <w:szCs w:val="14"/>
          <w:color w:val="0000FF"/>
        </w:rPr>
      </w:pPr>
      <w:hyperlink w:anchor="page1">
        <w:r>
          <w:rPr>
            <w:rFonts w:ascii="Arial" w:cs="Arial" w:eastAsia="Arial" w:hAnsi="Arial"/>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240" w:hanging="232"/>
        <w:spacing w:after="0"/>
        <w:tabs>
          <w:tab w:leader="none" w:pos="240" w:val="left"/>
        </w:tabs>
        <w:numPr>
          <w:ilvl w:val="0"/>
          <w:numId w:val="46"/>
        </w:numPr>
        <w:rPr>
          <w:rFonts w:ascii="Arial" w:cs="Arial" w:eastAsia="Arial" w:hAnsi="Arial"/>
          <w:sz w:val="15"/>
          <w:szCs w:val="15"/>
          <w:color w:val="auto"/>
        </w:rPr>
      </w:pPr>
      <w:r>
        <w:rPr>
          <w:rFonts w:ascii="Arial" w:cs="Arial" w:eastAsia="Arial" w:hAnsi="Arial"/>
          <w:sz w:val="15"/>
          <w:szCs w:val="15"/>
          <w:color w:val="auto"/>
        </w:rPr>
        <w:t>All of the $4,978,504 distribution paid on November 30, 2020 represented a distribution from realized gains. None of the distribution represented a return of capital.</w:t>
      </w:r>
    </w:p>
    <w:p>
      <w:pPr>
        <w:spacing w:after="0" w:line="17" w:lineRule="exact"/>
        <w:rPr>
          <w:rFonts w:ascii="Arial" w:cs="Arial" w:eastAsia="Arial" w:hAnsi="Arial"/>
          <w:sz w:val="15"/>
          <w:szCs w:val="15"/>
          <w:color w:val="auto"/>
        </w:rPr>
      </w:pPr>
    </w:p>
    <w:p>
      <w:pPr>
        <w:ind w:left="240" w:hanging="232"/>
        <w:spacing w:after="0"/>
        <w:tabs>
          <w:tab w:leader="none" w:pos="240" w:val="left"/>
        </w:tabs>
        <w:numPr>
          <w:ilvl w:val="0"/>
          <w:numId w:val="46"/>
        </w:numPr>
        <w:rPr>
          <w:rFonts w:ascii="Arial" w:cs="Arial" w:eastAsia="Arial" w:hAnsi="Arial"/>
          <w:sz w:val="15"/>
          <w:szCs w:val="15"/>
          <w:color w:val="auto"/>
        </w:rPr>
      </w:pPr>
      <w:r>
        <w:rPr>
          <w:rFonts w:ascii="Arial" w:cs="Arial" w:eastAsia="Arial" w:hAnsi="Arial"/>
          <w:sz w:val="15"/>
          <w:szCs w:val="15"/>
          <w:color w:val="auto"/>
        </w:rPr>
        <w:t>All of the $4,381,084 distribution paid on January 15, 2021 represented a distribution from realized gains. None of the distribution represented a return of capital.</w:t>
      </w:r>
    </w:p>
    <w:p>
      <w:pPr>
        <w:spacing w:after="0" w:line="3" w:lineRule="exact"/>
        <w:rPr>
          <w:rFonts w:ascii="Arial" w:cs="Arial" w:eastAsia="Arial" w:hAnsi="Arial"/>
          <w:sz w:val="15"/>
          <w:szCs w:val="15"/>
          <w:color w:val="auto"/>
        </w:rPr>
      </w:pPr>
    </w:p>
    <w:p>
      <w:pPr>
        <w:ind w:left="240" w:hanging="232"/>
        <w:spacing w:after="0"/>
        <w:tabs>
          <w:tab w:leader="none" w:pos="240" w:val="left"/>
        </w:tabs>
        <w:numPr>
          <w:ilvl w:val="0"/>
          <w:numId w:val="46"/>
        </w:numPr>
        <w:rPr>
          <w:rFonts w:ascii="Arial" w:cs="Arial" w:eastAsia="Arial" w:hAnsi="Arial"/>
          <w:sz w:val="15"/>
          <w:szCs w:val="15"/>
          <w:color w:val="auto"/>
        </w:rPr>
      </w:pPr>
      <w:r>
        <w:rPr>
          <w:rFonts w:ascii="Arial" w:cs="Arial" w:eastAsia="Arial" w:hAnsi="Arial"/>
          <w:sz w:val="15"/>
          <w:szCs w:val="15"/>
          <w:color w:val="auto"/>
        </w:rPr>
        <w:t>All of the $4,981,131 distribution paid on February 19, 2021 represented a distribution from realized gains. None of the distribution represented a return of capital.</w:t>
      </w:r>
    </w:p>
    <w:p>
      <w:pPr>
        <w:spacing w:after="0" w:line="3" w:lineRule="exact"/>
        <w:rPr>
          <w:rFonts w:ascii="Arial" w:cs="Arial" w:eastAsia="Arial" w:hAnsi="Arial"/>
          <w:sz w:val="15"/>
          <w:szCs w:val="15"/>
          <w:color w:val="auto"/>
        </w:rPr>
      </w:pPr>
    </w:p>
    <w:p>
      <w:pPr>
        <w:ind w:left="320" w:hanging="312"/>
        <w:spacing w:after="0"/>
        <w:tabs>
          <w:tab w:leader="none" w:pos="320" w:val="left"/>
        </w:tabs>
        <w:numPr>
          <w:ilvl w:val="0"/>
          <w:numId w:val="46"/>
        </w:numPr>
        <w:rPr>
          <w:rFonts w:ascii="Arial" w:cs="Arial" w:eastAsia="Arial" w:hAnsi="Arial"/>
          <w:sz w:val="15"/>
          <w:szCs w:val="15"/>
          <w:color w:val="auto"/>
        </w:rPr>
      </w:pPr>
      <w:r>
        <w:rPr>
          <w:rFonts w:ascii="Arial" w:cs="Arial" w:eastAsia="Arial" w:hAnsi="Arial"/>
          <w:sz w:val="15"/>
          <w:szCs w:val="15"/>
          <w:color w:val="auto"/>
        </w:rPr>
        <w:t>All of the $6,051,304 distribution paid on April 15, 2021 represented a distribution from realized gains. None of the distribution represented a return of capital.</w:t>
      </w:r>
    </w:p>
    <w:p>
      <w:pPr>
        <w:spacing w:after="0" w:line="241" w:lineRule="exact"/>
        <w:rPr>
          <w:sz w:val="20"/>
          <w:szCs w:val="20"/>
          <w:color w:val="auto"/>
        </w:rPr>
      </w:pPr>
    </w:p>
    <w:p>
      <w:pPr>
        <w:jc w:val="both"/>
        <w:ind w:firstLine="364"/>
        <w:spacing w:after="0" w:line="257" w:lineRule="auto"/>
        <w:rPr>
          <w:sz w:val="20"/>
          <w:szCs w:val="20"/>
          <w:color w:val="auto"/>
        </w:rPr>
      </w:pPr>
      <w:r>
        <w:rPr>
          <w:rFonts w:ascii="Arial" w:cs="Arial" w:eastAsia="Arial" w:hAnsi="Arial"/>
          <w:sz w:val="18"/>
          <w:szCs w:val="18"/>
          <w:color w:val="auto"/>
        </w:rPr>
        <w:t>We intend to focus on making capital gains-based investments from which we will derive primarily capital gains. As a consequence, we do not anticipate that we will pay distributions on a quarterly basis or become a predictable distributor of distributions, and we expect that our distributions, if any, will be much less consistent than the distributions of other BDCs that primarily make debt investments. If there are earnings or realized capital gains to be distributed, we intend to declare and pay a distribution at least annually. The amount of realized capital gains available for distribution to stockholders will be impacted by our tax status.</w:t>
      </w:r>
    </w:p>
    <w:p>
      <w:pPr>
        <w:spacing w:after="0" w:line="215" w:lineRule="exact"/>
        <w:rPr>
          <w:sz w:val="20"/>
          <w:szCs w:val="20"/>
          <w:color w:val="auto"/>
        </w:rPr>
      </w:pPr>
    </w:p>
    <w:p>
      <w:pPr>
        <w:jc w:val="both"/>
        <w:ind w:firstLine="364"/>
        <w:spacing w:after="0" w:line="269" w:lineRule="auto"/>
        <w:rPr>
          <w:sz w:val="20"/>
          <w:szCs w:val="20"/>
          <w:color w:val="auto"/>
        </w:rPr>
      </w:pPr>
      <w:r>
        <w:rPr>
          <w:rFonts w:ascii="Arial" w:cs="Arial" w:eastAsia="Arial" w:hAnsi="Arial"/>
          <w:sz w:val="17"/>
          <w:szCs w:val="17"/>
          <w:color w:val="auto"/>
        </w:rPr>
        <w:t>Our current intention is to make any future distributions out of assets legally available therefrom in the form of additional shares of our common stock under our dividend reinvestment plan, except in the case of stockholders who elect to receive dividends and/or long-term capital gains distributions in cash. Under the dividend reinvestment plan, if a stockholder owns shares of common stock registered in its own name, the stockholder will have all cash distributions (net of any applicable withholding) automatically reinvested in additional shares of common stock unless the stockholder opts out of our dividend reinvestment plan by delivering a written notice to our dividend paying agent prior to the record date of the next dividend or distribution. Any distributions reinvested under the plan will nevertheless be treated as received by the U.S. stockholder for U.S. federal income tax purposes, although no cash distribution has been made. As a result, if a stockholder does not elect to opt out of the dividend reinvestment plan, it will be required to pay applicable federal, state and local taxes on any reinvested dividends even though such stockholder will not receive a corresponding cash distribution. Stockholders that hold shares in the name of a broker or financial intermediary should contact the broker or financial intermediary regarding any election to receive distributions in cash.</w:t>
      </w:r>
    </w:p>
    <w:p>
      <w:pPr>
        <w:spacing w:after="0" w:line="212" w:lineRule="exact"/>
        <w:rPr>
          <w:sz w:val="20"/>
          <w:szCs w:val="20"/>
          <w:color w:val="auto"/>
        </w:rPr>
      </w:pPr>
    </w:p>
    <w:p>
      <w:pPr>
        <w:jc w:val="both"/>
        <w:ind w:firstLine="364"/>
        <w:spacing w:after="0" w:line="291" w:lineRule="auto"/>
        <w:rPr>
          <w:sz w:val="20"/>
          <w:szCs w:val="20"/>
          <w:color w:val="auto"/>
        </w:rPr>
      </w:pPr>
      <w:r>
        <w:rPr>
          <w:rFonts w:ascii="Arial" w:cs="Arial" w:eastAsia="Arial" w:hAnsi="Arial"/>
          <w:sz w:val="16"/>
          <w:szCs w:val="16"/>
          <w:color w:val="auto"/>
        </w:rPr>
        <w:t>So long as we qualify and maintain our tax treatment as a RIC, we generally will not pay corporate-level U.S. federal and state income taxes on any ordinary income or capital gains that we distribute at least annually to our stockholders as dividends. Rather, any tax liability related to income earned by the RIC will represent obligations of our investors and will not be reflected in our consolidated financial statements. See “Note 2—Significant Accounting Policies—</w:t>
      </w:r>
      <w:r>
        <w:rPr>
          <w:rFonts w:ascii="Arial" w:cs="Arial" w:eastAsia="Arial" w:hAnsi="Arial"/>
          <w:sz w:val="16"/>
          <w:szCs w:val="16"/>
          <w:i w:val="1"/>
          <w:iCs w:val="1"/>
          <w:color w:val="auto"/>
        </w:rPr>
        <w:t>U.S. Federal and State Income Taxes</w:t>
      </w:r>
      <w:r>
        <w:rPr>
          <w:rFonts w:ascii="Arial" w:cs="Arial" w:eastAsia="Arial" w:hAnsi="Arial"/>
          <w:sz w:val="16"/>
          <w:szCs w:val="16"/>
          <w:color w:val="auto"/>
        </w:rPr>
        <w:t>” and “Note 9—Income Taxes” to our consolidated financial statements as of March 31, 2021 for more information. The Taxable Subsidiaries included in our consolidated financial statements are taxable subsidiaries, regardless of whether we are taxed as a RIC. These taxable subsidiaries are not consolidated for income tax purposes and may generate income tax expenses as a result of their ownership of the portfolio companies. Such income tax expenses and deferred taxes, if any, will be reflected in our consolidated financial statements.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56"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Critical accounting policies and practices are the policies that are both most important to the portrayal of our financial condition and results, and require management’s most difficult, subjective, or complex judgments, often as a result of the need to make estimates about the effects of matters that are inherently uncertain. These include estimates of the fair value of our Level 3 investments and other estimates that affect the reported amounts of assets and liabilities as of the date of the consolidated financial statements and the reported amounts of certain revenues and expenses during the reporting period. It is likely that changes in these estimates will occur in the near term. Our estimates are inherently subjective in nature and actual results could differ materially from such estimates. See “Note 2—Significant Accounting Policies” to our condensed consolidated financial statements as of March 31, 2021 for further detail regarding our critical accounting policies and recently issued or adopted accounting pronouncements.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Related-Party Transactions</w:t>
      </w:r>
    </w:p>
    <w:p>
      <w:pPr>
        <w:spacing w:after="0" w:line="256" w:lineRule="exact"/>
        <w:rPr>
          <w:sz w:val="20"/>
          <w:szCs w:val="20"/>
          <w:color w:val="auto"/>
        </w:rPr>
      </w:pPr>
    </w:p>
    <w:p>
      <w:pPr>
        <w:ind w:left="380"/>
        <w:spacing w:after="0"/>
        <w:rPr>
          <w:sz w:val="20"/>
          <w:szCs w:val="20"/>
          <w:color w:val="auto"/>
        </w:rPr>
      </w:pPr>
      <w:r>
        <w:rPr>
          <w:rFonts w:ascii="Arial" w:cs="Arial" w:eastAsia="Arial" w:hAnsi="Arial"/>
          <w:sz w:val="17"/>
          <w:szCs w:val="17"/>
          <w:color w:val="auto"/>
        </w:rPr>
        <w:t>See “Note 3—Related-Party Arrangements” to our condensed consolidated financial statements as of March 31, 2021 for more information.</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240"/>
          </w:cols>
          <w:pgMar w:left="320" w:top="122" w:right="339" w:bottom="1440" w:gutter="0" w:footer="0" w:header="0"/>
        </w:sectPr>
      </w:pPr>
    </w:p>
    <w:bookmarkStart w:id="70" w:name="page71"/>
    <w:bookmarkEnd w:id="70"/>
    <w:p>
      <w:pPr>
        <w:spacing w:after="0"/>
        <w:rPr>
          <w:rFonts w:ascii="Arial" w:cs="Arial" w:eastAsia="Arial" w:hAnsi="Arial"/>
          <w:sz w:val="14"/>
          <w:szCs w:val="14"/>
          <w:color w:val="0000FF"/>
        </w:rPr>
      </w:pPr>
      <w:hyperlink w:anchor="page1">
        <w:r>
          <w:rPr>
            <w:rFonts w:ascii="Arial" w:cs="Arial" w:eastAsia="Arial" w:hAnsi="Arial"/>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Risk</w:t>
      </w:r>
    </w:p>
    <w:p>
      <w:pPr>
        <w:spacing w:after="0" w:line="256" w:lineRule="exact"/>
        <w:rPr>
          <w:sz w:val="20"/>
          <w:szCs w:val="20"/>
          <w:color w:val="auto"/>
        </w:rPr>
      </w:pPr>
    </w:p>
    <w:p>
      <w:pPr>
        <w:jc w:val="both"/>
        <w:ind w:firstLine="364"/>
        <w:spacing w:after="0" w:line="275" w:lineRule="auto"/>
        <w:rPr>
          <w:sz w:val="20"/>
          <w:szCs w:val="20"/>
          <w:color w:val="auto"/>
        </w:rPr>
      </w:pPr>
      <w:r>
        <w:rPr>
          <w:rFonts w:ascii="Arial" w:cs="Arial" w:eastAsia="Arial" w:hAnsi="Arial"/>
          <w:sz w:val="17"/>
          <w:szCs w:val="17"/>
          <w:color w:val="auto"/>
        </w:rPr>
        <w:t>Our equity investments are primarily in growth companies that in many cases have short operating histories and are generally illiquid. In addition to the risk that these companies may fail to achieve their objectives, the price we may receive for these companies in private transactions may be significantly impacted by periods of disruption and instability in the capital markets. While these periods of disruption generally have little actual impact on the operating results of our equity investments, these events may significantly impact the prices that market participants will pay for our equity investments in private transactions. This may have a significant impact on the valuation of our equity investments.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Valuation Risk</w:t>
      </w:r>
    </w:p>
    <w:p>
      <w:pPr>
        <w:spacing w:after="0" w:line="256"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Our investments may not have a readily available market price, and we value these investments at fair value as determined in good faith by our Board of Directors in accordance with our valuation policy. There is no single standard for determining fair value in good faith. As a result, determining fair value requires that judgment be applied to the specific facts and circumstances of each portfolio investment while employing a consistently applied valuation process for the types of investments we make. Due to the inherent uncertainty of determining the fair value of investments that do not have a readily available market value, the fair value of our investments may fluctuate from period to period. Because of the inherent uncertainty of valuation, these estimated values may differ significantly from the values that would have been used had a ready market for the investments existed, and it is possible that the difference could be material. In addition, if we were required to liquidate a portfolio investment in a forced or liquidation sale, we may realize amounts that are different from the amounts presented and such differences could be material.</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5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are subject to financial market risks, which could include, to the extent we utilize leverage with variable rate structures, changes in interest rates. As we invest primarily in equity rather than debt instruments, we would not expect fluctuations in interest rates to directly impact the return on our portfolio investments, although any significant change in market interest rates could potentially have an adverse effect on the business, financial condition and results of operations of the portfolio companies in which we invest.</w:t>
      </w:r>
    </w:p>
    <w:p>
      <w:pPr>
        <w:spacing w:after="0" w:line="214"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As of March 31, 2021, all of our debt investments and outstanding borrowings bore fixed rates of interest.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56" w:lineRule="exact"/>
        <w:rPr>
          <w:sz w:val="20"/>
          <w:szCs w:val="20"/>
          <w:color w:val="auto"/>
        </w:rPr>
      </w:pPr>
    </w:p>
    <w:p>
      <w:pPr>
        <w:jc w:val="both"/>
        <w:ind w:firstLine="364"/>
        <w:spacing w:after="0" w:line="270" w:lineRule="auto"/>
        <w:rPr>
          <w:sz w:val="20"/>
          <w:szCs w:val="20"/>
          <w:color w:val="auto"/>
        </w:rPr>
      </w:pPr>
      <w:r>
        <w:rPr>
          <w:rFonts w:ascii="Arial" w:cs="Arial" w:eastAsia="Arial" w:hAnsi="Arial"/>
          <w:sz w:val="17"/>
          <w:szCs w:val="17"/>
          <w:color w:val="auto"/>
        </w:rPr>
        <w:t>As of March 31, 2021, our management, including our Chief Executive Officer and Chief Financial Officer, evaluated the effectiveness of the design and operation of our disclosure controls and procedures (as defined in Rules 13a-15(e) and 15d-15(e) under the Exchange Act). Based on that evaluation, the Chief Executive Officer and Chief Financial Officer concluded that our disclosure controls and procedures were effective and provided reasonable assurance that information required to be disclosed in our periodic SEC filings is recorded, processed, summarized and reported within the time periods specified by the SEC and that such information is accumulated and communicated to our management, including our Chief Executive Officer and Chief Financial Officer, as appropriate, to allow for timely decisions regarding required disclosure. However, in evaluating the disclosure controls and procedures, management recognizes that any controls and procedures, no matter how well designed and operated, can provide only reasonable assurance of achieving the desired control objectives, and management necessarily is required to apply its judgment in evaluating the cost-benefit relationship of such possible controls and procedures.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56" w:lineRule="exact"/>
        <w:rPr>
          <w:sz w:val="20"/>
          <w:szCs w:val="20"/>
          <w:color w:val="auto"/>
        </w:rPr>
      </w:pPr>
    </w:p>
    <w:p>
      <w:pPr>
        <w:jc w:val="both"/>
        <w:ind w:firstLine="364"/>
        <w:spacing w:after="0" w:line="263" w:lineRule="auto"/>
        <w:rPr>
          <w:sz w:val="20"/>
          <w:szCs w:val="20"/>
          <w:color w:val="auto"/>
        </w:rPr>
      </w:pPr>
      <w:r>
        <w:rPr>
          <w:rFonts w:ascii="Arial" w:cs="Arial" w:eastAsia="Arial" w:hAnsi="Arial"/>
          <w:sz w:val="18"/>
          <w:szCs w:val="18"/>
          <w:color w:val="auto"/>
        </w:rPr>
        <w:t>There have been no changes in our internal control over financial reporting (as defined in Rules 13a-15(f) and 15d-15(f) under the Exchange Act) that occurred during the fiscal quarter ended March 31, 2021 that have materially affected, or are reasonably likely to materially affect, our internal control over financial reporting.</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69</w:t>
      </w:r>
    </w:p>
    <w:p>
      <w:pPr>
        <w:sectPr>
          <w:pgSz w:w="11900" w:h="16838" w:orient="portrait"/>
          <w:cols w:equalWidth="0" w:num="1">
            <w:col w:w="11240"/>
          </w:cols>
          <w:pgMar w:left="320" w:top="122" w:right="339" w:bottom="1440" w:gutter="0" w:footer="0" w:header="0"/>
          <w:type w:val="continuous"/>
        </w:sectPr>
      </w:pPr>
    </w:p>
    <w:bookmarkStart w:id="71" w:name="page72"/>
    <w:bookmarkEnd w:id="71"/>
    <w:p>
      <w:pPr>
        <w:spacing w:after="0"/>
        <w:rPr>
          <w:rFonts w:ascii="Arial" w:cs="Arial" w:eastAsia="Arial" w:hAnsi="Arial"/>
          <w:sz w:val="14"/>
          <w:szCs w:val="14"/>
          <w:color w:val="0000FF"/>
        </w:rPr>
      </w:pPr>
      <w:hyperlink w:anchor="page1">
        <w:r>
          <w:rPr>
            <w:rFonts w:ascii="Arial" w:cs="Arial" w:eastAsia="Arial" w:hAnsi="Arial"/>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56" w:lineRule="exact"/>
        <w:rPr>
          <w:sz w:val="20"/>
          <w:szCs w:val="20"/>
          <w:color w:val="auto"/>
        </w:rPr>
      </w:pPr>
    </w:p>
    <w:p>
      <w:pPr>
        <w:jc w:val="both"/>
        <w:ind w:firstLine="364"/>
        <w:spacing w:after="0"/>
        <w:rPr>
          <w:sz w:val="20"/>
          <w:szCs w:val="20"/>
          <w:color w:val="auto"/>
        </w:rPr>
      </w:pPr>
      <w:r>
        <w:rPr>
          <w:rFonts w:ascii="Arial" w:cs="Arial" w:eastAsia="Arial" w:hAnsi="Arial"/>
          <w:sz w:val="18"/>
          <w:szCs w:val="18"/>
          <w:color w:val="auto"/>
        </w:rPr>
        <w:t>We are not currently subject to any material legal proceedings, nor, to our knowledge, are any material legal proceedings threatened against us. From time to time, we may be a party to certain legal proceedings in the ordinary course of business, including proceedings relating to the enforcement of our rights under contracts with our portfolio companies. Furthermore, third parties may seek to impose liability on us in connection with the activities of our portfolio companies. Our business is also subject to extensive regulation, which may result in regulatory proceedings against us. While the outcome of any future legal or regulatory proceedings cannot be predicted with certainty, we do not expect that any such future proceedings will have a material effect upon our financial condition or results of operations.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56" w:lineRule="exact"/>
        <w:rPr>
          <w:sz w:val="20"/>
          <w:szCs w:val="20"/>
          <w:color w:val="auto"/>
        </w:rPr>
      </w:pPr>
    </w:p>
    <w:p>
      <w:pPr>
        <w:jc w:val="both"/>
        <w:ind w:firstLine="364"/>
        <w:spacing w:after="0" w:line="254" w:lineRule="auto"/>
        <w:rPr>
          <w:sz w:val="20"/>
          <w:szCs w:val="20"/>
          <w:color w:val="auto"/>
        </w:rPr>
      </w:pPr>
      <w:r>
        <w:rPr>
          <w:rFonts w:ascii="Arial" w:cs="Arial" w:eastAsia="Arial" w:hAnsi="Arial"/>
          <w:sz w:val="18"/>
          <w:szCs w:val="18"/>
          <w:color w:val="auto"/>
        </w:rPr>
        <w:t>Investing in our securities involves a number of significant risks. In addition to the other information contained in this report, you should carefully consider the factors discussed in our annual report on Form 10-K for the fiscal year ended December 31, 2020, filed with the SEC on March 12, 2021, which could materially affect our business, financial condition and/or operating results. Although the risks described below and in our annual report on Form 10-K for the fiscal year ended December 31, 2020 represent the principal risks associated with an investment in us, they are not the only risks we face. Additional risks and uncertainties not currently known to us, or that we currently deem to be immaterial, might materially and adversely affect our business, financial condition and/or operating results. Other than as described below, during the three months ended March 31, 2021, there have been no material changes to the risk factors discussed in "Item 1A. Risk Factors" of Part I of our annual report on Form 10-K for the fiscal year ended December 31, 2020.</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exposed to risks associated with changes in interest rates.</w:t>
      </w:r>
    </w:p>
    <w:p>
      <w:pPr>
        <w:spacing w:after="0" w:line="252"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Because we may borrow money to make investments, our net investment income may depend, in part, upon the difference between the rate at which we borrow funds and the rate at which we invest those funds. As a result, we can offer no assurance that a significant change in market interest rates will not have a material adverse effect on our net investment income. A reduction in the interest rates on new investments relative to interest rates on current investments could have an adverse impact on our net investment income. However, an increase in interest rates could decrease the value of any investments we hold which earn fixed interest rates and also could increase our interest expense, thereby decreasing our net income. Also, an increase in interest rates available to investors could make an investment in our common stock less attractive if we are not able to increase our distribution rate, which could reduce the value of our common stock. Further, rising interest rates could also adversely affect our performance if such increases cause our borrowing costs to rise at a rate in excess of the rate that our investments yield.</w:t>
      </w:r>
    </w:p>
    <w:p>
      <w:pPr>
        <w:spacing w:after="0" w:line="205"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In periods of rising interest rates, to the extent we borrow money subject to a floating interest rate, our cost of funds would increase, which could reduce our net investment income. Further, rising interest rates could also adversely affect our performance if we hold investments with floating interest rates, subject to specified minimum interest rates (such as a LIBOR floor), while at the same time engaging in borrowings subject to floating interest rates not subject to such minimums. In such a scenario, rising interest rates may increase our interest expense, even though our interest income from investments is not increasing in a corresponding manner as a result of such minimum interest rates.</w:t>
      </w:r>
    </w:p>
    <w:p>
      <w:pPr>
        <w:spacing w:after="0" w:line="203"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If general interest rates rise, there is a risk that the portfolio companies in which we may hold floating rate securities will be unable to pay escalating interest amounts, which could result in a default under their loan documents with us (if any). Rising interest rates could also cause portfolio companies to shift cash from other productive uses to the payment of interest, which may have a material adverse effect on their business and operations and could, over time, lead to increased defaults. In addition, rising interest rates may increase pressure on us to provide fixed rate loans to our portfolio companies, which could adversely affect our net investment income, as increases in our cost of borrowed funds would not be accompanied by increased interest income from such fixed-rate investments.</w:t>
      </w:r>
    </w:p>
    <w:p>
      <w:pPr>
        <w:spacing w:after="0" w:line="219"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On July 27, 2017, the United Kingdom’s Financial Conduct Authority (the "FCA"), which regulates LIBOR, announced that it intends to phase out LIBOR by the end of 2021. On November 30, 2020, ICE Benchmark Administration (“IBA”), the administrator of LIBOR, with the support of the United States Federal Reserve and the FCA, announced plans to consult on ceasing publication of USD LIBOR on December 31, 2021 for only the one week and two month USD LIBOR tenors, and on June 30, 2023 for all other USD LIBOR tenors, which the FCA subsequently confirmed on March 5, 2021. The United States Federal Reserve concurrently issued a statement advising banks to stop new USD LIBOR issuances by the end of 2021. Such announcements indicate that the continuation of LIBOR on the current basis cannot and will not be guaranteed after 2021. It</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240"/>
          </w:cols>
          <w:pgMar w:left="320" w:top="122" w:right="339" w:bottom="1440" w:gutter="0" w:footer="0" w:header="0"/>
        </w:sectPr>
      </w:pPr>
    </w:p>
    <w:bookmarkStart w:id="72" w:name="page73"/>
    <w:bookmarkEnd w:id="72"/>
    <w:p>
      <w:pPr>
        <w:spacing w:after="0"/>
        <w:rPr>
          <w:rFonts w:ascii="Arial" w:cs="Arial" w:eastAsia="Arial" w:hAnsi="Arial"/>
          <w:sz w:val="14"/>
          <w:szCs w:val="14"/>
          <w:color w:val="0000FF"/>
        </w:rPr>
      </w:pPr>
      <w:hyperlink w:anchor="page1">
        <w:r>
          <w:rPr>
            <w:rFonts w:ascii="Arial" w:cs="Arial" w:eastAsia="Arial" w:hAnsi="Arial"/>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appears highly likely that LIBOR will be discontinued or modified by 2021. The U.S. Federal Reserve, in conjunction with the Alternative Reference Rates Committee, a steering committee comprised of large U.S. financial institutions, is considering replacing U.S. dollar LIBOR with a new index calculated by short term repurchase agreements, backed by Treasury securities called the Secured Overnight Financing Rate (“SOFR”). The first publication of SOFR was released in April 2018. Whether or not SOFR attains market traction as a LIBOR replacement remains a question and the future of LIBOR at this time is uncertain. Although SOFR appears to be the preferred replacement rate for U.S. dollar LIBOR at this time, it is not possible to predict the effect of any such changes, any establishment of alternative reference rates or any other reforms to LIBOR that may be enacted. The elimination of LIBOR or any other changes or reforms to the determination or supervision of LIBOR could have an adverse impact on the market for or value of any LIBOR-linked securities, loans, and other financial obligations or extensions of credit held by or due to us or on our overall financial condition or results of operations. In addition, if LIBOR ceases to exist, we may need to renegotiate credit agreements extending beyond 2021 with our portfolio companies that utilize LIBOR as a factor in determining the interest rate, in order to replace LIBOR with the new standard that is established, which may have an adverse effect on our overall financial condition or results of operations. Following the replacement of LIBOR, some or all of these credit agreements may bear interest a lower interest rate, which could have an adverse impact on our results of operations. Moreover, if LIBOR ceases to exist, we may need to renegotiate certain terms of our credit facilities, if any. If we are unable to do so, amounts drawn under our credit facilities (if any) may bear interest at a higher rate, which would increase the cost of our borrowings and, in turn, affect our results of operations.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240"/>
          </w:cols>
          <w:pgMar w:left="320" w:top="122" w:right="339" w:bottom="1440" w:gutter="0" w:footer="0" w:header="0"/>
        </w:sectPr>
      </w:pPr>
    </w:p>
    <w:bookmarkStart w:id="73" w:name="page74"/>
    <w:bookmarkEnd w:id="73"/>
    <w:p>
      <w:pPr>
        <w:spacing w:after="0"/>
        <w:rPr>
          <w:rFonts w:ascii="Arial" w:cs="Arial" w:eastAsia="Arial" w:hAnsi="Arial"/>
          <w:sz w:val="14"/>
          <w:szCs w:val="14"/>
          <w:color w:val="0000FF"/>
        </w:rPr>
      </w:pPr>
      <w:hyperlink w:anchor="page1">
        <w:r>
          <w:rPr>
            <w:rFonts w:ascii="Arial" w:cs="Arial" w:eastAsia="Arial" w:hAnsi="Arial"/>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of Unregistered Equity Securities</w:t>
      </w:r>
    </w:p>
    <w:p>
      <w:pPr>
        <w:spacing w:after="0" w:line="238" w:lineRule="exact"/>
        <w:rPr>
          <w:sz w:val="20"/>
          <w:szCs w:val="20"/>
          <w:color w:val="auto"/>
        </w:rPr>
      </w:pPr>
    </w:p>
    <w:p>
      <w:pPr>
        <w:ind w:left="380"/>
        <w:spacing w:after="0"/>
        <w:rPr>
          <w:sz w:val="20"/>
          <w:szCs w:val="20"/>
          <w:color w:val="auto"/>
        </w:rPr>
      </w:pPr>
      <w:r>
        <w:rPr>
          <w:rFonts w:ascii="Arial" w:cs="Arial" w:eastAsia="Arial" w:hAnsi="Arial"/>
          <w:sz w:val="16"/>
          <w:szCs w:val="16"/>
          <w:color w:val="auto"/>
        </w:rPr>
        <w:t>We did not sell any equity securities during the period covered in this report that were not registered under the Securities Act of 1933, as amended.</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r>
        <w:rPr>
          <w:rFonts w:ascii="Arial" w:cs="Arial" w:eastAsia="Arial" w:hAnsi="Arial"/>
          <w:sz w:val="23"/>
          <w:szCs w:val="23"/>
          <w:b w:val="1"/>
          <w:bCs w:val="1"/>
          <w:color w:val="auto"/>
          <w:vertAlign w:val="superscript"/>
        </w:rPr>
        <w:t>(1)</w:t>
      </w:r>
    </w:p>
    <w:p>
      <w:pPr>
        <w:spacing w:after="0" w:line="20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Information relating to the Company’s purchases of its common stock during the three months ended March 31, 2021 is as follows:</w:t>
      </w:r>
    </w:p>
    <w:p>
      <w:pPr>
        <w:spacing w:after="0" w:line="11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20" w:type="dxa"/>
            <w:vAlign w:val="bottom"/>
            <w:gridSpan w:val="3"/>
            <w:vMerge w:val="restart"/>
          </w:tcPr>
          <w:p>
            <w:pPr>
              <w:jc w:val="center"/>
              <w:ind w:right="210"/>
              <w:spacing w:after="0"/>
              <w:rPr>
                <w:sz w:val="20"/>
                <w:szCs w:val="20"/>
                <w:color w:val="auto"/>
              </w:rPr>
            </w:pPr>
            <w:r>
              <w:rPr>
                <w:rFonts w:ascii="Arial" w:cs="Arial" w:eastAsia="Arial" w:hAnsi="Arial"/>
                <w:sz w:val="14"/>
                <w:szCs w:val="14"/>
                <w:b w:val="1"/>
                <w:bCs w:val="1"/>
                <w:color w:val="auto"/>
                <w:w w:val="95"/>
              </w:rPr>
              <w:t>Total Number</w:t>
            </w:r>
          </w:p>
        </w:tc>
        <w:tc>
          <w:tcPr>
            <w:tcW w:w="1380" w:type="dxa"/>
            <w:vAlign w:val="bottom"/>
          </w:tcPr>
          <w:p>
            <w:pPr>
              <w:jc w:val="center"/>
              <w:ind w:right="103"/>
              <w:spacing w:after="0"/>
              <w:rPr>
                <w:sz w:val="20"/>
                <w:szCs w:val="20"/>
                <w:color w:val="auto"/>
              </w:rPr>
            </w:pPr>
            <w:r>
              <w:rPr>
                <w:rFonts w:ascii="Arial" w:cs="Arial" w:eastAsia="Arial" w:hAnsi="Arial"/>
                <w:sz w:val="14"/>
                <w:szCs w:val="14"/>
                <w:b w:val="1"/>
                <w:bCs w:val="1"/>
                <w:color w:val="auto"/>
                <w:w w:val="93"/>
              </w:rPr>
              <w:t>Approximate</w:t>
            </w:r>
          </w:p>
        </w:tc>
        <w:tc>
          <w:tcPr>
            <w:tcW w:w="0" w:type="dxa"/>
            <w:vAlign w:val="bottom"/>
          </w:tcPr>
          <w:p>
            <w:pPr>
              <w:spacing w:after="0"/>
              <w:rPr>
                <w:sz w:val="1"/>
                <w:szCs w:val="1"/>
                <w:color w:val="auto"/>
              </w:rPr>
            </w:pPr>
          </w:p>
        </w:tc>
      </w:tr>
      <w:tr>
        <w:trPr>
          <w:trHeight w:val="135"/>
        </w:trPr>
        <w:tc>
          <w:tcPr>
            <w:tcW w:w="4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920" w:type="dxa"/>
            <w:vAlign w:val="bottom"/>
            <w:gridSpan w:val="3"/>
            <w:vMerge w:val="continue"/>
          </w:tcPr>
          <w:p>
            <w:pPr>
              <w:spacing w:after="0"/>
              <w:rPr>
                <w:sz w:val="11"/>
                <w:szCs w:val="11"/>
                <w:color w:val="auto"/>
              </w:rPr>
            </w:pPr>
          </w:p>
        </w:tc>
        <w:tc>
          <w:tcPr>
            <w:tcW w:w="1380" w:type="dxa"/>
            <w:vAlign w:val="bottom"/>
          </w:tcPr>
          <w:p>
            <w:pPr>
              <w:jc w:val="center"/>
              <w:ind w:right="103"/>
              <w:spacing w:after="0" w:line="135" w:lineRule="exact"/>
              <w:rPr>
                <w:sz w:val="20"/>
                <w:szCs w:val="20"/>
                <w:color w:val="auto"/>
              </w:rPr>
            </w:pPr>
            <w:r>
              <w:rPr>
                <w:rFonts w:ascii="Arial" w:cs="Arial" w:eastAsia="Arial" w:hAnsi="Arial"/>
                <w:sz w:val="14"/>
                <w:szCs w:val="14"/>
                <w:b w:val="1"/>
                <w:bCs w:val="1"/>
                <w:color w:val="auto"/>
                <w:w w:val="93"/>
              </w:rPr>
              <w:t>Dollar Value of</w:t>
            </w:r>
          </w:p>
        </w:tc>
        <w:tc>
          <w:tcPr>
            <w:tcW w:w="0" w:type="dxa"/>
            <w:vAlign w:val="bottom"/>
          </w:tcPr>
          <w:p>
            <w:pPr>
              <w:spacing w:after="0"/>
              <w:rPr>
                <w:sz w:val="1"/>
                <w:szCs w:val="1"/>
                <w:color w:val="auto"/>
              </w:rPr>
            </w:pPr>
          </w:p>
        </w:tc>
      </w:tr>
      <w:tr>
        <w:trPr>
          <w:trHeight w:val="135"/>
        </w:trPr>
        <w:tc>
          <w:tcPr>
            <w:tcW w:w="4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900" w:type="dxa"/>
            <w:vAlign w:val="bottom"/>
            <w:gridSpan w:val="3"/>
            <w:vMerge w:val="restart"/>
          </w:tcPr>
          <w:p>
            <w:pPr>
              <w:jc w:val="center"/>
              <w:ind w:right="310"/>
              <w:spacing w:after="0"/>
              <w:rPr>
                <w:sz w:val="20"/>
                <w:szCs w:val="20"/>
                <w:color w:val="auto"/>
              </w:rPr>
            </w:pPr>
            <w:r>
              <w:rPr>
                <w:rFonts w:ascii="Arial" w:cs="Arial" w:eastAsia="Arial" w:hAnsi="Arial"/>
                <w:sz w:val="14"/>
                <w:szCs w:val="14"/>
                <w:b w:val="1"/>
                <w:bCs w:val="1"/>
                <w:color w:val="auto"/>
                <w:w w:val="89"/>
              </w:rPr>
              <w:t>Total</w:t>
            </w:r>
          </w:p>
        </w:tc>
        <w:tc>
          <w:tcPr>
            <w:tcW w:w="1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920" w:type="dxa"/>
            <w:vAlign w:val="bottom"/>
            <w:gridSpan w:val="3"/>
          </w:tcPr>
          <w:p>
            <w:pPr>
              <w:jc w:val="center"/>
              <w:ind w:right="210"/>
              <w:spacing w:after="0" w:line="135" w:lineRule="exact"/>
              <w:rPr>
                <w:sz w:val="20"/>
                <w:szCs w:val="20"/>
                <w:color w:val="auto"/>
              </w:rPr>
            </w:pPr>
            <w:r>
              <w:rPr>
                <w:rFonts w:ascii="Arial" w:cs="Arial" w:eastAsia="Arial" w:hAnsi="Arial"/>
                <w:sz w:val="14"/>
                <w:szCs w:val="14"/>
                <w:b w:val="1"/>
                <w:bCs w:val="1"/>
                <w:color w:val="auto"/>
                <w:w w:val="90"/>
              </w:rPr>
              <w:t>of Shares</w:t>
            </w:r>
          </w:p>
        </w:tc>
        <w:tc>
          <w:tcPr>
            <w:tcW w:w="1380" w:type="dxa"/>
            <w:vAlign w:val="bottom"/>
          </w:tcPr>
          <w:p>
            <w:pPr>
              <w:jc w:val="center"/>
              <w:ind w:right="103"/>
              <w:spacing w:after="0" w:line="135" w:lineRule="exact"/>
              <w:rPr>
                <w:sz w:val="20"/>
                <w:szCs w:val="20"/>
                <w:color w:val="auto"/>
              </w:rPr>
            </w:pPr>
            <w:r>
              <w:rPr>
                <w:rFonts w:ascii="Arial" w:cs="Arial" w:eastAsia="Arial" w:hAnsi="Arial"/>
                <w:sz w:val="14"/>
                <w:szCs w:val="14"/>
                <w:b w:val="1"/>
                <w:bCs w:val="1"/>
                <w:color w:val="auto"/>
                <w:w w:val="93"/>
              </w:rPr>
              <w:t>Shares that May</w:t>
            </w:r>
          </w:p>
        </w:tc>
        <w:tc>
          <w:tcPr>
            <w:tcW w:w="0" w:type="dxa"/>
            <w:vAlign w:val="bottom"/>
          </w:tcPr>
          <w:p>
            <w:pPr>
              <w:spacing w:after="0"/>
              <w:rPr>
                <w:sz w:val="1"/>
                <w:szCs w:val="1"/>
                <w:color w:val="auto"/>
              </w:rPr>
            </w:pPr>
          </w:p>
        </w:tc>
      </w:tr>
      <w:tr>
        <w:trPr>
          <w:trHeight w:val="135"/>
        </w:trPr>
        <w:tc>
          <w:tcPr>
            <w:tcW w:w="4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900" w:type="dxa"/>
            <w:vAlign w:val="bottom"/>
            <w:gridSpan w:val="3"/>
            <w:vMerge w:val="continue"/>
          </w:tcPr>
          <w:p>
            <w:pPr>
              <w:spacing w:after="0"/>
              <w:rPr>
                <w:sz w:val="11"/>
                <w:szCs w:val="11"/>
                <w:color w:val="auto"/>
              </w:rPr>
            </w:pPr>
          </w:p>
        </w:tc>
        <w:tc>
          <w:tcPr>
            <w:tcW w:w="138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90"/>
              </w:rPr>
              <w:t>Average</w:t>
            </w:r>
          </w:p>
        </w:tc>
        <w:tc>
          <w:tcPr>
            <w:tcW w:w="1920" w:type="dxa"/>
            <w:vAlign w:val="bottom"/>
            <w:gridSpan w:val="3"/>
          </w:tcPr>
          <w:p>
            <w:pPr>
              <w:jc w:val="center"/>
              <w:ind w:right="210"/>
              <w:spacing w:after="0" w:line="135" w:lineRule="exact"/>
              <w:rPr>
                <w:sz w:val="20"/>
                <w:szCs w:val="20"/>
                <w:color w:val="auto"/>
              </w:rPr>
            </w:pPr>
            <w:r>
              <w:rPr>
                <w:rFonts w:ascii="Arial" w:cs="Arial" w:eastAsia="Arial" w:hAnsi="Arial"/>
                <w:sz w:val="14"/>
                <w:szCs w:val="14"/>
                <w:b w:val="1"/>
                <w:bCs w:val="1"/>
                <w:color w:val="auto"/>
                <w:w w:val="90"/>
              </w:rPr>
              <w:t>Purchased as</w:t>
            </w:r>
          </w:p>
        </w:tc>
        <w:tc>
          <w:tcPr>
            <w:tcW w:w="1380" w:type="dxa"/>
            <w:vAlign w:val="bottom"/>
          </w:tcPr>
          <w:p>
            <w:pPr>
              <w:jc w:val="center"/>
              <w:ind w:right="103"/>
              <w:spacing w:after="0" w:line="135" w:lineRule="exact"/>
              <w:rPr>
                <w:sz w:val="20"/>
                <w:szCs w:val="20"/>
                <w:color w:val="auto"/>
              </w:rPr>
            </w:pPr>
            <w:r>
              <w:rPr>
                <w:rFonts w:ascii="Arial" w:cs="Arial" w:eastAsia="Arial" w:hAnsi="Arial"/>
                <w:sz w:val="14"/>
                <w:szCs w:val="14"/>
                <w:b w:val="1"/>
                <w:bCs w:val="1"/>
                <w:color w:val="auto"/>
                <w:w w:val="90"/>
              </w:rPr>
              <w:t>Yet Be Purchased</w:t>
            </w:r>
          </w:p>
        </w:tc>
        <w:tc>
          <w:tcPr>
            <w:tcW w:w="0" w:type="dxa"/>
            <w:vAlign w:val="bottom"/>
          </w:tcPr>
          <w:p>
            <w:pPr>
              <w:spacing w:after="0"/>
              <w:rPr>
                <w:sz w:val="1"/>
                <w:szCs w:val="1"/>
                <w:color w:val="auto"/>
              </w:rPr>
            </w:pPr>
          </w:p>
        </w:tc>
      </w:tr>
      <w:tr>
        <w:trPr>
          <w:trHeight w:val="135"/>
        </w:trPr>
        <w:tc>
          <w:tcPr>
            <w:tcW w:w="4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900" w:type="dxa"/>
            <w:vAlign w:val="bottom"/>
            <w:gridSpan w:val="3"/>
          </w:tcPr>
          <w:p>
            <w:pPr>
              <w:jc w:val="center"/>
              <w:ind w:right="310"/>
              <w:spacing w:after="0" w:line="135" w:lineRule="exact"/>
              <w:rPr>
                <w:sz w:val="20"/>
                <w:szCs w:val="20"/>
                <w:color w:val="auto"/>
              </w:rPr>
            </w:pPr>
            <w:r>
              <w:rPr>
                <w:rFonts w:ascii="Arial" w:cs="Arial" w:eastAsia="Arial" w:hAnsi="Arial"/>
                <w:sz w:val="14"/>
                <w:szCs w:val="14"/>
                <w:b w:val="1"/>
                <w:bCs w:val="1"/>
                <w:color w:val="auto"/>
                <w:w w:val="94"/>
              </w:rPr>
              <w:t>Number of</w:t>
            </w:r>
          </w:p>
        </w:tc>
        <w:tc>
          <w:tcPr>
            <w:tcW w:w="1380" w:type="dxa"/>
            <w:vAlign w:val="bottom"/>
            <w:gridSpan w:val="2"/>
            <w:vMerge w:val="continue"/>
          </w:tcPr>
          <w:p>
            <w:pPr>
              <w:spacing w:after="0"/>
              <w:rPr>
                <w:sz w:val="11"/>
                <w:szCs w:val="11"/>
                <w:color w:val="auto"/>
              </w:rPr>
            </w:pPr>
          </w:p>
        </w:tc>
        <w:tc>
          <w:tcPr>
            <w:tcW w:w="1920" w:type="dxa"/>
            <w:vAlign w:val="bottom"/>
            <w:gridSpan w:val="3"/>
          </w:tcPr>
          <w:p>
            <w:pPr>
              <w:jc w:val="center"/>
              <w:ind w:right="210"/>
              <w:spacing w:after="0" w:line="135" w:lineRule="exact"/>
              <w:rPr>
                <w:sz w:val="20"/>
                <w:szCs w:val="20"/>
                <w:color w:val="auto"/>
              </w:rPr>
            </w:pPr>
            <w:r>
              <w:rPr>
                <w:rFonts w:ascii="Arial" w:cs="Arial" w:eastAsia="Arial" w:hAnsi="Arial"/>
                <w:sz w:val="14"/>
                <w:szCs w:val="14"/>
                <w:b w:val="1"/>
                <w:bCs w:val="1"/>
                <w:color w:val="auto"/>
                <w:w w:val="96"/>
              </w:rPr>
              <w:t>Part of Publicly</w:t>
            </w:r>
          </w:p>
        </w:tc>
        <w:tc>
          <w:tcPr>
            <w:tcW w:w="1380" w:type="dxa"/>
            <w:vAlign w:val="bottom"/>
          </w:tcPr>
          <w:p>
            <w:pPr>
              <w:jc w:val="center"/>
              <w:ind w:right="103"/>
              <w:spacing w:after="0" w:line="135" w:lineRule="exact"/>
              <w:rPr>
                <w:sz w:val="20"/>
                <w:szCs w:val="20"/>
                <w:color w:val="auto"/>
              </w:rPr>
            </w:pPr>
            <w:r>
              <w:rPr>
                <w:rFonts w:ascii="Arial" w:cs="Arial" w:eastAsia="Arial" w:hAnsi="Arial"/>
                <w:sz w:val="14"/>
                <w:szCs w:val="14"/>
                <w:b w:val="1"/>
                <w:bCs w:val="1"/>
                <w:color w:val="auto"/>
                <w:w w:val="92"/>
              </w:rPr>
              <w:t>Under the Share</w:t>
            </w:r>
          </w:p>
        </w:tc>
        <w:tc>
          <w:tcPr>
            <w:tcW w:w="0" w:type="dxa"/>
            <w:vAlign w:val="bottom"/>
          </w:tcPr>
          <w:p>
            <w:pPr>
              <w:spacing w:after="0"/>
              <w:rPr>
                <w:sz w:val="1"/>
                <w:szCs w:val="1"/>
                <w:color w:val="auto"/>
              </w:rPr>
            </w:pPr>
          </w:p>
        </w:tc>
      </w:tr>
      <w:tr>
        <w:trPr>
          <w:trHeight w:val="135"/>
        </w:trPr>
        <w:tc>
          <w:tcPr>
            <w:tcW w:w="46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Period</w:t>
            </w:r>
          </w:p>
        </w:tc>
        <w:tc>
          <w:tcPr>
            <w:tcW w:w="1900" w:type="dxa"/>
            <w:vAlign w:val="bottom"/>
            <w:gridSpan w:val="3"/>
          </w:tcPr>
          <w:p>
            <w:pPr>
              <w:jc w:val="center"/>
              <w:ind w:right="310"/>
              <w:spacing w:after="0" w:line="135" w:lineRule="exact"/>
              <w:rPr>
                <w:sz w:val="20"/>
                <w:szCs w:val="20"/>
                <w:color w:val="auto"/>
              </w:rPr>
            </w:pPr>
            <w:r>
              <w:rPr>
                <w:rFonts w:ascii="Arial" w:cs="Arial" w:eastAsia="Arial" w:hAnsi="Arial"/>
                <w:sz w:val="14"/>
                <w:szCs w:val="14"/>
                <w:b w:val="1"/>
                <w:bCs w:val="1"/>
                <w:color w:val="auto"/>
                <w:w w:val="89"/>
              </w:rPr>
              <w:t>Shares</w:t>
            </w:r>
          </w:p>
        </w:tc>
        <w:tc>
          <w:tcPr>
            <w:tcW w:w="1380" w:type="dxa"/>
            <w:vAlign w:val="bottom"/>
            <w:gridSpan w:val="2"/>
          </w:tcPr>
          <w:p>
            <w:pPr>
              <w:jc w:val="center"/>
              <w:ind w:right="400"/>
              <w:spacing w:after="0" w:line="135" w:lineRule="exact"/>
              <w:rPr>
                <w:sz w:val="20"/>
                <w:szCs w:val="20"/>
                <w:color w:val="auto"/>
              </w:rPr>
            </w:pPr>
            <w:r>
              <w:rPr>
                <w:rFonts w:ascii="Arial" w:cs="Arial" w:eastAsia="Arial" w:hAnsi="Arial"/>
                <w:sz w:val="14"/>
                <w:szCs w:val="14"/>
                <w:b w:val="1"/>
                <w:bCs w:val="1"/>
                <w:color w:val="auto"/>
                <w:w w:val="91"/>
              </w:rPr>
              <w:t>Price Paid</w:t>
            </w:r>
          </w:p>
        </w:tc>
        <w:tc>
          <w:tcPr>
            <w:tcW w:w="1920" w:type="dxa"/>
            <w:vAlign w:val="bottom"/>
            <w:gridSpan w:val="3"/>
          </w:tcPr>
          <w:p>
            <w:pPr>
              <w:jc w:val="center"/>
              <w:ind w:right="210"/>
              <w:spacing w:after="0" w:line="135" w:lineRule="exact"/>
              <w:rPr>
                <w:sz w:val="20"/>
                <w:szCs w:val="20"/>
                <w:color w:val="auto"/>
              </w:rPr>
            </w:pPr>
            <w:r>
              <w:rPr>
                <w:rFonts w:ascii="Arial" w:cs="Arial" w:eastAsia="Arial" w:hAnsi="Arial"/>
                <w:sz w:val="14"/>
                <w:szCs w:val="14"/>
                <w:b w:val="1"/>
                <w:bCs w:val="1"/>
                <w:color w:val="auto"/>
                <w:w w:val="90"/>
              </w:rPr>
              <w:t>Announced</w:t>
            </w:r>
          </w:p>
        </w:tc>
        <w:tc>
          <w:tcPr>
            <w:tcW w:w="1380" w:type="dxa"/>
            <w:vAlign w:val="bottom"/>
          </w:tcPr>
          <w:p>
            <w:pPr>
              <w:jc w:val="center"/>
              <w:ind w:right="103"/>
              <w:spacing w:after="0" w:line="135" w:lineRule="exact"/>
              <w:rPr>
                <w:sz w:val="20"/>
                <w:szCs w:val="20"/>
                <w:color w:val="auto"/>
              </w:rPr>
            </w:pPr>
            <w:r>
              <w:rPr>
                <w:rFonts w:ascii="Arial" w:cs="Arial" w:eastAsia="Arial" w:hAnsi="Arial"/>
                <w:sz w:val="14"/>
                <w:szCs w:val="14"/>
                <w:b w:val="1"/>
                <w:bCs w:val="1"/>
                <w:color w:val="auto"/>
                <w:w w:val="89"/>
              </w:rPr>
              <w:t>Repurchase</w:t>
            </w:r>
          </w:p>
        </w:tc>
        <w:tc>
          <w:tcPr>
            <w:tcW w:w="0" w:type="dxa"/>
            <w:vAlign w:val="bottom"/>
          </w:tcPr>
          <w:p>
            <w:pPr>
              <w:spacing w:after="0"/>
              <w:rPr>
                <w:sz w:val="1"/>
                <w:szCs w:val="1"/>
                <w:color w:val="auto"/>
              </w:rPr>
            </w:pPr>
          </w:p>
        </w:tc>
      </w:tr>
      <w:tr>
        <w:trPr>
          <w:trHeight w:val="189"/>
        </w:trPr>
        <w:tc>
          <w:tcPr>
            <w:tcW w:w="4600" w:type="dxa"/>
            <w:vAlign w:val="bottom"/>
            <w:gridSpan w:val="2"/>
            <w:vMerge w:val="continue"/>
          </w:tcPr>
          <w:p>
            <w:pPr>
              <w:spacing w:after="0"/>
              <w:rPr>
                <w:sz w:val="16"/>
                <w:szCs w:val="16"/>
                <w:color w:val="auto"/>
              </w:rPr>
            </w:pPr>
          </w:p>
        </w:tc>
        <w:tc>
          <w:tcPr>
            <w:tcW w:w="1900" w:type="dxa"/>
            <w:vAlign w:val="bottom"/>
            <w:gridSpan w:val="3"/>
          </w:tcPr>
          <w:p>
            <w:pPr>
              <w:jc w:val="center"/>
              <w:ind w:right="310"/>
              <w:spacing w:after="0" w:line="189" w:lineRule="exact"/>
              <w:rPr>
                <w:sz w:val="20"/>
                <w:szCs w:val="20"/>
                <w:color w:val="auto"/>
              </w:rPr>
            </w:pPr>
            <w:r>
              <w:rPr>
                <w:rFonts w:ascii="Arial" w:cs="Arial" w:eastAsia="Arial" w:hAnsi="Arial"/>
                <w:sz w:val="14"/>
                <w:szCs w:val="14"/>
                <w:b w:val="1"/>
                <w:bCs w:val="1"/>
                <w:color w:val="auto"/>
                <w:w w:val="85"/>
              </w:rPr>
              <w:t>Purchased</w:t>
            </w:r>
            <w:r>
              <w:rPr>
                <w:rFonts w:ascii="Arial" w:cs="Arial" w:eastAsia="Arial" w:hAnsi="Arial"/>
                <w:sz w:val="18"/>
                <w:szCs w:val="18"/>
                <w:b w:val="1"/>
                <w:bCs w:val="1"/>
                <w:color w:val="auto"/>
                <w:w w:val="85"/>
                <w:vertAlign w:val="superscript"/>
              </w:rPr>
              <w:t>(2)</w:t>
            </w:r>
          </w:p>
        </w:tc>
        <w:tc>
          <w:tcPr>
            <w:tcW w:w="13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4"/>
              </w:rPr>
              <w:t>Per Share</w:t>
            </w:r>
          </w:p>
        </w:tc>
        <w:tc>
          <w:tcPr>
            <w:tcW w:w="1920" w:type="dxa"/>
            <w:vAlign w:val="bottom"/>
            <w:gridSpan w:val="3"/>
          </w:tcPr>
          <w:p>
            <w:pPr>
              <w:jc w:val="center"/>
              <w:ind w:right="210"/>
              <w:spacing w:after="0"/>
              <w:rPr>
                <w:sz w:val="20"/>
                <w:szCs w:val="20"/>
                <w:color w:val="auto"/>
              </w:rPr>
            </w:pPr>
            <w:r>
              <w:rPr>
                <w:rFonts w:ascii="Arial" w:cs="Arial" w:eastAsia="Arial" w:hAnsi="Arial"/>
                <w:sz w:val="14"/>
                <w:szCs w:val="14"/>
                <w:b w:val="1"/>
                <w:bCs w:val="1"/>
                <w:color w:val="auto"/>
                <w:w w:val="91"/>
              </w:rPr>
              <w:t>Plans or Programs</w:t>
            </w:r>
          </w:p>
        </w:tc>
        <w:tc>
          <w:tcPr>
            <w:tcW w:w="1380" w:type="dxa"/>
            <w:vAlign w:val="bottom"/>
          </w:tcPr>
          <w:p>
            <w:pPr>
              <w:jc w:val="center"/>
              <w:ind w:right="103"/>
              <w:spacing w:after="0"/>
              <w:rPr>
                <w:sz w:val="20"/>
                <w:szCs w:val="20"/>
                <w:color w:val="auto"/>
              </w:rPr>
            </w:pPr>
            <w:r>
              <w:rPr>
                <w:rFonts w:ascii="Arial" w:cs="Arial" w:eastAsia="Arial" w:hAnsi="Arial"/>
                <w:sz w:val="14"/>
                <w:szCs w:val="14"/>
                <w:b w:val="1"/>
                <w:bCs w:val="1"/>
                <w:color w:val="auto"/>
                <w:w w:val="97"/>
              </w:rPr>
              <w:t>Program</w:t>
            </w:r>
          </w:p>
        </w:tc>
        <w:tc>
          <w:tcPr>
            <w:tcW w:w="0" w:type="dxa"/>
            <w:vAlign w:val="bottom"/>
          </w:tcPr>
          <w:p>
            <w:pPr>
              <w:spacing w:after="0"/>
              <w:rPr>
                <w:sz w:val="1"/>
                <w:szCs w:val="1"/>
                <w:color w:val="auto"/>
              </w:rPr>
            </w:pPr>
          </w:p>
        </w:tc>
      </w:tr>
      <w:tr>
        <w:trPr>
          <w:trHeight w:val="223"/>
        </w:trPr>
        <w:tc>
          <w:tcPr>
            <w:tcW w:w="4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January 1 through January 31, 2021</w:t>
            </w:r>
          </w:p>
        </w:tc>
        <w:tc>
          <w:tcPr>
            <w:tcW w:w="10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ind w:left="138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8"/>
                <w:szCs w:val="18"/>
                <w:color w:val="auto"/>
              </w:rPr>
              <w:t>9,617,312</w:t>
            </w:r>
          </w:p>
        </w:tc>
        <w:tc>
          <w:tcPr>
            <w:tcW w:w="0" w:type="dxa"/>
            <w:vAlign w:val="bottom"/>
          </w:tcPr>
          <w:p>
            <w:pPr>
              <w:spacing w:after="0"/>
              <w:rPr>
                <w:sz w:val="1"/>
                <w:szCs w:val="1"/>
                <w:color w:val="auto"/>
              </w:rPr>
            </w:pPr>
          </w:p>
        </w:tc>
      </w:tr>
      <w:tr>
        <w:trPr>
          <w:trHeight w:val="229"/>
        </w:trPr>
        <w:tc>
          <w:tcPr>
            <w:tcW w:w="4600" w:type="dxa"/>
            <w:vAlign w:val="bottom"/>
            <w:gridSpan w:val="2"/>
          </w:tcPr>
          <w:p>
            <w:pPr>
              <w:spacing w:after="0"/>
              <w:rPr>
                <w:sz w:val="20"/>
                <w:szCs w:val="20"/>
                <w:color w:val="auto"/>
              </w:rPr>
            </w:pPr>
            <w:r>
              <w:rPr>
                <w:rFonts w:ascii="Arial" w:cs="Arial" w:eastAsia="Arial" w:hAnsi="Arial"/>
                <w:sz w:val="18"/>
                <w:szCs w:val="18"/>
                <w:color w:val="auto"/>
              </w:rPr>
              <w:t>February 1 through February 28, 2021</w:t>
            </w:r>
          </w:p>
        </w:tc>
        <w:tc>
          <w:tcPr>
            <w:tcW w:w="1900" w:type="dxa"/>
            <w:vAlign w:val="bottom"/>
            <w:gridSpan w:val="3"/>
          </w:tcPr>
          <w:p>
            <w:pPr>
              <w:jc w:val="right"/>
              <w:ind w:right="37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920" w:type="dxa"/>
            <w:vAlign w:val="bottom"/>
            <w:gridSpan w:val="3"/>
          </w:tcPr>
          <w:p>
            <w:pPr>
              <w:ind w:left="138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3"/>
              <w:spacing w:after="0"/>
              <w:rPr>
                <w:sz w:val="20"/>
                <w:szCs w:val="20"/>
                <w:color w:val="auto"/>
              </w:rPr>
            </w:pPr>
            <w:r>
              <w:rPr>
                <w:rFonts w:ascii="Arial" w:cs="Arial" w:eastAsia="Arial" w:hAnsi="Arial"/>
                <w:sz w:val="18"/>
                <w:szCs w:val="18"/>
                <w:color w:val="auto"/>
              </w:rPr>
              <w:t>9,617,312</w:t>
            </w:r>
          </w:p>
        </w:tc>
        <w:tc>
          <w:tcPr>
            <w:tcW w:w="0" w:type="dxa"/>
            <w:vAlign w:val="bottom"/>
          </w:tcPr>
          <w:p>
            <w:pPr>
              <w:spacing w:after="0"/>
              <w:rPr>
                <w:sz w:val="1"/>
                <w:szCs w:val="1"/>
                <w:color w:val="auto"/>
              </w:rPr>
            </w:pPr>
          </w:p>
        </w:tc>
      </w:tr>
      <w:tr>
        <w:trPr>
          <w:trHeight w:val="230"/>
        </w:trPr>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 1 through March 31, 2021</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16,610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11.91</w:t>
            </w:r>
          </w:p>
        </w:tc>
        <w:tc>
          <w:tcPr>
            <w:tcW w:w="100" w:type="dxa"/>
            <w:vAlign w:val="bottom"/>
            <w:shd w:val="clear" w:color="auto" w:fill="CCEEFF"/>
          </w:tcPr>
          <w:p>
            <w:pPr>
              <w:spacing w:after="0"/>
              <w:rPr>
                <w:sz w:val="19"/>
                <w:szCs w:val="19"/>
                <w:color w:val="auto"/>
              </w:rPr>
            </w:pPr>
          </w:p>
        </w:tc>
        <w:tc>
          <w:tcPr>
            <w:tcW w:w="1920" w:type="dxa"/>
            <w:vAlign w:val="bottom"/>
            <w:gridSpan w:val="3"/>
            <w:shd w:val="clear" w:color="auto" w:fill="CCEEFF"/>
          </w:tcPr>
          <w:p>
            <w:pPr>
              <w:ind w:left="138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3"/>
              <w:spacing w:after="0"/>
              <w:rPr>
                <w:sz w:val="20"/>
                <w:szCs w:val="20"/>
                <w:color w:val="auto"/>
              </w:rPr>
            </w:pPr>
            <w:r>
              <w:rPr>
                <w:rFonts w:ascii="Arial" w:cs="Arial" w:eastAsia="Arial" w:hAnsi="Arial"/>
                <w:sz w:val="18"/>
                <w:szCs w:val="18"/>
                <w:color w:val="auto"/>
              </w:rPr>
              <w:t>9,617,312</w:t>
            </w:r>
          </w:p>
        </w:tc>
        <w:tc>
          <w:tcPr>
            <w:tcW w:w="0" w:type="dxa"/>
            <w:vAlign w:val="bottom"/>
          </w:tcPr>
          <w:p>
            <w:pPr>
              <w:spacing w:after="0"/>
              <w:rPr>
                <w:sz w:val="1"/>
                <w:szCs w:val="1"/>
                <w:color w:val="auto"/>
              </w:rPr>
            </w:pPr>
          </w:p>
        </w:tc>
      </w:tr>
      <w:tr>
        <w:trPr>
          <w:trHeight w:val="223"/>
        </w:trPr>
        <w:tc>
          <w:tcPr>
            <w:tcW w:w="4600" w:type="dxa"/>
            <w:vAlign w:val="bottom"/>
            <w:gridSpan w:val="2"/>
          </w:tcPr>
          <w:p>
            <w:pPr>
              <w:spacing w:after="0"/>
              <w:rPr>
                <w:sz w:val="20"/>
                <w:szCs w:val="20"/>
                <w:color w:val="auto"/>
              </w:rPr>
            </w:pPr>
            <w:r>
              <w:rPr>
                <w:rFonts w:ascii="Arial" w:cs="Arial" w:eastAsia="Arial" w:hAnsi="Arial"/>
                <w:sz w:val="18"/>
                <w:szCs w:val="18"/>
                <w:color w:val="auto"/>
              </w:rPr>
              <w:t>Total</w:t>
            </w: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16,610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40" w:type="dxa"/>
            <w:vAlign w:val="bottom"/>
            <w:tcBorders>
              <w:top w:val="single" w:sz="8" w:color="auto"/>
              <w:bottom w:val="single" w:sz="8" w:color="auto"/>
            </w:tcBorders>
          </w:tcPr>
          <w:p>
            <w:pPr>
              <w:ind w:left="1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380"/>
        <w:spacing w:after="0"/>
        <w:rPr>
          <w:sz w:val="20"/>
          <w:szCs w:val="20"/>
          <w:color w:val="auto"/>
        </w:rPr>
      </w:pPr>
      <w:r>
        <w:rPr>
          <w:rFonts w:ascii="Arial" w:cs="Arial" w:eastAsia="Arial" w:hAnsi="Arial"/>
          <w:sz w:val="16"/>
          <w:szCs w:val="16"/>
          <w:color w:val="auto"/>
        </w:rPr>
        <w:t>During the three months ended March 31, 2021, we did not repurchase shares of our common stock pursuant to the Share Repurchase Program.</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w:t>
      </w:r>
    </w:p>
    <w:p>
      <w:pPr>
        <w:spacing w:after="0" w:line="14" w:lineRule="exact"/>
        <w:rPr>
          <w:sz w:val="20"/>
          <w:szCs w:val="20"/>
          <w:color w:val="auto"/>
        </w:rPr>
      </w:pPr>
    </w:p>
    <w:p>
      <w:pPr>
        <w:jc w:val="both"/>
        <w:ind w:left="500" w:hanging="492"/>
        <w:spacing w:after="0" w:line="264" w:lineRule="auto"/>
        <w:tabs>
          <w:tab w:leader="none" w:pos="500" w:val="left"/>
        </w:tabs>
        <w:numPr>
          <w:ilvl w:val="0"/>
          <w:numId w:val="47"/>
        </w:numPr>
        <w:rPr>
          <w:rFonts w:ascii="Arial" w:cs="Arial" w:eastAsia="Arial" w:hAnsi="Arial"/>
          <w:sz w:val="14"/>
          <w:szCs w:val="14"/>
          <w:color w:val="auto"/>
        </w:rPr>
      </w:pPr>
      <w:r>
        <w:rPr>
          <w:rFonts w:ascii="Arial" w:cs="Arial" w:eastAsia="Arial" w:hAnsi="Arial"/>
          <w:sz w:val="14"/>
          <w:szCs w:val="14"/>
          <w:color w:val="auto"/>
        </w:rPr>
        <w:t>On August 8, 2017, we announced the $5.0 million discretionary open-market Share Repurchase Program under which our Board of Directors authorized the repurchase of shares of our common stock in the open market until the earlier of (i) August 6, 2018 or (ii) the repurchase of $5.0 million in aggregate amount of our common stock. On November 7, 2017, our Board of Directors authorized an extension of, and an increase in the amount of shares of our common stock that may be repurchased under, the discretionary Share Repurchase Program until the earlier of (i) November 6, 2018 or (ii) the repurchase of $10.0 million in aggregate amount of our common stock. On May 3, 2018, the Company’s Board of Directors authorized an additional $5.0 million increase in the amount of shares of our common stock that may be repurchased under the discretionary Share Repurchase Program until the earlier of (i) November 6, 2018 or (ii) the repurchase of $15.0 million in aggregate amount of our common stock. On November 1, 2018, the Company’s Board of Directors authorized a $5.0 million increase in the amount of shares of the Company’s common stock that may be repurchased under the discretionary Share Repurchase Program until the earlier of (i) October 31, 2019 or (ii) the repurchase of $20.0 million in aggregate amount of the Company’s common stock. On August 5, 2019, our Board of Directors authorized a $5.0 million increase in the amount of shares of our common stock that may be repurchased under the discretionary Share Repurchase Program until the earlier of (i) August 4, 2020 or (ii) the repurchase of $25.0 million in aggregate amount of our common stock. On March 9, 2020, our Board of Directors authorized a $5.0 million increase in the amount of shares of our common stock that may be repurchased under the discretionary Share Repurchase Program until the earlier of (i) March 8, 2021 or (ii) the repurchase of $30.0 million in aggregate amount of our common stock. On October 28, 2020, our Board of Directors authorized a $10.0 million increase in the amount of shares of our common stock that may be repurchased under the discretionary Share Repurchase Program until the earlier of (i) October 31, 2021 or (ii) the repurchase of $40.0 million in aggregate amount of our common stock. The timing and number of shares to be repurchased will depend on a number of factors, including market conditions and alternative investment opportunities. The Share Repurchase Program may be suspended, terminated or modified at any time for any reason and does not obligate us to acquire any specific number of shares of our common stock. During the year ended December 31, 2020, the Company repurchased 1,655,848 shares of the Company’s common stock pursuant to the Share Repurchase Program. As of March 31, 2021, the dollar value of shares that remained available to be purchased by the Company under the Share Repurchase Program was approximately $9.6 million.</w:t>
      </w:r>
    </w:p>
    <w:p>
      <w:pPr>
        <w:spacing w:after="0" w:line="160" w:lineRule="exact"/>
        <w:rPr>
          <w:rFonts w:ascii="Arial" w:cs="Arial" w:eastAsia="Arial" w:hAnsi="Arial"/>
          <w:sz w:val="14"/>
          <w:szCs w:val="14"/>
          <w:color w:val="auto"/>
        </w:rPr>
      </w:pPr>
    </w:p>
    <w:p>
      <w:pPr>
        <w:ind w:left="500" w:hanging="492"/>
        <w:spacing w:after="0" w:line="257" w:lineRule="auto"/>
        <w:tabs>
          <w:tab w:leader="none" w:pos="500" w:val="left"/>
        </w:tabs>
        <w:numPr>
          <w:ilvl w:val="0"/>
          <w:numId w:val="47"/>
        </w:numPr>
        <w:rPr>
          <w:rFonts w:ascii="Arial" w:cs="Arial" w:eastAsia="Arial" w:hAnsi="Arial"/>
          <w:sz w:val="16"/>
          <w:szCs w:val="16"/>
          <w:color w:val="auto"/>
        </w:rPr>
      </w:pPr>
      <w:r>
        <w:rPr>
          <w:rFonts w:ascii="Arial" w:cs="Arial" w:eastAsia="Arial" w:hAnsi="Arial"/>
          <w:sz w:val="16"/>
          <w:szCs w:val="16"/>
          <w:color w:val="auto"/>
        </w:rPr>
        <w:t>Includes purchases of our common stock made on the open market by or on behalf of any “affiliated purchaser,” as defined in Exchange Act Rule 10b-18(a)(3), of the Company.</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240"/>
          </w:cols>
          <w:pgMar w:left="320" w:top="122" w:right="339" w:bottom="1440" w:gutter="0" w:footer="0" w:header="0"/>
        </w:sectPr>
      </w:pPr>
    </w:p>
    <w:bookmarkStart w:id="74" w:name="page75"/>
    <w:bookmarkEnd w:id="74"/>
    <w:p>
      <w:pPr>
        <w:spacing w:after="0"/>
        <w:rPr>
          <w:rFonts w:ascii="Arial" w:cs="Arial" w:eastAsia="Arial" w:hAnsi="Arial"/>
          <w:sz w:val="14"/>
          <w:szCs w:val="14"/>
          <w:color w:val="0000FF"/>
        </w:rPr>
      </w:pPr>
      <w:hyperlink w:anchor="page1">
        <w:r>
          <w:rPr>
            <w:rFonts w:ascii="Arial" w:cs="Arial" w:eastAsia="Arial" w:hAnsi="Arial"/>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0139"/>
          </w:cols>
          <w:pgMar w:left="320" w:top="122" w:right="1440" w:bottom="1440" w:gutter="0" w:footer="0" w:header="0"/>
        </w:sectPr>
      </w:pPr>
    </w:p>
    <w:bookmarkStart w:id="75" w:name="page76"/>
    <w:bookmarkEnd w:id="75"/>
    <w:p>
      <w:pPr>
        <w:spacing w:after="0"/>
        <w:rPr>
          <w:rFonts w:ascii="Arial" w:cs="Arial" w:eastAsia="Arial" w:hAnsi="Arial"/>
          <w:sz w:val="14"/>
          <w:szCs w:val="14"/>
          <w:color w:val="0000FF"/>
        </w:rPr>
      </w:pPr>
      <w:hyperlink w:anchor="page1">
        <w:r>
          <w:rPr>
            <w:rFonts w:ascii="Arial" w:cs="Arial" w:eastAsia="Arial" w:hAnsi="Arial"/>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exhibits are filed as part of this report or hereby incorporated by reference to exhibits previously filed with the SEC:</w:t>
      </w:r>
    </w:p>
    <w:p>
      <w:pPr>
        <w:spacing w:after="0" w:line="139" w:lineRule="exact"/>
        <w:rPr>
          <w:sz w:val="20"/>
          <w:szCs w:val="20"/>
          <w:color w:val="auto"/>
        </w:rPr>
      </w:pPr>
    </w:p>
    <w:p>
      <w:pPr>
        <w:ind w:left="220"/>
        <w:spacing w:after="0"/>
        <w:tabs>
          <w:tab w:leader="none" w:pos="660" w:val="left"/>
        </w:tabs>
        <w:rPr>
          <w:rFonts w:ascii="Arial" w:cs="Arial" w:eastAsia="Arial" w:hAnsi="Arial"/>
          <w:sz w:val="16"/>
          <w:szCs w:val="16"/>
          <w:u w:val="single" w:color="auto"/>
          <w:color w:val="0000FF"/>
        </w:rPr>
      </w:pPr>
      <w:r>
        <w:rPr>
          <w:rFonts w:ascii="Arial" w:cs="Arial" w:eastAsia="Arial" w:hAnsi="Arial"/>
          <w:sz w:val="18"/>
          <w:szCs w:val="18"/>
          <w:color w:val="auto"/>
        </w:rPr>
        <w:t>3.1</w:t>
      </w:r>
      <w:r>
        <w:rPr>
          <w:sz w:val="20"/>
          <w:szCs w:val="20"/>
          <w:color w:val="auto"/>
        </w:rPr>
        <w:tab/>
      </w:r>
      <w:hyperlink r:id="rId88">
        <w:r>
          <w:rPr>
            <w:rFonts w:ascii="Arial" w:cs="Arial" w:eastAsia="Arial" w:hAnsi="Arial"/>
            <w:sz w:val="16"/>
            <w:szCs w:val="16"/>
            <w:u w:val="single" w:color="auto"/>
            <w:color w:val="0000FF"/>
          </w:rPr>
          <w:t>Articles of Amendment and Restatement</w:t>
        </w:r>
      </w:hyperlink>
      <w:r>
        <w:rPr>
          <w:rFonts w:ascii="Arial" w:cs="Arial" w:eastAsia="Arial" w:hAnsi="Arial"/>
          <w:sz w:val="20"/>
          <w:szCs w:val="20"/>
          <w:color w:val="000000"/>
          <w:vertAlign w:val="superscript"/>
        </w:rPr>
        <w:t>(1)</w:t>
      </w:r>
    </w:p>
    <w:p>
      <w:pPr>
        <w:spacing w:after="0" w:line="9" w:lineRule="exact"/>
        <w:rPr>
          <w:sz w:val="20"/>
          <w:szCs w:val="20"/>
          <w:color w:val="auto"/>
        </w:rPr>
      </w:pPr>
    </w:p>
    <w:p>
      <w:pPr>
        <w:ind w:left="220"/>
        <w:spacing w:after="0"/>
        <w:tabs>
          <w:tab w:leader="none" w:pos="660" w:val="left"/>
        </w:tabs>
        <w:rPr>
          <w:rFonts w:ascii="Arial" w:cs="Arial" w:eastAsia="Arial" w:hAnsi="Arial"/>
          <w:sz w:val="16"/>
          <w:szCs w:val="16"/>
          <w:u w:val="single" w:color="auto"/>
          <w:color w:val="0000FF"/>
        </w:rPr>
      </w:pPr>
      <w:r>
        <w:rPr>
          <w:rFonts w:ascii="Arial" w:cs="Arial" w:eastAsia="Arial" w:hAnsi="Arial"/>
          <w:sz w:val="18"/>
          <w:szCs w:val="18"/>
          <w:color w:val="auto"/>
        </w:rPr>
        <w:t>3.2</w:t>
      </w:r>
      <w:r>
        <w:rPr>
          <w:sz w:val="20"/>
          <w:szCs w:val="20"/>
          <w:color w:val="auto"/>
        </w:rPr>
        <w:tab/>
      </w:r>
      <w:hyperlink r:id="rId89">
        <w:r>
          <w:rPr>
            <w:rFonts w:ascii="Arial" w:cs="Arial" w:eastAsia="Arial" w:hAnsi="Arial"/>
            <w:sz w:val="16"/>
            <w:szCs w:val="16"/>
            <w:u w:val="single" w:color="auto"/>
            <w:color w:val="0000FF"/>
          </w:rPr>
          <w:t>Articles of Amendment</w:t>
        </w:r>
      </w:hyperlink>
      <w:r>
        <w:rPr>
          <w:rFonts w:ascii="Arial" w:cs="Arial" w:eastAsia="Arial" w:hAnsi="Arial"/>
          <w:sz w:val="20"/>
          <w:szCs w:val="20"/>
          <w:color w:val="000000"/>
          <w:vertAlign w:val="superscript"/>
        </w:rPr>
        <w:t>(2)</w:t>
      </w:r>
    </w:p>
    <w:p>
      <w:pPr>
        <w:ind w:left="220"/>
        <w:spacing w:after="0"/>
        <w:tabs>
          <w:tab w:leader="none" w:pos="660" w:val="left"/>
        </w:tabs>
        <w:rPr>
          <w:rFonts w:ascii="Arial" w:cs="Arial" w:eastAsia="Arial" w:hAnsi="Arial"/>
          <w:sz w:val="16"/>
          <w:szCs w:val="16"/>
          <w:u w:val="single" w:color="auto"/>
          <w:color w:val="0000FF"/>
        </w:rPr>
      </w:pPr>
      <w:r>
        <w:rPr>
          <w:rFonts w:ascii="Arial" w:cs="Arial" w:eastAsia="Arial" w:hAnsi="Arial"/>
          <w:sz w:val="18"/>
          <w:szCs w:val="18"/>
          <w:color w:val="auto"/>
        </w:rPr>
        <w:t>3.3</w:t>
      </w:r>
      <w:r>
        <w:rPr>
          <w:sz w:val="20"/>
          <w:szCs w:val="20"/>
          <w:color w:val="auto"/>
        </w:rPr>
        <w:tab/>
      </w:r>
      <w:hyperlink r:id="rId90">
        <w:r>
          <w:rPr>
            <w:rFonts w:ascii="Arial" w:cs="Arial" w:eastAsia="Arial" w:hAnsi="Arial"/>
            <w:sz w:val="16"/>
            <w:szCs w:val="16"/>
            <w:u w:val="single" w:color="auto"/>
            <w:color w:val="0000FF"/>
          </w:rPr>
          <w:t>Articles of Amendment</w:t>
        </w:r>
      </w:hyperlink>
      <w:r>
        <w:rPr>
          <w:rFonts w:ascii="Arial" w:cs="Arial" w:eastAsia="Arial" w:hAnsi="Arial"/>
          <w:sz w:val="20"/>
          <w:szCs w:val="20"/>
          <w:color w:val="000000"/>
          <w:vertAlign w:val="superscript"/>
        </w:rPr>
        <w:t>(3)</w:t>
      </w:r>
    </w:p>
    <w:p>
      <w:pPr>
        <w:ind w:left="220"/>
        <w:spacing w:after="0"/>
        <w:tabs>
          <w:tab w:leader="none" w:pos="660" w:val="left"/>
        </w:tabs>
        <w:rPr>
          <w:rFonts w:ascii="Arial" w:cs="Arial" w:eastAsia="Arial" w:hAnsi="Arial"/>
          <w:sz w:val="16"/>
          <w:szCs w:val="16"/>
          <w:u w:val="single" w:color="auto"/>
          <w:color w:val="0000FF"/>
        </w:rPr>
      </w:pPr>
      <w:r>
        <w:rPr>
          <w:rFonts w:ascii="Arial" w:cs="Arial" w:eastAsia="Arial" w:hAnsi="Arial"/>
          <w:sz w:val="18"/>
          <w:szCs w:val="18"/>
          <w:color w:val="auto"/>
        </w:rPr>
        <w:t>3.4</w:t>
      </w:r>
      <w:r>
        <w:rPr>
          <w:sz w:val="20"/>
          <w:szCs w:val="20"/>
          <w:color w:val="auto"/>
        </w:rPr>
        <w:tab/>
      </w:r>
      <w:hyperlink r:id="rId91">
        <w:r>
          <w:rPr>
            <w:rFonts w:ascii="Arial" w:cs="Arial" w:eastAsia="Arial" w:hAnsi="Arial"/>
            <w:sz w:val="16"/>
            <w:szCs w:val="16"/>
            <w:u w:val="single" w:color="auto"/>
            <w:color w:val="0000FF"/>
          </w:rPr>
          <w:t>Articles of Amendment</w:t>
        </w:r>
      </w:hyperlink>
      <w:r>
        <w:rPr>
          <w:rFonts w:ascii="Arial" w:cs="Arial" w:eastAsia="Arial" w:hAnsi="Arial"/>
          <w:sz w:val="20"/>
          <w:szCs w:val="20"/>
          <w:color w:val="000000"/>
          <w:vertAlign w:val="superscript"/>
        </w:rPr>
        <w:t>(4)</w:t>
      </w:r>
    </w:p>
    <w:p>
      <w:pPr>
        <w:ind w:left="220"/>
        <w:spacing w:after="0"/>
        <w:tabs>
          <w:tab w:leader="none" w:pos="660" w:val="left"/>
        </w:tabs>
        <w:rPr>
          <w:rFonts w:ascii="Arial" w:cs="Arial" w:eastAsia="Arial" w:hAnsi="Arial"/>
          <w:sz w:val="15"/>
          <w:szCs w:val="15"/>
          <w:u w:val="single" w:color="auto"/>
          <w:color w:val="0000FF"/>
        </w:rPr>
      </w:pPr>
      <w:r>
        <w:rPr>
          <w:rFonts w:ascii="Arial" w:cs="Arial" w:eastAsia="Arial" w:hAnsi="Arial"/>
          <w:sz w:val="18"/>
          <w:szCs w:val="18"/>
          <w:color w:val="auto"/>
        </w:rPr>
        <w:t>3.5</w:t>
      </w:r>
      <w:r>
        <w:rPr>
          <w:sz w:val="20"/>
          <w:szCs w:val="20"/>
          <w:color w:val="auto"/>
        </w:rPr>
        <w:tab/>
      </w:r>
      <w:hyperlink r:id="rId92">
        <w:r>
          <w:rPr>
            <w:rFonts w:ascii="Arial" w:cs="Arial" w:eastAsia="Arial" w:hAnsi="Arial"/>
            <w:sz w:val="15"/>
            <w:szCs w:val="15"/>
            <w:u w:val="single" w:color="auto"/>
            <w:color w:val="0000FF"/>
          </w:rPr>
          <w:t>Second Amended and Restated Bylaws</w:t>
        </w:r>
      </w:hyperlink>
      <w:r>
        <w:rPr>
          <w:rFonts w:ascii="Arial" w:cs="Arial" w:eastAsia="Arial" w:hAnsi="Arial"/>
          <w:sz w:val="19"/>
          <w:szCs w:val="19"/>
          <w:color w:val="000000"/>
          <w:vertAlign w:val="superscript"/>
        </w:rPr>
        <w:t>(4)</w:t>
      </w:r>
    </w:p>
    <w:p>
      <w:pPr>
        <w:spacing w:after="0" w:line="22" w:lineRule="exact"/>
        <w:rPr>
          <w:sz w:val="20"/>
          <w:szCs w:val="20"/>
          <w:color w:val="auto"/>
        </w:rPr>
      </w:pPr>
    </w:p>
    <w:p>
      <w:pPr>
        <w:ind w:left="180"/>
        <w:spacing w:after="0"/>
        <w:tabs>
          <w:tab w:leader="none" w:pos="660" w:val="left"/>
        </w:tabs>
        <w:rPr>
          <w:rFonts w:ascii="Arial" w:cs="Arial" w:eastAsia="Arial" w:hAnsi="Arial"/>
          <w:sz w:val="16"/>
          <w:szCs w:val="16"/>
          <w:u w:val="single" w:color="auto"/>
          <w:color w:val="0000FF"/>
        </w:rPr>
      </w:pPr>
      <w:r>
        <w:rPr>
          <w:rFonts w:ascii="Arial" w:cs="Arial" w:eastAsia="Arial" w:hAnsi="Arial"/>
          <w:sz w:val="18"/>
          <w:szCs w:val="18"/>
          <w:color w:val="auto"/>
        </w:rPr>
        <w:t>10.1</w:t>
      </w:r>
      <w:r>
        <w:rPr>
          <w:sz w:val="20"/>
          <w:szCs w:val="20"/>
          <w:color w:val="auto"/>
        </w:rPr>
        <w:tab/>
      </w:r>
      <w:hyperlink w:anchor="page78">
        <w:r>
          <w:rPr>
            <w:rFonts w:ascii="Arial" w:cs="Arial" w:eastAsia="Arial" w:hAnsi="Arial"/>
            <w:sz w:val="16"/>
            <w:szCs w:val="16"/>
            <w:u w:val="single" w:color="auto"/>
            <w:color w:val="0000FF"/>
          </w:rPr>
          <w:t>Second Amended and Restated Employment Agreement, dated April 26, 2021, by and between SuRo Capital Corp. and Mark D. Klein*</w:t>
        </w:r>
      </w:hyperlink>
    </w:p>
    <w:p>
      <w:pPr>
        <w:spacing w:after="0" w:line="7" w:lineRule="exact"/>
        <w:rPr>
          <w:sz w:val="20"/>
          <w:szCs w:val="20"/>
          <w:color w:val="auto"/>
        </w:rPr>
      </w:pPr>
    </w:p>
    <w:p>
      <w:pPr>
        <w:ind w:left="180"/>
        <w:spacing w:after="0"/>
        <w:tabs>
          <w:tab w:leader="none" w:pos="660" w:val="left"/>
        </w:tabs>
        <w:rPr>
          <w:rFonts w:ascii="Arial" w:cs="Arial" w:eastAsia="Arial" w:hAnsi="Arial"/>
          <w:sz w:val="16"/>
          <w:szCs w:val="16"/>
          <w:u w:val="single" w:color="auto"/>
          <w:color w:val="0000FF"/>
        </w:rPr>
      </w:pPr>
      <w:r>
        <w:rPr>
          <w:rFonts w:ascii="Arial" w:cs="Arial" w:eastAsia="Arial" w:hAnsi="Arial"/>
          <w:sz w:val="18"/>
          <w:szCs w:val="18"/>
          <w:color w:val="auto"/>
        </w:rPr>
        <w:t>10.2</w:t>
      </w:r>
      <w:r>
        <w:rPr>
          <w:sz w:val="20"/>
          <w:szCs w:val="20"/>
          <w:color w:val="auto"/>
        </w:rPr>
        <w:tab/>
      </w:r>
      <w:hyperlink w:anchor="page98">
        <w:r>
          <w:rPr>
            <w:rFonts w:ascii="Arial" w:cs="Arial" w:eastAsia="Arial" w:hAnsi="Arial"/>
            <w:sz w:val="16"/>
            <w:szCs w:val="16"/>
            <w:u w:val="single" w:color="auto"/>
            <w:color w:val="0000FF"/>
          </w:rPr>
          <w:t>Second Amended and Restated Employment Agreement, dated April 26, 2021, by and between SuRo Capital Corp. and Allison Green*</w:t>
        </w:r>
      </w:hyperlink>
    </w:p>
    <w:p>
      <w:pPr>
        <w:spacing w:after="0" w:line="23" w:lineRule="exact"/>
        <w:rPr>
          <w:sz w:val="20"/>
          <w:szCs w:val="20"/>
          <w:color w:val="auto"/>
        </w:rPr>
      </w:pPr>
    </w:p>
    <w:p>
      <w:pPr>
        <w:ind w:left="180"/>
        <w:spacing w:after="0"/>
        <w:tabs>
          <w:tab w:leader="none" w:pos="660" w:val="left"/>
        </w:tabs>
        <w:rPr>
          <w:rFonts w:ascii="Arial" w:cs="Arial" w:eastAsia="Arial" w:hAnsi="Arial"/>
          <w:sz w:val="16"/>
          <w:szCs w:val="16"/>
          <w:u w:val="single" w:color="auto"/>
          <w:color w:val="0000FF"/>
        </w:rPr>
      </w:pPr>
      <w:r>
        <w:rPr>
          <w:rFonts w:ascii="Arial" w:cs="Arial" w:eastAsia="Arial" w:hAnsi="Arial"/>
          <w:sz w:val="18"/>
          <w:szCs w:val="18"/>
          <w:color w:val="auto"/>
        </w:rPr>
        <w:t>31.1</w:t>
      </w:r>
      <w:r>
        <w:rPr>
          <w:sz w:val="20"/>
          <w:szCs w:val="20"/>
          <w:color w:val="auto"/>
        </w:rPr>
        <w:tab/>
      </w:r>
      <w:hyperlink w:anchor="page118">
        <w:r>
          <w:rPr>
            <w:rFonts w:ascii="Arial" w:cs="Arial" w:eastAsia="Arial" w:hAnsi="Arial"/>
            <w:sz w:val="16"/>
            <w:szCs w:val="16"/>
            <w:u w:val="single" w:color="auto"/>
            <w:color w:val="0000FF"/>
          </w:rPr>
          <w:t>Certification of Chief Executive Officer pursuant to Rule 13a-14 of the Securities Exchange Act of 1934, as amended*</w:t>
        </w:r>
      </w:hyperlink>
    </w:p>
    <w:p>
      <w:pPr>
        <w:spacing w:after="0" w:line="23" w:lineRule="exact"/>
        <w:rPr>
          <w:sz w:val="20"/>
          <w:szCs w:val="20"/>
          <w:color w:val="auto"/>
        </w:rPr>
      </w:pPr>
    </w:p>
    <w:p>
      <w:pPr>
        <w:ind w:left="180"/>
        <w:spacing w:after="0"/>
        <w:tabs>
          <w:tab w:leader="none" w:pos="660" w:val="left"/>
        </w:tabs>
        <w:rPr>
          <w:rFonts w:ascii="Arial" w:cs="Arial" w:eastAsia="Arial" w:hAnsi="Arial"/>
          <w:sz w:val="16"/>
          <w:szCs w:val="16"/>
          <w:u w:val="single" w:color="auto"/>
          <w:color w:val="0000FF"/>
        </w:rPr>
      </w:pPr>
      <w:r>
        <w:rPr>
          <w:rFonts w:ascii="Arial" w:cs="Arial" w:eastAsia="Arial" w:hAnsi="Arial"/>
          <w:sz w:val="18"/>
          <w:szCs w:val="18"/>
          <w:color w:val="auto"/>
        </w:rPr>
        <w:t>31.2</w:t>
      </w:r>
      <w:r>
        <w:rPr>
          <w:sz w:val="20"/>
          <w:szCs w:val="20"/>
          <w:color w:val="auto"/>
        </w:rPr>
        <w:tab/>
      </w:r>
      <w:hyperlink w:anchor="page119">
        <w:r>
          <w:rPr>
            <w:rFonts w:ascii="Arial" w:cs="Arial" w:eastAsia="Arial" w:hAnsi="Arial"/>
            <w:sz w:val="16"/>
            <w:szCs w:val="16"/>
            <w:u w:val="single" w:color="auto"/>
            <w:color w:val="0000FF"/>
          </w:rPr>
          <w:t>Certification of Chief Financial Officer pursuant to Rule 13a-14 of the Securities Exchange Act of 1934, as amended*</w:t>
        </w:r>
      </w:hyperlink>
    </w:p>
    <w:p>
      <w:pPr>
        <w:spacing w:after="0" w:line="49" w:lineRule="exact"/>
        <w:rPr>
          <w:sz w:val="20"/>
          <w:szCs w:val="20"/>
          <w:color w:val="auto"/>
        </w:rPr>
      </w:pPr>
    </w:p>
    <w:p>
      <w:pPr>
        <w:ind w:left="180"/>
        <w:spacing w:after="0"/>
        <w:tabs>
          <w:tab w:leader="none" w:pos="660" w:val="left"/>
        </w:tabs>
        <w:rPr>
          <w:rFonts w:ascii="Arial" w:cs="Arial" w:eastAsia="Arial" w:hAnsi="Arial"/>
          <w:sz w:val="16"/>
          <w:szCs w:val="16"/>
          <w:u w:val="single" w:color="auto"/>
          <w:color w:val="0000FF"/>
        </w:rPr>
      </w:pPr>
      <w:r>
        <w:rPr>
          <w:rFonts w:ascii="Arial" w:cs="Arial" w:eastAsia="Arial" w:hAnsi="Arial"/>
          <w:sz w:val="18"/>
          <w:szCs w:val="18"/>
          <w:color w:val="auto"/>
        </w:rPr>
        <w:t>32.1</w:t>
      </w:r>
      <w:r>
        <w:rPr>
          <w:sz w:val="20"/>
          <w:szCs w:val="20"/>
          <w:color w:val="auto"/>
        </w:rPr>
        <w:tab/>
      </w:r>
      <w:hyperlink w:anchor="page120">
        <w:r>
          <w:rPr>
            <w:rFonts w:ascii="Arial" w:cs="Arial" w:eastAsia="Arial" w:hAnsi="Arial"/>
            <w:sz w:val="16"/>
            <w:szCs w:val="16"/>
            <w:u w:val="single" w:color="auto"/>
            <w:color w:val="0000FF"/>
          </w:rPr>
          <w:t>Certification of Chief Executive Officer pursuant to Section 906 of the Sarbanes-Oxley Act of 2002*</w:t>
        </w:r>
      </w:hyperlink>
    </w:p>
    <w:p>
      <w:pPr>
        <w:spacing w:after="0" w:line="23" w:lineRule="exact"/>
        <w:rPr>
          <w:sz w:val="20"/>
          <w:szCs w:val="20"/>
          <w:color w:val="auto"/>
        </w:rPr>
      </w:pPr>
    </w:p>
    <w:p>
      <w:pPr>
        <w:ind w:left="180"/>
        <w:spacing w:after="0"/>
        <w:tabs>
          <w:tab w:leader="none" w:pos="660" w:val="left"/>
        </w:tabs>
        <w:rPr>
          <w:rFonts w:ascii="Arial" w:cs="Arial" w:eastAsia="Arial" w:hAnsi="Arial"/>
          <w:sz w:val="16"/>
          <w:szCs w:val="16"/>
          <w:u w:val="single" w:color="auto"/>
          <w:color w:val="0000FF"/>
        </w:rPr>
      </w:pPr>
      <w:r>
        <w:rPr>
          <w:rFonts w:ascii="Arial" w:cs="Arial" w:eastAsia="Arial" w:hAnsi="Arial"/>
          <w:sz w:val="18"/>
          <w:szCs w:val="18"/>
          <w:color w:val="auto"/>
        </w:rPr>
        <w:t>32.2</w:t>
      </w:r>
      <w:r>
        <w:rPr>
          <w:sz w:val="20"/>
          <w:szCs w:val="20"/>
          <w:color w:val="auto"/>
        </w:rPr>
        <w:tab/>
      </w:r>
      <w:hyperlink w:anchor="page121">
        <w:r>
          <w:rPr>
            <w:rFonts w:ascii="Arial" w:cs="Arial" w:eastAsia="Arial" w:hAnsi="Arial"/>
            <w:sz w:val="16"/>
            <w:szCs w:val="16"/>
            <w:u w:val="single" w:color="auto"/>
            <w:color w:val="0000FF"/>
          </w:rPr>
          <w:t>Certification of Chief Financial Officer pursuant to Section 906 of the Sarbanes-Oxley Act of 2002*</w:t>
        </w:r>
      </w:hyperlink>
    </w:p>
    <w:p>
      <w:pPr>
        <w:spacing w:after="0" w:line="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__________________</w:t>
      </w:r>
    </w:p>
    <w:p>
      <w:pPr>
        <w:spacing w:after="0" w:line="23" w:lineRule="exact"/>
        <w:rPr>
          <w:sz w:val="20"/>
          <w:szCs w:val="20"/>
          <w:color w:val="auto"/>
        </w:rPr>
      </w:pPr>
    </w:p>
    <w:p>
      <w:pPr>
        <w:ind w:left="500" w:right="20" w:hanging="492"/>
        <w:spacing w:after="0" w:line="235" w:lineRule="auto"/>
        <w:tabs>
          <w:tab w:leader="none" w:pos="404" w:val="left"/>
        </w:tabs>
        <w:numPr>
          <w:ilvl w:val="0"/>
          <w:numId w:val="48"/>
        </w:numPr>
        <w:rPr>
          <w:rFonts w:ascii="Arial" w:cs="Arial" w:eastAsia="Arial" w:hAnsi="Arial"/>
          <w:sz w:val="18"/>
          <w:szCs w:val="18"/>
          <w:color w:val="auto"/>
        </w:rPr>
      </w:pPr>
      <w:r>
        <w:rPr>
          <w:rFonts w:ascii="Arial" w:cs="Arial" w:eastAsia="Arial" w:hAnsi="Arial"/>
          <w:sz w:val="18"/>
          <w:szCs w:val="18"/>
          <w:color w:val="auto"/>
        </w:rPr>
        <w:t>Previously filed in connection with Pre-Effective Amendment No. 2 to the Registrant’s Registration Statement on Form N-2 (File No. 333-171578), filed on March 30, 2011, and incorporated by reference herein.</w:t>
      </w:r>
    </w:p>
    <w:p>
      <w:pPr>
        <w:spacing w:after="0" w:line="1" w:lineRule="exact"/>
        <w:rPr>
          <w:rFonts w:ascii="Arial" w:cs="Arial" w:eastAsia="Arial" w:hAnsi="Arial"/>
          <w:sz w:val="18"/>
          <w:szCs w:val="18"/>
          <w:color w:val="auto"/>
        </w:rPr>
      </w:pPr>
    </w:p>
    <w:p>
      <w:pPr>
        <w:ind w:left="500" w:right="140" w:hanging="492"/>
        <w:spacing w:after="0" w:line="243" w:lineRule="auto"/>
        <w:tabs>
          <w:tab w:leader="none" w:pos="404" w:val="left"/>
        </w:tabs>
        <w:numPr>
          <w:ilvl w:val="0"/>
          <w:numId w:val="48"/>
        </w:numPr>
        <w:rPr>
          <w:rFonts w:ascii="Arial" w:cs="Arial" w:eastAsia="Arial" w:hAnsi="Arial"/>
          <w:sz w:val="18"/>
          <w:szCs w:val="18"/>
          <w:color w:val="auto"/>
        </w:rPr>
      </w:pPr>
      <w:r>
        <w:rPr>
          <w:rFonts w:ascii="Arial" w:cs="Arial" w:eastAsia="Arial" w:hAnsi="Arial"/>
          <w:sz w:val="18"/>
          <w:szCs w:val="18"/>
          <w:color w:val="auto"/>
        </w:rPr>
        <w:t>Previously filed in connection with the Registrant’s Current Report on Form 8-K (File No. 814-00852), filed on June 1, 2011, and incorporated by reference herein.</w:t>
      </w:r>
    </w:p>
    <w:p>
      <w:pPr>
        <w:spacing w:after="0" w:line="212" w:lineRule="exact"/>
        <w:rPr>
          <w:rFonts w:ascii="Arial" w:cs="Arial" w:eastAsia="Arial" w:hAnsi="Arial"/>
          <w:sz w:val="18"/>
          <w:szCs w:val="18"/>
          <w:color w:val="auto"/>
        </w:rPr>
      </w:pPr>
    </w:p>
    <w:p>
      <w:pPr>
        <w:ind w:left="500" w:hanging="492"/>
        <w:spacing w:after="0" w:line="261" w:lineRule="auto"/>
        <w:tabs>
          <w:tab w:leader="none" w:pos="404" w:val="left"/>
        </w:tabs>
        <w:numPr>
          <w:ilvl w:val="0"/>
          <w:numId w:val="48"/>
        </w:numPr>
        <w:rPr>
          <w:rFonts w:ascii="Arial" w:cs="Arial" w:eastAsia="Arial" w:hAnsi="Arial"/>
          <w:sz w:val="18"/>
          <w:szCs w:val="18"/>
          <w:color w:val="auto"/>
        </w:rPr>
      </w:pPr>
      <w:r>
        <w:rPr>
          <w:rFonts w:ascii="Arial" w:cs="Arial" w:eastAsia="Arial" w:hAnsi="Arial"/>
          <w:sz w:val="18"/>
          <w:szCs w:val="18"/>
          <w:color w:val="auto"/>
        </w:rPr>
        <w:t>Previously filed in connection with the Registrant’s Current Report on Form 8-K (File No. 814-00852) filed on August 1, 2019, and incorporated by reference herein.</w:t>
      </w:r>
    </w:p>
    <w:p>
      <w:pPr>
        <w:spacing w:after="0" w:line="197" w:lineRule="exact"/>
        <w:rPr>
          <w:rFonts w:ascii="Arial" w:cs="Arial" w:eastAsia="Arial" w:hAnsi="Arial"/>
          <w:sz w:val="18"/>
          <w:szCs w:val="18"/>
          <w:color w:val="auto"/>
        </w:rPr>
      </w:pPr>
    </w:p>
    <w:p>
      <w:pPr>
        <w:ind w:left="500" w:right="40" w:hanging="492"/>
        <w:spacing w:after="0" w:line="261" w:lineRule="auto"/>
        <w:tabs>
          <w:tab w:leader="none" w:pos="449" w:val="left"/>
        </w:tabs>
        <w:numPr>
          <w:ilvl w:val="0"/>
          <w:numId w:val="48"/>
        </w:numPr>
        <w:rPr>
          <w:rFonts w:ascii="Arial" w:cs="Arial" w:eastAsia="Arial" w:hAnsi="Arial"/>
          <w:sz w:val="18"/>
          <w:szCs w:val="18"/>
          <w:color w:val="auto"/>
        </w:rPr>
      </w:pPr>
      <w:r>
        <w:rPr>
          <w:rFonts w:ascii="Arial" w:cs="Arial" w:eastAsia="Arial" w:hAnsi="Arial"/>
          <w:sz w:val="18"/>
          <w:szCs w:val="18"/>
          <w:color w:val="auto"/>
        </w:rPr>
        <w:t>Previously filed in connection with the Registrant’s Current Report on Form 8-K (File No. 814-00852) filed on June 16, 2020, and incorporated by reference herein.</w:t>
      </w:r>
    </w:p>
    <w:p>
      <w:pPr>
        <w:spacing w:after="0" w:line="198" w:lineRule="exact"/>
        <w:rPr>
          <w:sz w:val="20"/>
          <w:szCs w:val="20"/>
          <w:color w:val="auto"/>
        </w:rPr>
      </w:pPr>
    </w:p>
    <w:p>
      <w:pPr>
        <w:spacing w:after="0"/>
        <w:tabs>
          <w:tab w:leader="none" w:pos="2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Filed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060"/>
          </w:cols>
          <w:pgMar w:left="320" w:top="122" w:right="519" w:bottom="1440" w:gutter="0" w:footer="0" w:header="0"/>
        </w:sectPr>
      </w:pPr>
    </w:p>
    <w:bookmarkStart w:id="76" w:name="page77"/>
    <w:bookmarkEnd w:id="76"/>
    <w:p>
      <w:pPr>
        <w:spacing w:after="0"/>
        <w:rPr>
          <w:rFonts w:ascii="Arial" w:cs="Arial" w:eastAsia="Arial" w:hAnsi="Arial"/>
          <w:sz w:val="14"/>
          <w:szCs w:val="14"/>
          <w:color w:val="0000FF"/>
        </w:rPr>
      </w:pPr>
      <w:hyperlink w:anchor="page1">
        <w:r>
          <w:rPr>
            <w:rFonts w:ascii="Arial" w:cs="Arial" w:eastAsia="Arial" w:hAnsi="Arial"/>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479"/>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85" w:lineRule="exact"/>
        <w:rPr>
          <w:sz w:val="20"/>
          <w:szCs w:val="20"/>
          <w:color w:val="auto"/>
        </w:rPr>
      </w:pPr>
    </w:p>
    <w:p>
      <w:pPr>
        <w:ind w:left="6020"/>
        <w:spacing w:after="0"/>
        <w:rPr>
          <w:sz w:val="20"/>
          <w:szCs w:val="20"/>
          <w:color w:val="auto"/>
        </w:rPr>
      </w:pPr>
      <w:r>
        <w:rPr>
          <w:rFonts w:ascii="Arial" w:cs="Arial" w:eastAsia="Arial" w:hAnsi="Arial"/>
          <w:sz w:val="18"/>
          <w:szCs w:val="18"/>
          <w:b w:val="1"/>
          <w:bCs w:val="1"/>
          <w:color w:val="auto"/>
        </w:rPr>
        <w:t>SURO CAPITAL CORP.</w:t>
      </w:r>
    </w:p>
    <w:p>
      <w:pPr>
        <w:spacing w:after="0" w:line="297" w:lineRule="exact"/>
        <w:rPr>
          <w:sz w:val="20"/>
          <w:szCs w:val="20"/>
          <w:color w:val="auto"/>
        </w:rPr>
      </w:pPr>
    </w:p>
    <w:p>
      <w:pPr>
        <w:ind w:left="60"/>
        <w:spacing w:after="0"/>
        <w:tabs>
          <w:tab w:leader="none" w:pos="700" w:val="left"/>
          <w:tab w:leader="none" w:pos="5480" w:val="left"/>
          <w:tab w:leader="none" w:pos="60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May 6,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Mark D. Klein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3811270</wp:posOffset>
            </wp:positionH>
            <wp:positionV relativeFrom="paragraph">
              <wp:posOffset>14605</wp:posOffset>
            </wp:positionV>
            <wp:extent cx="332613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3">
                      <a:extLst>
                        <a:ext uri="{28A0092B-C50C-407E-A947-70E740481C1C}"/>
                      </a:extLst>
                    </a:blip>
                    <a:srcRect/>
                    <a:stretch>
                      <a:fillRect/>
                    </a:stretch>
                  </pic:blipFill>
                  <pic:spPr bwMode="auto">
                    <a:xfrm>
                      <a:off x="0" y="0"/>
                      <a:ext cx="3326130" cy="8255"/>
                    </a:xfrm>
                    <a:prstGeom prst="rect">
                      <a:avLst/>
                    </a:prstGeom>
                    <a:noFill/>
                  </pic:spPr>
                </pic:pic>
              </a:graphicData>
            </a:graphic>
          </wp:anchor>
        </w:drawing>
      </w:r>
    </w:p>
    <w:p>
      <w:pPr>
        <w:spacing w:after="0" w:line="12" w:lineRule="exact"/>
        <w:rPr>
          <w:sz w:val="20"/>
          <w:szCs w:val="20"/>
          <w:color w:val="auto"/>
        </w:rPr>
      </w:pPr>
    </w:p>
    <w:p>
      <w:pPr>
        <w:ind w:left="6020"/>
        <w:spacing w:after="0"/>
        <w:rPr>
          <w:sz w:val="20"/>
          <w:szCs w:val="20"/>
          <w:color w:val="auto"/>
        </w:rPr>
      </w:pPr>
      <w:r>
        <w:rPr>
          <w:rFonts w:ascii="Arial" w:cs="Arial" w:eastAsia="Arial" w:hAnsi="Arial"/>
          <w:sz w:val="18"/>
          <w:szCs w:val="18"/>
          <w:b w:val="1"/>
          <w:bCs w:val="1"/>
          <w:color w:val="auto"/>
        </w:rPr>
        <w:t>Mark D. Klein</w:t>
      </w:r>
    </w:p>
    <w:p>
      <w:pPr>
        <w:spacing w:after="0" w:line="27" w:lineRule="exact"/>
        <w:rPr>
          <w:sz w:val="20"/>
          <w:szCs w:val="20"/>
          <w:color w:val="auto"/>
        </w:rPr>
      </w:pPr>
    </w:p>
    <w:p>
      <w:pPr>
        <w:ind w:left="6020"/>
        <w:spacing w:after="0"/>
        <w:rPr>
          <w:sz w:val="20"/>
          <w:szCs w:val="20"/>
          <w:color w:val="auto"/>
        </w:rPr>
      </w:pPr>
      <w:r>
        <w:rPr>
          <w:rFonts w:ascii="Arial" w:cs="Arial" w:eastAsia="Arial" w:hAnsi="Arial"/>
          <w:sz w:val="18"/>
          <w:szCs w:val="18"/>
          <w:color w:val="auto"/>
        </w:rPr>
        <w:t>Chairman, President and Chief Executive Officer</w:t>
      </w:r>
    </w:p>
    <w:p>
      <w:pPr>
        <w:spacing w:after="0" w:line="23" w:lineRule="exact"/>
        <w:rPr>
          <w:sz w:val="20"/>
          <w:szCs w:val="20"/>
          <w:color w:val="auto"/>
        </w:rPr>
      </w:pPr>
    </w:p>
    <w:p>
      <w:pPr>
        <w:ind w:left="6020"/>
        <w:spacing w:after="0"/>
        <w:rPr>
          <w:sz w:val="20"/>
          <w:szCs w:val="20"/>
          <w:color w:val="auto"/>
        </w:rPr>
      </w:pPr>
      <w:r>
        <w:rPr>
          <w:rFonts w:ascii="Arial" w:cs="Arial" w:eastAsia="Arial" w:hAnsi="Arial"/>
          <w:sz w:val="18"/>
          <w:szCs w:val="18"/>
          <w:color w:val="auto"/>
        </w:rPr>
        <w:t>(Principal Executive Officer)</w:t>
      </w:r>
    </w:p>
    <w:p>
      <w:pPr>
        <w:spacing w:after="0" w:line="292" w:lineRule="exact"/>
        <w:rPr>
          <w:sz w:val="20"/>
          <w:szCs w:val="20"/>
          <w:color w:val="auto"/>
        </w:rPr>
      </w:pPr>
    </w:p>
    <w:p>
      <w:pPr>
        <w:ind w:left="60"/>
        <w:spacing w:after="0"/>
        <w:tabs>
          <w:tab w:leader="none" w:pos="700" w:val="left"/>
          <w:tab w:leader="none" w:pos="5480" w:val="left"/>
          <w:tab w:leader="none" w:pos="60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May 6,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Allison Green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3811270</wp:posOffset>
            </wp:positionH>
            <wp:positionV relativeFrom="paragraph">
              <wp:posOffset>14605</wp:posOffset>
            </wp:positionV>
            <wp:extent cx="332613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4">
                      <a:extLst>
                        <a:ext uri="{28A0092B-C50C-407E-A947-70E740481C1C}"/>
                      </a:extLst>
                    </a:blip>
                    <a:srcRect/>
                    <a:stretch>
                      <a:fillRect/>
                    </a:stretch>
                  </pic:blipFill>
                  <pic:spPr bwMode="auto">
                    <a:xfrm>
                      <a:off x="0" y="0"/>
                      <a:ext cx="3326130" cy="8255"/>
                    </a:xfrm>
                    <a:prstGeom prst="rect">
                      <a:avLst/>
                    </a:prstGeom>
                    <a:noFill/>
                  </pic:spPr>
                </pic:pic>
              </a:graphicData>
            </a:graphic>
          </wp:anchor>
        </w:drawing>
      </w:r>
    </w:p>
    <w:p>
      <w:pPr>
        <w:spacing w:after="0" w:line="12" w:lineRule="exact"/>
        <w:rPr>
          <w:sz w:val="20"/>
          <w:szCs w:val="20"/>
          <w:color w:val="auto"/>
        </w:rPr>
      </w:pPr>
    </w:p>
    <w:p>
      <w:pPr>
        <w:ind w:left="6020"/>
        <w:spacing w:after="0"/>
        <w:rPr>
          <w:sz w:val="20"/>
          <w:szCs w:val="20"/>
          <w:color w:val="auto"/>
        </w:rPr>
      </w:pPr>
      <w:r>
        <w:rPr>
          <w:rFonts w:ascii="Arial" w:cs="Arial" w:eastAsia="Arial" w:hAnsi="Arial"/>
          <w:sz w:val="18"/>
          <w:szCs w:val="18"/>
          <w:b w:val="1"/>
          <w:bCs w:val="1"/>
          <w:color w:val="auto"/>
        </w:rPr>
        <w:t>Allison Green</w:t>
      </w:r>
    </w:p>
    <w:p>
      <w:pPr>
        <w:spacing w:after="0" w:line="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Chief Financial Officer, Chief Compliance Officer, Treasurer, and</w:t>
      </w:r>
    </w:p>
    <w:p>
      <w:pPr>
        <w:ind w:left="6020"/>
        <w:spacing w:after="0"/>
        <w:rPr>
          <w:sz w:val="20"/>
          <w:szCs w:val="20"/>
          <w:color w:val="auto"/>
        </w:rPr>
      </w:pPr>
      <w:r>
        <w:rPr>
          <w:rFonts w:ascii="Arial" w:cs="Arial" w:eastAsia="Arial" w:hAnsi="Arial"/>
          <w:sz w:val="18"/>
          <w:szCs w:val="18"/>
          <w:color w:val="auto"/>
        </w:rPr>
        <w:t>Corporate Secretary</w:t>
      </w:r>
    </w:p>
    <w:p>
      <w:pPr>
        <w:spacing w:after="0" w:line="7" w:lineRule="exact"/>
        <w:rPr>
          <w:sz w:val="20"/>
          <w:szCs w:val="20"/>
          <w:color w:val="auto"/>
        </w:rPr>
      </w:pPr>
    </w:p>
    <w:p>
      <w:pPr>
        <w:ind w:left="6020"/>
        <w:spacing w:after="0"/>
        <w:rPr>
          <w:sz w:val="20"/>
          <w:szCs w:val="20"/>
          <w:color w:val="auto"/>
        </w:rPr>
      </w:pPr>
      <w:r>
        <w:rPr>
          <w:rFonts w:ascii="Arial" w:cs="Arial" w:eastAsia="Arial" w:hAnsi="Arial"/>
          <w:sz w:val="18"/>
          <w:szCs w:val="18"/>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0760"/>
          </w:cols>
          <w:pgMar w:left="320" w:top="121" w:right="819" w:bottom="1440" w:gutter="0" w:footer="0" w:header="0"/>
        </w:sectPr>
      </w:pPr>
    </w:p>
    <w:bookmarkStart w:id="77" w:name="page78"/>
    <w:bookmarkEnd w:id="77"/>
    <w:p>
      <w:pPr>
        <w:jc w:val="right"/>
        <w:spacing w:after="0"/>
        <w:rPr>
          <w:sz w:val="20"/>
          <w:szCs w:val="20"/>
          <w:color w:val="auto"/>
        </w:rPr>
      </w:pPr>
      <w:r>
        <w:rPr>
          <w:rFonts w:ascii="Arial" w:cs="Arial" w:eastAsia="Arial" w:hAnsi="Arial"/>
          <w:sz w:val="22"/>
          <w:szCs w:val="22"/>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SECOND AMENDED AND RESTATED EMPLOYMENT AGREEMENT</w:t>
      </w:r>
    </w:p>
    <w:p>
      <w:pPr>
        <w:spacing w:after="0" w:line="249" w:lineRule="exact"/>
        <w:rPr>
          <w:sz w:val="20"/>
          <w:szCs w:val="20"/>
          <w:color w:val="auto"/>
        </w:rPr>
      </w:pPr>
    </w:p>
    <w:p>
      <w:pPr>
        <w:jc w:val="both"/>
        <w:ind w:firstLine="648"/>
        <w:spacing w:after="0" w:line="227" w:lineRule="auto"/>
        <w:rPr>
          <w:sz w:val="20"/>
          <w:szCs w:val="20"/>
          <w:color w:val="auto"/>
        </w:rPr>
      </w:pPr>
      <w:r>
        <w:rPr>
          <w:rFonts w:ascii="Arial" w:cs="Arial" w:eastAsia="Arial" w:hAnsi="Arial"/>
          <w:sz w:val="20"/>
          <w:szCs w:val="20"/>
          <w:color w:val="auto"/>
        </w:rPr>
        <w:t>This SECOND AMENDED AND RESTATED EMPLOYMENT AGREEMENT is made and entered into this 26</w:t>
      </w:r>
      <w:r>
        <w:rPr>
          <w:rFonts w:ascii="Arial" w:cs="Arial" w:eastAsia="Arial" w:hAnsi="Arial"/>
          <w:sz w:val="25"/>
          <w:szCs w:val="25"/>
          <w:color w:val="auto"/>
          <w:vertAlign w:val="superscript"/>
        </w:rPr>
        <w:t>th</w:t>
      </w:r>
      <w:r>
        <w:rPr>
          <w:rFonts w:ascii="Arial" w:cs="Arial" w:eastAsia="Arial" w:hAnsi="Arial"/>
          <w:sz w:val="20"/>
          <w:szCs w:val="20"/>
          <w:color w:val="auto"/>
        </w:rPr>
        <w:t xml:space="preserve"> day of April, 2021 (this “</w:t>
      </w:r>
      <w:r>
        <w:rPr>
          <w:rFonts w:ascii="Arial" w:cs="Arial" w:eastAsia="Arial" w:hAnsi="Arial"/>
          <w:sz w:val="20"/>
          <w:szCs w:val="20"/>
          <w:u w:val="single" w:color="auto"/>
          <w:color w:val="auto"/>
        </w:rPr>
        <w:t>Agreement</w:t>
      </w:r>
      <w:r>
        <w:rPr>
          <w:rFonts w:ascii="Arial" w:cs="Arial" w:eastAsia="Arial" w:hAnsi="Arial"/>
          <w:sz w:val="20"/>
          <w:szCs w:val="20"/>
          <w:color w:val="auto"/>
        </w:rPr>
        <w:t>”) by and between SuRo Capital Corp., a Maryland corporation (the “</w:t>
      </w:r>
      <w:r>
        <w:rPr>
          <w:rFonts w:ascii="Arial" w:cs="Arial" w:eastAsia="Arial" w:hAnsi="Arial"/>
          <w:sz w:val="20"/>
          <w:szCs w:val="20"/>
          <w:u w:val="single" w:color="auto"/>
          <w:color w:val="auto"/>
        </w:rPr>
        <w:t>Company</w:t>
      </w:r>
      <w:r>
        <w:rPr>
          <w:rFonts w:ascii="Arial" w:cs="Arial" w:eastAsia="Arial" w:hAnsi="Arial"/>
          <w:sz w:val="20"/>
          <w:szCs w:val="20"/>
          <w:color w:val="auto"/>
        </w:rPr>
        <w:t>”), and Mark D. Klein (the “</w:t>
      </w:r>
      <w:r>
        <w:rPr>
          <w:rFonts w:ascii="Arial" w:cs="Arial" w:eastAsia="Arial" w:hAnsi="Arial"/>
          <w:sz w:val="20"/>
          <w:szCs w:val="20"/>
          <w:u w:val="single" w:color="auto"/>
          <w:color w:val="auto"/>
        </w:rPr>
        <w:t>Executive</w:t>
      </w:r>
      <w:r>
        <w:rPr>
          <w:rFonts w:ascii="Arial" w:cs="Arial" w:eastAsia="Arial" w:hAnsi="Arial"/>
          <w:sz w:val="20"/>
          <w:szCs w:val="20"/>
          <w:color w:val="auto"/>
        </w:rPr>
        <w:t>”).</w:t>
      </w:r>
    </w:p>
    <w:p>
      <w:pPr>
        <w:spacing w:after="0" w:line="225"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WHEREAS, the Company is an internally managed, closed-end management investment company that has elected to be treated as a business development company under the Investment Company Act of 1940;</w:t>
      </w:r>
    </w:p>
    <w:p>
      <w:pPr>
        <w:spacing w:after="0" w:line="204"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WHEREAS, the Company and the Executive previously entered into an employment agreement, dated April 23, 2019, which was amended and restated as of April 28, 2020 (the “</w:t>
      </w:r>
      <w:r>
        <w:rPr>
          <w:rFonts w:ascii="Arial" w:cs="Arial" w:eastAsia="Arial" w:hAnsi="Arial"/>
          <w:sz w:val="20"/>
          <w:szCs w:val="20"/>
          <w:u w:val="single" w:color="auto"/>
          <w:color w:val="auto"/>
        </w:rPr>
        <w:t>Prior Employment Agreement</w:t>
      </w:r>
      <w:r>
        <w:rPr>
          <w:rFonts w:ascii="Arial" w:cs="Arial" w:eastAsia="Arial" w:hAnsi="Arial"/>
          <w:sz w:val="20"/>
          <w:szCs w:val="20"/>
          <w:color w:val="auto"/>
        </w:rPr>
        <w:t>”); and</w:t>
      </w:r>
    </w:p>
    <w:p>
      <w:pPr>
        <w:spacing w:after="0" w:line="17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WHEREAS, the parties desire to amend and restate the Prior Employment Agreement in its entirety to secure the Executive’s employment during the Term (as hereinafter defined), on the terms and conditions set forth herein.</w:t>
      </w:r>
    </w:p>
    <w:p>
      <w:pPr>
        <w:spacing w:after="0" w:line="17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NOW, THEREFORE, in consideration of the mutual covenants and agreements set forth herein, and for other good and valuable consideration, the receipt and sufficiency of which are hereby acknowledged, the parties agree as follows:</w:t>
      </w:r>
    </w:p>
    <w:p>
      <w:pPr>
        <w:spacing w:after="0" w:line="171" w:lineRule="exact"/>
        <w:rPr>
          <w:sz w:val="20"/>
          <w:szCs w:val="20"/>
          <w:color w:val="auto"/>
        </w:rPr>
      </w:pPr>
    </w:p>
    <w:p>
      <w:pPr>
        <w:jc w:val="both"/>
        <w:ind w:left="340" w:hanging="332"/>
        <w:spacing w:after="0" w:line="253" w:lineRule="auto"/>
        <w:tabs>
          <w:tab w:leader="none" w:pos="340" w:val="left"/>
        </w:tabs>
        <w:numPr>
          <w:ilvl w:val="0"/>
          <w:numId w:val="49"/>
        </w:numPr>
        <w:rPr>
          <w:rFonts w:ascii="Arial" w:cs="Arial" w:eastAsia="Arial" w:hAnsi="Arial"/>
          <w:sz w:val="20"/>
          <w:szCs w:val="20"/>
          <w:color w:val="auto"/>
        </w:rPr>
      </w:pPr>
      <w:r>
        <w:rPr>
          <w:rFonts w:ascii="Arial" w:cs="Arial" w:eastAsia="Arial" w:hAnsi="Arial"/>
          <w:sz w:val="20"/>
          <w:szCs w:val="20"/>
          <w:b w:val="1"/>
          <w:bCs w:val="1"/>
          <w:color w:val="auto"/>
        </w:rPr>
        <w:t>Position</w:t>
      </w:r>
      <w:r>
        <w:rPr>
          <w:rFonts w:ascii="Arial" w:cs="Arial" w:eastAsia="Arial" w:hAnsi="Arial"/>
          <w:sz w:val="20"/>
          <w:szCs w:val="20"/>
          <w:color w:val="auto"/>
        </w:rPr>
        <w:t>. The Company hereby reaffirms its employment of the Executive and the Executive agrees to continue to serve the Company as</w:t>
      </w:r>
      <w:r>
        <w:rPr>
          <w:rFonts w:ascii="Arial" w:cs="Arial" w:eastAsia="Arial" w:hAnsi="Arial"/>
          <w:sz w:val="20"/>
          <w:szCs w:val="20"/>
          <w:b w:val="1"/>
          <w:bCs w:val="1"/>
          <w:color w:val="auto"/>
        </w:rPr>
        <w:t xml:space="preserve"> </w:t>
      </w:r>
      <w:r>
        <w:rPr>
          <w:rFonts w:ascii="Arial" w:cs="Arial" w:eastAsia="Arial" w:hAnsi="Arial"/>
          <w:sz w:val="20"/>
          <w:szCs w:val="20"/>
          <w:color w:val="auto"/>
        </w:rPr>
        <w:t>Chief Executive Officer on the terms and conditions set forth in this Agreement. The Executive also agrees to serve as a director of the Company and as a voting member of the Company’s Investment Committee.</w:t>
      </w:r>
    </w:p>
    <w:p>
      <w:pPr>
        <w:spacing w:after="0" w:line="177" w:lineRule="exact"/>
        <w:rPr>
          <w:rFonts w:ascii="Arial" w:cs="Arial" w:eastAsia="Arial" w:hAnsi="Arial"/>
          <w:sz w:val="20"/>
          <w:szCs w:val="20"/>
          <w:color w:val="auto"/>
        </w:rPr>
      </w:pPr>
    </w:p>
    <w:p>
      <w:pPr>
        <w:jc w:val="both"/>
        <w:ind w:left="340" w:hanging="332"/>
        <w:spacing w:after="0" w:line="242" w:lineRule="auto"/>
        <w:tabs>
          <w:tab w:leader="none" w:pos="340" w:val="left"/>
        </w:tabs>
        <w:numPr>
          <w:ilvl w:val="0"/>
          <w:numId w:val="49"/>
        </w:numPr>
        <w:rPr>
          <w:rFonts w:ascii="Arial" w:cs="Arial" w:eastAsia="Arial" w:hAnsi="Arial"/>
          <w:sz w:val="20"/>
          <w:szCs w:val="20"/>
          <w:color w:val="auto"/>
        </w:rPr>
      </w:pPr>
      <w:r>
        <w:rPr>
          <w:rFonts w:ascii="Arial" w:cs="Arial" w:eastAsia="Arial" w:hAnsi="Arial"/>
          <w:sz w:val="20"/>
          <w:szCs w:val="20"/>
          <w:b w:val="1"/>
          <w:bCs w:val="1"/>
          <w:color w:val="auto"/>
        </w:rPr>
        <w:t>Employment Term</w:t>
      </w:r>
      <w:r>
        <w:rPr>
          <w:rFonts w:ascii="Arial" w:cs="Arial" w:eastAsia="Arial" w:hAnsi="Arial"/>
          <w:sz w:val="20"/>
          <w:szCs w:val="20"/>
          <w:color w:val="auto"/>
        </w:rPr>
        <w:t>. Subject to the provisions of</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auto"/>
        </w:rPr>
        <w:t>Section 8</w:t>
      </w:r>
      <w:r>
        <w:rPr>
          <w:rFonts w:ascii="Arial" w:cs="Arial" w:eastAsia="Arial" w:hAnsi="Arial"/>
          <w:sz w:val="20"/>
          <w:szCs w:val="20"/>
          <w:color w:val="auto"/>
        </w:rPr>
        <w:t>, the Executive’s employment by the Company under this Agreement</w:t>
      </w:r>
      <w:r>
        <w:rPr>
          <w:rFonts w:ascii="Arial" w:cs="Arial" w:eastAsia="Arial" w:hAnsi="Arial"/>
          <w:sz w:val="20"/>
          <w:szCs w:val="20"/>
          <w:b w:val="1"/>
          <w:bCs w:val="1"/>
          <w:color w:val="auto"/>
        </w:rPr>
        <w:t xml:space="preserve"> </w:t>
      </w:r>
      <w:r>
        <w:rPr>
          <w:rFonts w:ascii="Arial" w:cs="Arial" w:eastAsia="Arial" w:hAnsi="Arial"/>
          <w:sz w:val="20"/>
          <w:szCs w:val="20"/>
          <w:color w:val="auto"/>
        </w:rPr>
        <w:t>commenced on March 12, 2019, (the “</w:t>
      </w:r>
      <w:r>
        <w:rPr>
          <w:rFonts w:ascii="Arial" w:cs="Arial" w:eastAsia="Arial" w:hAnsi="Arial"/>
          <w:sz w:val="20"/>
          <w:szCs w:val="20"/>
          <w:u w:val="single" w:color="auto"/>
          <w:color w:val="auto"/>
        </w:rPr>
        <w:t>Effective Date</w:t>
      </w:r>
      <w:r>
        <w:rPr>
          <w:rFonts w:ascii="Arial" w:cs="Arial" w:eastAsia="Arial" w:hAnsi="Arial"/>
          <w:sz w:val="20"/>
          <w:szCs w:val="20"/>
          <w:color w:val="auto"/>
        </w:rPr>
        <w:t>”) and shall end on December 31, 2024 (the “</w:t>
      </w:r>
      <w:r>
        <w:rPr>
          <w:rFonts w:ascii="Arial" w:cs="Arial" w:eastAsia="Arial" w:hAnsi="Arial"/>
          <w:sz w:val="20"/>
          <w:szCs w:val="20"/>
          <w:u w:val="single" w:color="auto"/>
          <w:color w:val="auto"/>
        </w:rPr>
        <w:t>Term</w:t>
      </w:r>
      <w:r>
        <w:rPr>
          <w:rFonts w:ascii="Arial" w:cs="Arial" w:eastAsia="Arial" w:hAnsi="Arial"/>
          <w:sz w:val="20"/>
          <w:szCs w:val="20"/>
          <w:color w:val="auto"/>
        </w:rPr>
        <w:t xml:space="preserve">”). Unless terminated earlier pursuant to </w:t>
      </w:r>
      <w:r>
        <w:rPr>
          <w:rFonts w:ascii="Arial" w:cs="Arial" w:eastAsia="Arial" w:hAnsi="Arial"/>
          <w:sz w:val="20"/>
          <w:szCs w:val="20"/>
          <w:u w:val="single" w:color="auto"/>
          <w:color w:val="auto"/>
        </w:rPr>
        <w:t>Section 8</w:t>
      </w:r>
      <w:r>
        <w:rPr>
          <w:rFonts w:ascii="Arial" w:cs="Arial" w:eastAsia="Arial" w:hAnsi="Arial"/>
          <w:sz w:val="20"/>
          <w:szCs w:val="20"/>
          <w:color w:val="auto"/>
        </w:rPr>
        <w:t xml:space="preserve">, the Term shall be automatically extended for one year on December 31, 2014, and then on each succeeding anniversary of December 31, 2024, unless either party elects, in writing, to terminate this Agreement at least thirty (30) days prior to the expiration of the then current Term. In the event that the Company declines to extend the Term of this Agreement and the Executive’s employment is terminated, the Executive’s termination shall be treated as a termination Without Cause and the Executive shall receive Accrued Benefits through the date of the Executive’s termination and Severance Benefits in accordance with the terms of </w:t>
      </w:r>
      <w:r>
        <w:rPr>
          <w:rFonts w:ascii="Arial" w:cs="Arial" w:eastAsia="Arial" w:hAnsi="Arial"/>
          <w:sz w:val="20"/>
          <w:szCs w:val="20"/>
          <w:u w:val="single" w:color="auto"/>
          <w:color w:val="auto"/>
        </w:rPr>
        <w:t>Section 8(f)</w:t>
      </w:r>
      <w:r>
        <w:rPr>
          <w:rFonts w:ascii="Arial" w:cs="Arial" w:eastAsia="Arial" w:hAnsi="Arial"/>
          <w:sz w:val="20"/>
          <w:szCs w:val="20"/>
          <w:color w:val="auto"/>
        </w:rPr>
        <w:t>, provided, however, that the Executive is willing and able to execute such extension and to continue performing services under this Agreement.</w:t>
      </w:r>
    </w:p>
    <w:p>
      <w:pPr>
        <w:spacing w:after="0" w:line="194" w:lineRule="exact"/>
        <w:rPr>
          <w:rFonts w:ascii="Arial" w:cs="Arial" w:eastAsia="Arial" w:hAnsi="Arial"/>
          <w:sz w:val="20"/>
          <w:szCs w:val="20"/>
          <w:color w:val="auto"/>
        </w:rPr>
      </w:pPr>
    </w:p>
    <w:p>
      <w:pPr>
        <w:jc w:val="both"/>
        <w:ind w:left="340" w:hanging="332"/>
        <w:spacing w:after="0" w:line="259" w:lineRule="auto"/>
        <w:tabs>
          <w:tab w:leader="none" w:pos="340" w:val="left"/>
        </w:tabs>
        <w:numPr>
          <w:ilvl w:val="0"/>
          <w:numId w:val="49"/>
        </w:numPr>
        <w:rPr>
          <w:rFonts w:ascii="Arial" w:cs="Arial" w:eastAsia="Arial" w:hAnsi="Arial"/>
          <w:sz w:val="19"/>
          <w:szCs w:val="19"/>
          <w:color w:val="auto"/>
        </w:rPr>
      </w:pPr>
      <w:r>
        <w:rPr>
          <w:rFonts w:ascii="Arial" w:cs="Arial" w:eastAsia="Arial" w:hAnsi="Arial"/>
          <w:sz w:val="19"/>
          <w:szCs w:val="19"/>
          <w:b w:val="1"/>
          <w:bCs w:val="1"/>
          <w:color w:val="auto"/>
        </w:rPr>
        <w:t>Duties</w:t>
      </w:r>
      <w:r>
        <w:rPr>
          <w:rFonts w:ascii="Arial" w:cs="Arial" w:eastAsia="Arial" w:hAnsi="Arial"/>
          <w:sz w:val="19"/>
          <w:szCs w:val="19"/>
          <w:color w:val="auto"/>
        </w:rPr>
        <w:t>. During the Executive’s employment, the Executive shall have all the power, authority and responsibilities customarily related to</w:t>
      </w:r>
      <w:r>
        <w:rPr>
          <w:rFonts w:ascii="Arial" w:cs="Arial" w:eastAsia="Arial" w:hAnsi="Arial"/>
          <w:sz w:val="19"/>
          <w:szCs w:val="19"/>
          <w:b w:val="1"/>
          <w:bCs w:val="1"/>
          <w:color w:val="auto"/>
        </w:rPr>
        <w:t xml:space="preserve"> </w:t>
      </w:r>
      <w:r>
        <w:rPr>
          <w:rFonts w:ascii="Arial" w:cs="Arial" w:eastAsia="Arial" w:hAnsi="Arial"/>
          <w:sz w:val="19"/>
          <w:szCs w:val="19"/>
          <w:color w:val="auto"/>
        </w:rPr>
        <w:t>the Executive’s position as Chief Executive Officer of the Company and as may be assigned by and under the direction and control of the Board of Directors of the Company (the “</w:t>
      </w:r>
      <w:r>
        <w:rPr>
          <w:rFonts w:ascii="Arial" w:cs="Arial" w:eastAsia="Arial" w:hAnsi="Arial"/>
          <w:sz w:val="19"/>
          <w:szCs w:val="19"/>
          <w:u w:val="single" w:color="auto"/>
          <w:color w:val="auto"/>
        </w:rPr>
        <w:t>Board</w:t>
      </w:r>
      <w:r>
        <w:rPr>
          <w:rFonts w:ascii="Arial" w:cs="Arial" w:eastAsia="Arial" w:hAnsi="Arial"/>
          <w:sz w:val="19"/>
          <w:szCs w:val="19"/>
          <w:color w:val="auto"/>
        </w:rPr>
        <w:t>”). During the Term, the Executive shall not engage in any other business activity that would materially interfere with the Executive’s responsibilities or performance of duties under this Agreement, unless approved by the Board. Notwithstanding the foregoing, nothing herein shall prohibit the Executive from (i) subject to prior approval of the Board, accepting directorships unrelated to the Company that do not give rise to any conflicts of interest with the Company or its Affiliates, (ii) engaging in charitable and civic activities, so long as such outside interests do not</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w:t>
      </w:r>
    </w:p>
    <w:p>
      <w:pPr>
        <w:sectPr>
          <w:pgSz w:w="11900" w:h="16838" w:orient="portrait"/>
          <w:cols w:equalWidth="0" w:num="1">
            <w:col w:w="11240"/>
          </w:cols>
          <w:pgMar w:left="320" w:top="126" w:right="339" w:bottom="1440" w:gutter="0" w:footer="0" w:header="0"/>
        </w:sectPr>
      </w:pPr>
    </w:p>
    <w:bookmarkStart w:id="78" w:name="page79"/>
    <w:bookmarkEnd w:id="78"/>
    <w:p>
      <w:pPr>
        <w:jc w:val="center"/>
        <w:ind w:right="20"/>
        <w:spacing w:after="0"/>
        <w:rPr>
          <w:sz w:val="20"/>
          <w:szCs w:val="20"/>
          <w:color w:val="auto"/>
        </w:rPr>
      </w:pPr>
      <w:r>
        <w:rPr>
          <w:rFonts w:ascii="Arial" w:cs="Arial" w:eastAsia="Arial" w:hAnsi="Arial"/>
          <w:sz w:val="19"/>
          <w:szCs w:val="19"/>
          <w:color w:val="auto"/>
        </w:rPr>
        <w:t xml:space="preserve">interfere with the performance of Executive’s duties hereunder, or (iii) engaging in activities expressly permitted by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hereto.</w:t>
      </w:r>
    </w:p>
    <w:p>
      <w:pPr>
        <w:spacing w:after="0" w:line="221" w:lineRule="exact"/>
        <w:rPr>
          <w:sz w:val="20"/>
          <w:szCs w:val="20"/>
          <w:color w:val="auto"/>
        </w:rPr>
      </w:pPr>
    </w:p>
    <w:p>
      <w:pPr>
        <w:ind w:left="340" w:hanging="332"/>
        <w:spacing w:after="0"/>
        <w:tabs>
          <w:tab w:leader="none" w:pos="340" w:val="left"/>
        </w:tabs>
        <w:numPr>
          <w:ilvl w:val="0"/>
          <w:numId w:val="50"/>
        </w:numPr>
        <w:rPr>
          <w:rFonts w:ascii="Arial" w:cs="Arial" w:eastAsia="Arial" w:hAnsi="Arial"/>
          <w:sz w:val="20"/>
          <w:szCs w:val="20"/>
          <w:color w:val="auto"/>
        </w:rPr>
      </w:pPr>
      <w:r>
        <w:rPr>
          <w:rFonts w:ascii="Arial" w:cs="Arial" w:eastAsia="Arial" w:hAnsi="Arial"/>
          <w:sz w:val="20"/>
          <w:szCs w:val="20"/>
          <w:b w:val="1"/>
          <w:bCs w:val="1"/>
          <w:color w:val="auto"/>
        </w:rPr>
        <w:t>Compensation</w:t>
      </w:r>
      <w:r>
        <w:rPr>
          <w:rFonts w:ascii="Arial" w:cs="Arial" w:eastAsia="Arial" w:hAnsi="Arial"/>
          <w:sz w:val="20"/>
          <w:szCs w:val="20"/>
          <w:color w:val="auto"/>
        </w:rPr>
        <w:t>.</w:t>
      </w:r>
    </w:p>
    <w:p>
      <w:pPr>
        <w:spacing w:after="0" w:line="221" w:lineRule="exact"/>
        <w:rPr>
          <w:rFonts w:ascii="Arial" w:cs="Arial" w:eastAsia="Arial" w:hAnsi="Arial"/>
          <w:sz w:val="20"/>
          <w:szCs w:val="20"/>
          <w:color w:val="auto"/>
        </w:rPr>
      </w:pPr>
    </w:p>
    <w:p>
      <w:pPr>
        <w:jc w:val="both"/>
        <w:ind w:left="660" w:hanging="393"/>
        <w:spacing w:after="0" w:line="243" w:lineRule="auto"/>
        <w:tabs>
          <w:tab w:leader="none" w:pos="651" w:val="left"/>
        </w:tabs>
        <w:numPr>
          <w:ilvl w:val="2"/>
          <w:numId w:val="50"/>
        </w:numPr>
        <w:rPr>
          <w:rFonts w:ascii="Arial" w:cs="Arial" w:eastAsia="Arial" w:hAnsi="Arial"/>
          <w:sz w:val="20"/>
          <w:szCs w:val="20"/>
          <w:color w:val="auto"/>
        </w:rPr>
      </w:pPr>
      <w:r>
        <w:rPr>
          <w:rFonts w:ascii="Arial" w:cs="Arial" w:eastAsia="Arial" w:hAnsi="Arial"/>
          <w:sz w:val="20"/>
          <w:szCs w:val="20"/>
          <w:u w:val="single" w:color="auto"/>
          <w:color w:val="auto"/>
        </w:rPr>
        <w:t>Base Salary</w:t>
      </w:r>
      <w:r>
        <w:rPr>
          <w:rFonts w:ascii="Arial" w:cs="Arial" w:eastAsia="Arial" w:hAnsi="Arial"/>
          <w:sz w:val="20"/>
          <w:szCs w:val="20"/>
          <w:color w:val="auto"/>
        </w:rPr>
        <w:t>. During the Term, the Executive shall be compensated for the Executive’s services at an initial annual rate of base salary of eight hundred fifty thousand dollars ($850,000), which may be reviewed and increased (but not decreased) on an annual basis by the Board in its sole discretion, payable in accordance with the Company’s regular payroll schedule (the “</w:t>
      </w:r>
      <w:r>
        <w:rPr>
          <w:rFonts w:ascii="Arial" w:cs="Arial" w:eastAsia="Arial" w:hAnsi="Arial"/>
          <w:sz w:val="20"/>
          <w:szCs w:val="20"/>
          <w:u w:val="single" w:color="auto"/>
          <w:color w:val="auto"/>
        </w:rPr>
        <w:t>Base Salary</w:t>
      </w:r>
      <w:r>
        <w:rPr>
          <w:rFonts w:ascii="Arial" w:cs="Arial" w:eastAsia="Arial" w:hAnsi="Arial"/>
          <w:sz w:val="20"/>
          <w:szCs w:val="20"/>
          <w:color w:val="auto"/>
        </w:rPr>
        <w:t>”). All payments made to or on behalf of the Executive under the terms of this Agreement, including all payments of Base Salary and any bonuses, shall be subject to all withholding required by law (such as income and payroll taxes) and such additional withholding as may be agreed upon by the Executive.</w:t>
      </w:r>
    </w:p>
    <w:p>
      <w:pPr>
        <w:spacing w:after="0" w:line="195" w:lineRule="exact"/>
        <w:rPr>
          <w:rFonts w:ascii="Arial" w:cs="Arial" w:eastAsia="Arial" w:hAnsi="Arial"/>
          <w:sz w:val="20"/>
          <w:szCs w:val="20"/>
          <w:color w:val="auto"/>
        </w:rPr>
      </w:pPr>
    </w:p>
    <w:p>
      <w:pPr>
        <w:jc w:val="both"/>
        <w:ind w:left="660" w:hanging="409"/>
        <w:spacing w:after="0" w:line="257" w:lineRule="auto"/>
        <w:tabs>
          <w:tab w:leader="none" w:pos="660" w:val="left"/>
        </w:tabs>
        <w:numPr>
          <w:ilvl w:val="2"/>
          <w:numId w:val="50"/>
        </w:numPr>
        <w:rPr>
          <w:rFonts w:ascii="Arial" w:cs="Arial" w:eastAsia="Arial" w:hAnsi="Arial"/>
          <w:sz w:val="19"/>
          <w:szCs w:val="19"/>
          <w:color w:val="auto"/>
        </w:rPr>
      </w:pPr>
      <w:r>
        <w:rPr>
          <w:rFonts w:ascii="Arial" w:cs="Arial" w:eastAsia="Arial" w:hAnsi="Arial"/>
          <w:sz w:val="19"/>
          <w:szCs w:val="19"/>
          <w:u w:val="single" w:color="auto"/>
          <w:color w:val="auto"/>
        </w:rPr>
        <w:t>Annual Bonus Arrangements</w:t>
      </w:r>
      <w:r>
        <w:rPr>
          <w:rFonts w:ascii="Arial" w:cs="Arial" w:eastAsia="Arial" w:hAnsi="Arial"/>
          <w:sz w:val="19"/>
          <w:szCs w:val="19"/>
          <w:color w:val="auto"/>
        </w:rPr>
        <w:t>. The Executive will be eligible to receive annual bonus payments up to one hundred percent (100%) of the Executive’s then-effective Base Salary, payable in amounts and at such times as determined in good faith by the Board, based on meeting Company performance objectives, performance goals, and other objectives as mutually agreed upon by the Board and the Executive, and as may be amended from time to time (the “</w:t>
      </w:r>
      <w:r>
        <w:rPr>
          <w:rFonts w:ascii="Arial" w:cs="Arial" w:eastAsia="Arial" w:hAnsi="Arial"/>
          <w:sz w:val="19"/>
          <w:szCs w:val="19"/>
          <w:u w:val="single" w:color="auto"/>
          <w:color w:val="auto"/>
        </w:rPr>
        <w:t>Annual Bonus</w:t>
      </w:r>
      <w:r>
        <w:rPr>
          <w:rFonts w:ascii="Arial" w:cs="Arial" w:eastAsia="Arial" w:hAnsi="Arial"/>
          <w:sz w:val="19"/>
          <w:szCs w:val="19"/>
          <w:color w:val="auto"/>
        </w:rPr>
        <w:t>”). The Executive must remain employed by the Company through the date on which the Annual Bonus is earned, which is December 31 of each year, whether or not the Executive remains employed by the Company on the date the bonus is actually payable. Notwithstanding the foregoing, in the event that the Executive is terminated for Cause (as defined below) prior to the payment of any Annual Bonus, the Executive shall not be entitled to the payment of such Annual Bonus.</w:t>
      </w:r>
    </w:p>
    <w:p>
      <w:pPr>
        <w:spacing w:after="0" w:line="180" w:lineRule="exact"/>
        <w:rPr>
          <w:rFonts w:ascii="Arial" w:cs="Arial" w:eastAsia="Arial" w:hAnsi="Arial"/>
          <w:sz w:val="19"/>
          <w:szCs w:val="19"/>
          <w:color w:val="auto"/>
        </w:rPr>
      </w:pPr>
    </w:p>
    <w:p>
      <w:pPr>
        <w:jc w:val="both"/>
        <w:ind w:left="660" w:hanging="409"/>
        <w:spacing w:after="0" w:line="243" w:lineRule="auto"/>
        <w:tabs>
          <w:tab w:leader="none" w:pos="649" w:val="left"/>
        </w:tabs>
        <w:numPr>
          <w:ilvl w:val="1"/>
          <w:numId w:val="50"/>
        </w:numPr>
        <w:rPr>
          <w:rFonts w:ascii="Arial" w:cs="Arial" w:eastAsia="Arial" w:hAnsi="Arial"/>
          <w:sz w:val="20"/>
          <w:szCs w:val="20"/>
          <w:color w:val="auto"/>
        </w:rPr>
      </w:pPr>
      <w:r>
        <w:rPr>
          <w:rFonts w:ascii="Arial" w:cs="Arial" w:eastAsia="Arial" w:hAnsi="Arial"/>
          <w:sz w:val="20"/>
          <w:szCs w:val="20"/>
          <w:u w:val="single" w:color="auto"/>
          <w:color w:val="auto"/>
        </w:rPr>
        <w:t>Additional Bonus</w:t>
      </w:r>
      <w:r>
        <w:rPr>
          <w:rFonts w:ascii="Arial" w:cs="Arial" w:eastAsia="Arial" w:hAnsi="Arial"/>
          <w:sz w:val="20"/>
          <w:szCs w:val="20"/>
          <w:color w:val="auto"/>
        </w:rPr>
        <w:t>. The Executive will be eligible to receive an additional bonus in excess of the Annual Bonus (the “</w:t>
      </w:r>
      <w:r>
        <w:rPr>
          <w:rFonts w:ascii="Arial" w:cs="Arial" w:eastAsia="Arial" w:hAnsi="Arial"/>
          <w:sz w:val="20"/>
          <w:szCs w:val="20"/>
          <w:u w:val="single" w:color="auto"/>
          <w:color w:val="auto"/>
        </w:rPr>
        <w:t>Additional</w:t>
      </w:r>
      <w:r>
        <w:rPr>
          <w:rFonts w:ascii="Arial" w:cs="Arial" w:eastAsia="Arial" w:hAnsi="Arial"/>
          <w:sz w:val="20"/>
          <w:szCs w:val="20"/>
          <w:color w:val="auto"/>
        </w:rPr>
        <w:t xml:space="preserve"> </w:t>
      </w:r>
      <w:r>
        <w:rPr>
          <w:rFonts w:ascii="Arial" w:cs="Arial" w:eastAsia="Arial" w:hAnsi="Arial"/>
          <w:sz w:val="20"/>
          <w:szCs w:val="20"/>
          <w:u w:val="single" w:color="auto"/>
          <w:color w:val="auto"/>
        </w:rPr>
        <w:t>Bonus</w:t>
      </w:r>
      <w:r>
        <w:rPr>
          <w:rFonts w:ascii="Arial" w:cs="Arial" w:eastAsia="Arial" w:hAnsi="Arial"/>
          <w:sz w:val="20"/>
          <w:szCs w:val="20"/>
          <w:color w:val="auto"/>
        </w:rPr>
        <w:t>”) as determined by the Compensation Committee of the Board in its sole discretion, provided that the Executive will use one hundred percent (100%) of the Net Amount (defined below) to purchase shares of common stock of the Company in accordance with Company policies and procedures and applicable law. The “</w:t>
      </w:r>
      <w:r>
        <w:rPr>
          <w:rFonts w:ascii="Arial" w:cs="Arial" w:eastAsia="Arial" w:hAnsi="Arial"/>
          <w:sz w:val="20"/>
          <w:szCs w:val="20"/>
          <w:u w:val="single" w:color="auto"/>
          <w:color w:val="auto"/>
        </w:rPr>
        <w:t>Net Amount</w:t>
      </w:r>
      <w:r>
        <w:rPr>
          <w:rFonts w:ascii="Arial" w:cs="Arial" w:eastAsia="Arial" w:hAnsi="Arial"/>
          <w:sz w:val="20"/>
          <w:szCs w:val="20"/>
          <w:color w:val="auto"/>
        </w:rPr>
        <w:t>” means the gross amount of the Additional Bonus less all withholding required by law (such as income and payroll taxes) and such additional withholding as may be agreed upon by the Executive.</w:t>
      </w:r>
    </w:p>
    <w:p>
      <w:pPr>
        <w:spacing w:after="0" w:line="223" w:lineRule="exact"/>
        <w:rPr>
          <w:sz w:val="20"/>
          <w:szCs w:val="20"/>
          <w:color w:val="auto"/>
        </w:rPr>
      </w:pPr>
    </w:p>
    <w:p>
      <w:pPr>
        <w:ind w:left="660" w:hanging="393"/>
        <w:spacing w:after="0" w:line="260" w:lineRule="auto"/>
        <w:tabs>
          <w:tab w:leader="none" w:pos="649" w:val="left"/>
        </w:tabs>
        <w:numPr>
          <w:ilvl w:val="2"/>
          <w:numId w:val="51"/>
        </w:numPr>
        <w:rPr>
          <w:rFonts w:ascii="Arial" w:cs="Arial" w:eastAsia="Arial" w:hAnsi="Arial"/>
          <w:sz w:val="20"/>
          <w:szCs w:val="20"/>
          <w:color w:val="auto"/>
        </w:rPr>
      </w:pPr>
      <w:r>
        <w:rPr>
          <w:rFonts w:ascii="Arial" w:cs="Arial" w:eastAsia="Arial" w:hAnsi="Arial"/>
          <w:sz w:val="20"/>
          <w:szCs w:val="20"/>
          <w:u w:val="single" w:color="auto"/>
          <w:color w:val="auto"/>
        </w:rPr>
        <w:t>Equity</w:t>
      </w:r>
      <w:r>
        <w:rPr>
          <w:rFonts w:ascii="Arial" w:cs="Arial" w:eastAsia="Arial" w:hAnsi="Arial"/>
          <w:sz w:val="20"/>
          <w:szCs w:val="20"/>
          <w:color w:val="auto"/>
        </w:rPr>
        <w:t>. The Executive shall, in the Company’s sole discretion, be eligible to receive awards of equity in accordance with the terms and conditions set forth in the applicable equity incentive plan and equity award agreement.</w:t>
      </w:r>
    </w:p>
    <w:p>
      <w:pPr>
        <w:spacing w:after="0" w:line="170" w:lineRule="exact"/>
        <w:rPr>
          <w:rFonts w:ascii="Arial" w:cs="Arial" w:eastAsia="Arial" w:hAnsi="Arial"/>
          <w:sz w:val="20"/>
          <w:szCs w:val="20"/>
          <w:color w:val="auto"/>
        </w:rPr>
      </w:pPr>
    </w:p>
    <w:p>
      <w:pPr>
        <w:ind w:left="340" w:hanging="332"/>
        <w:spacing w:after="0"/>
        <w:tabs>
          <w:tab w:leader="none" w:pos="340" w:val="left"/>
        </w:tabs>
        <w:numPr>
          <w:ilvl w:val="0"/>
          <w:numId w:val="52"/>
        </w:numPr>
        <w:rPr>
          <w:rFonts w:ascii="Arial" w:cs="Arial" w:eastAsia="Arial" w:hAnsi="Arial"/>
          <w:sz w:val="20"/>
          <w:szCs w:val="20"/>
          <w:color w:val="auto"/>
        </w:rPr>
      </w:pPr>
      <w:r>
        <w:rPr>
          <w:rFonts w:ascii="Arial" w:cs="Arial" w:eastAsia="Arial" w:hAnsi="Arial"/>
          <w:sz w:val="20"/>
          <w:szCs w:val="20"/>
          <w:b w:val="1"/>
          <w:bCs w:val="1"/>
          <w:color w:val="auto"/>
        </w:rPr>
        <w:t>Benefits.</w:t>
      </w:r>
    </w:p>
    <w:p>
      <w:pPr>
        <w:spacing w:after="0" w:line="221" w:lineRule="exact"/>
        <w:rPr>
          <w:rFonts w:ascii="Arial" w:cs="Arial" w:eastAsia="Arial" w:hAnsi="Arial"/>
          <w:sz w:val="20"/>
          <w:szCs w:val="20"/>
          <w:color w:val="auto"/>
        </w:rPr>
      </w:pPr>
    </w:p>
    <w:p>
      <w:pPr>
        <w:jc w:val="both"/>
        <w:ind w:left="660" w:hanging="393"/>
        <w:spacing w:after="0" w:line="282" w:lineRule="auto"/>
        <w:tabs>
          <w:tab w:leader="none" w:pos="651" w:val="left"/>
        </w:tabs>
        <w:numPr>
          <w:ilvl w:val="2"/>
          <w:numId w:val="52"/>
        </w:numPr>
        <w:rPr>
          <w:rFonts w:ascii="Arial" w:cs="Arial" w:eastAsia="Arial" w:hAnsi="Arial"/>
          <w:sz w:val="18"/>
          <w:szCs w:val="18"/>
          <w:color w:val="auto"/>
        </w:rPr>
      </w:pPr>
      <w:r>
        <w:rPr>
          <w:rFonts w:ascii="Arial" w:cs="Arial" w:eastAsia="Arial" w:hAnsi="Arial"/>
          <w:sz w:val="18"/>
          <w:szCs w:val="18"/>
          <w:u w:val="single" w:color="auto"/>
          <w:color w:val="auto"/>
        </w:rPr>
        <w:t>Employee Benefits</w:t>
      </w:r>
      <w:r>
        <w:rPr>
          <w:rFonts w:ascii="Arial" w:cs="Arial" w:eastAsia="Arial" w:hAnsi="Arial"/>
          <w:sz w:val="18"/>
          <w:szCs w:val="18"/>
          <w:color w:val="auto"/>
        </w:rPr>
        <w:t>. During the Term, the Company will provide the Executive the highest level and most favored nation employee benefits coverage (including life, health accident insurance and disability programs) provided by the Company. Such participation shall be subject to the terms of the applicable plan documents and policies generally applicable to Company employees, including, without limitation, plan terms or policies relating to employee contributions under any such plans.</w:t>
      </w:r>
    </w:p>
    <w:p>
      <w:pPr>
        <w:spacing w:after="0" w:line="161" w:lineRule="exact"/>
        <w:rPr>
          <w:rFonts w:ascii="Arial" w:cs="Arial" w:eastAsia="Arial" w:hAnsi="Arial"/>
          <w:sz w:val="18"/>
          <w:szCs w:val="18"/>
          <w:color w:val="auto"/>
        </w:rPr>
      </w:pPr>
    </w:p>
    <w:p>
      <w:pPr>
        <w:ind w:left="660" w:hanging="393"/>
        <w:spacing w:after="0" w:line="260" w:lineRule="auto"/>
        <w:tabs>
          <w:tab w:leader="none" w:pos="649" w:val="left"/>
        </w:tabs>
        <w:numPr>
          <w:ilvl w:val="2"/>
          <w:numId w:val="52"/>
        </w:numPr>
        <w:rPr>
          <w:rFonts w:ascii="Arial" w:cs="Arial" w:eastAsia="Arial" w:hAnsi="Arial"/>
          <w:sz w:val="20"/>
          <w:szCs w:val="20"/>
          <w:color w:val="auto"/>
        </w:rPr>
      </w:pPr>
      <w:r>
        <w:rPr>
          <w:rFonts w:ascii="Arial" w:cs="Arial" w:eastAsia="Arial" w:hAnsi="Arial"/>
          <w:sz w:val="20"/>
          <w:szCs w:val="20"/>
          <w:u w:val="single" w:color="auto"/>
          <w:color w:val="auto"/>
        </w:rPr>
        <w:t>Vacation and Sick Leave</w:t>
      </w:r>
      <w:r>
        <w:rPr>
          <w:rFonts w:ascii="Arial" w:cs="Arial" w:eastAsia="Arial" w:hAnsi="Arial"/>
          <w:sz w:val="20"/>
          <w:szCs w:val="20"/>
          <w:color w:val="auto"/>
        </w:rPr>
        <w:t>. The Executive will be entitled to five (5) weeks of paid time off in the form of vacation and sick leave (without taking into account any qualified disability leave offered</w:t>
      </w: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382" w:lineRule="exact"/>
        <w:rPr>
          <w:rFonts w:ascii="Arial" w:cs="Arial" w:eastAsia="Arial" w:hAnsi="Arial"/>
          <w:sz w:val="20"/>
          <w:szCs w:val="20"/>
          <w:color w:val="auto"/>
        </w:rPr>
      </w:pPr>
    </w:p>
    <w:p>
      <w:pPr>
        <w:ind w:left="360" w:hanging="136"/>
        <w:spacing w:after="0"/>
        <w:tabs>
          <w:tab w:leader="none" w:pos="360" w:val="left"/>
        </w:tabs>
        <w:numPr>
          <w:ilvl w:val="1"/>
          <w:numId w:val="52"/>
        </w:numPr>
        <w:rPr>
          <w:rFonts w:ascii="Arial" w:cs="Arial" w:eastAsia="Arial" w:hAnsi="Arial"/>
          <w:sz w:val="22"/>
          <w:szCs w:val="22"/>
          <w:color w:val="auto"/>
        </w:rPr>
      </w:pPr>
      <w:r>
        <w:rPr>
          <w:rFonts w:ascii="Arial" w:cs="Arial" w:eastAsia="Arial" w:hAnsi="Arial"/>
          <w:sz w:val="22"/>
          <w:szCs w:val="22"/>
          <w:color w:val="auto"/>
        </w:rPr>
        <w:t>2 -</w:t>
      </w:r>
    </w:p>
    <w:p>
      <w:pPr>
        <w:sectPr>
          <w:pgSz w:w="11900" w:h="16838" w:orient="portrait"/>
          <w:cols w:equalWidth="0" w:num="1">
            <w:col w:w="11240"/>
          </w:cols>
          <w:pgMar w:left="320" w:top="1419" w:right="339" w:bottom="1440" w:gutter="0" w:footer="0" w:header="0"/>
        </w:sectPr>
      </w:pPr>
    </w:p>
    <w:bookmarkStart w:id="79" w:name="page80"/>
    <w:bookmarkEnd w:id="79"/>
    <w:p>
      <w:pPr>
        <w:ind w:left="652"/>
        <w:spacing w:after="0" w:line="260" w:lineRule="auto"/>
        <w:rPr>
          <w:sz w:val="20"/>
          <w:szCs w:val="20"/>
          <w:color w:val="auto"/>
        </w:rPr>
      </w:pPr>
      <w:r>
        <w:rPr>
          <w:rFonts w:ascii="Arial" w:cs="Arial" w:eastAsia="Arial" w:hAnsi="Arial"/>
          <w:sz w:val="20"/>
          <w:szCs w:val="20"/>
          <w:color w:val="auto"/>
        </w:rPr>
        <w:t>pursuant to the Company’s disability benefit programs in place from time to time), subject to the terms and conditions of the Company’s policies, procedures, and practices applicable to similarly situated employees and applicable law.</w:t>
      </w:r>
    </w:p>
    <w:p>
      <w:pPr>
        <w:spacing w:after="0" w:line="171" w:lineRule="exact"/>
        <w:rPr>
          <w:sz w:val="20"/>
          <w:szCs w:val="20"/>
          <w:color w:val="auto"/>
        </w:rPr>
      </w:pPr>
    </w:p>
    <w:p>
      <w:pPr>
        <w:jc w:val="both"/>
        <w:ind w:left="332" w:hanging="332"/>
        <w:spacing w:after="0" w:line="253" w:lineRule="auto"/>
        <w:tabs>
          <w:tab w:leader="none" w:pos="332" w:val="left"/>
        </w:tabs>
        <w:numPr>
          <w:ilvl w:val="0"/>
          <w:numId w:val="53"/>
        </w:numPr>
        <w:rPr>
          <w:rFonts w:ascii="Arial" w:cs="Arial" w:eastAsia="Arial" w:hAnsi="Arial"/>
          <w:sz w:val="20"/>
          <w:szCs w:val="20"/>
          <w:color w:val="auto"/>
        </w:rPr>
      </w:pPr>
      <w:r>
        <w:rPr>
          <w:rFonts w:ascii="Arial" w:cs="Arial" w:eastAsia="Arial" w:hAnsi="Arial"/>
          <w:sz w:val="20"/>
          <w:szCs w:val="20"/>
          <w:b w:val="1"/>
          <w:bCs w:val="1"/>
          <w:color w:val="auto"/>
        </w:rPr>
        <w:t xml:space="preserve">Business Expenses. </w:t>
      </w:r>
      <w:r>
        <w:rPr>
          <w:rFonts w:ascii="Arial" w:cs="Arial" w:eastAsia="Arial" w:hAnsi="Arial"/>
          <w:sz w:val="20"/>
          <w:szCs w:val="20"/>
          <w:color w:val="auto"/>
        </w:rPr>
        <w:t>The Executive shall be reimbursed for all reasonable expenses (including, without limitation, travel and lodging</w:t>
      </w:r>
      <w:r>
        <w:rPr>
          <w:rFonts w:ascii="Arial" w:cs="Arial" w:eastAsia="Arial" w:hAnsi="Arial"/>
          <w:sz w:val="20"/>
          <w:szCs w:val="20"/>
          <w:b w:val="1"/>
          <w:bCs w:val="1"/>
          <w:color w:val="auto"/>
        </w:rPr>
        <w:t xml:space="preserve"> </w:t>
      </w:r>
      <w:r>
        <w:rPr>
          <w:rFonts w:ascii="Arial" w:cs="Arial" w:eastAsia="Arial" w:hAnsi="Arial"/>
          <w:sz w:val="20"/>
          <w:szCs w:val="20"/>
          <w:color w:val="auto"/>
        </w:rPr>
        <w:t>expenses) incurred by the Executive during the Term, upon presentation by the Executive of documentation, expense statements, vouchers and/or such other supporting information as the Company may reasonably request.</w:t>
      </w:r>
    </w:p>
    <w:p>
      <w:pPr>
        <w:spacing w:after="0" w:line="177" w:lineRule="exact"/>
        <w:rPr>
          <w:rFonts w:ascii="Arial" w:cs="Arial" w:eastAsia="Arial" w:hAnsi="Arial"/>
          <w:sz w:val="20"/>
          <w:szCs w:val="20"/>
          <w:color w:val="auto"/>
        </w:rPr>
      </w:pPr>
    </w:p>
    <w:p>
      <w:pPr>
        <w:jc w:val="both"/>
        <w:ind w:left="332" w:hanging="332"/>
        <w:spacing w:after="0" w:line="248" w:lineRule="auto"/>
        <w:tabs>
          <w:tab w:leader="none" w:pos="332" w:val="left"/>
        </w:tabs>
        <w:numPr>
          <w:ilvl w:val="0"/>
          <w:numId w:val="53"/>
        </w:numPr>
        <w:rPr>
          <w:rFonts w:ascii="Arial" w:cs="Arial" w:eastAsia="Arial" w:hAnsi="Arial"/>
          <w:sz w:val="20"/>
          <w:szCs w:val="20"/>
          <w:color w:val="auto"/>
        </w:rPr>
      </w:pPr>
      <w:r>
        <w:rPr>
          <w:rFonts w:ascii="Arial" w:cs="Arial" w:eastAsia="Arial" w:hAnsi="Arial"/>
          <w:sz w:val="20"/>
          <w:szCs w:val="20"/>
          <w:b w:val="1"/>
          <w:bCs w:val="1"/>
          <w:color w:val="auto"/>
        </w:rPr>
        <w:t xml:space="preserve">Freedom to Contract. </w:t>
      </w:r>
      <w:r>
        <w:rPr>
          <w:rFonts w:ascii="Arial" w:cs="Arial" w:eastAsia="Arial" w:hAnsi="Arial"/>
          <w:sz w:val="20"/>
          <w:szCs w:val="20"/>
          <w:color w:val="auto"/>
        </w:rPr>
        <w:t>The Executive represents and warrants that the Executive has the right to enter into this Agreement and that the</w:t>
      </w:r>
      <w:r>
        <w:rPr>
          <w:rFonts w:ascii="Arial" w:cs="Arial" w:eastAsia="Arial" w:hAnsi="Arial"/>
          <w:sz w:val="20"/>
          <w:szCs w:val="20"/>
          <w:b w:val="1"/>
          <w:bCs w:val="1"/>
          <w:color w:val="auto"/>
        </w:rPr>
        <w:t xml:space="preserve"> </w:t>
      </w:r>
      <w:r>
        <w:rPr>
          <w:rFonts w:ascii="Arial" w:cs="Arial" w:eastAsia="Arial" w:hAnsi="Arial"/>
          <w:sz w:val="20"/>
          <w:szCs w:val="20"/>
          <w:color w:val="auto"/>
        </w:rPr>
        <w:t>Executive is eligible for employment by the Company. The Executive further agrees to hold the Company and its Affiliates harmless from any and all liability arising out of any contractual obligations entered into by the Executive that would prevent the Executive from performing the services the Executive is required to perform under this Agreement.</w:t>
      </w:r>
    </w:p>
    <w:p>
      <w:pPr>
        <w:spacing w:after="0" w:line="183" w:lineRule="exact"/>
        <w:rPr>
          <w:rFonts w:ascii="Arial" w:cs="Arial" w:eastAsia="Arial" w:hAnsi="Arial"/>
          <w:sz w:val="20"/>
          <w:szCs w:val="20"/>
          <w:color w:val="auto"/>
        </w:rPr>
      </w:pPr>
    </w:p>
    <w:p>
      <w:pPr>
        <w:ind w:left="332" w:hanging="332"/>
        <w:spacing w:after="0" w:line="267" w:lineRule="auto"/>
        <w:tabs>
          <w:tab w:leader="none" w:pos="332" w:val="left"/>
        </w:tabs>
        <w:numPr>
          <w:ilvl w:val="0"/>
          <w:numId w:val="53"/>
        </w:numPr>
        <w:rPr>
          <w:rFonts w:ascii="Arial" w:cs="Arial" w:eastAsia="Arial" w:hAnsi="Arial"/>
          <w:sz w:val="20"/>
          <w:szCs w:val="20"/>
          <w:color w:val="auto"/>
        </w:rPr>
      </w:pPr>
      <w:r>
        <w:rPr>
          <w:rFonts w:ascii="Arial" w:cs="Arial" w:eastAsia="Arial" w:hAnsi="Arial"/>
          <w:sz w:val="20"/>
          <w:szCs w:val="20"/>
          <w:b w:val="1"/>
          <w:bCs w:val="1"/>
          <w:color w:val="auto"/>
        </w:rPr>
        <w:t xml:space="preserve">Termination. </w:t>
      </w:r>
      <w:r>
        <w:rPr>
          <w:rFonts w:ascii="Arial" w:cs="Arial" w:eastAsia="Arial" w:hAnsi="Arial"/>
          <w:sz w:val="20"/>
          <w:szCs w:val="20"/>
          <w:color w:val="auto"/>
        </w:rPr>
        <w:t>Notwithstanding the provisions of</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auto"/>
        </w:rPr>
        <w:t>Section 2</w:t>
      </w:r>
      <w:r>
        <w:rPr>
          <w:rFonts w:ascii="Arial" w:cs="Arial" w:eastAsia="Arial" w:hAnsi="Arial"/>
          <w:sz w:val="20"/>
          <w:szCs w:val="20"/>
          <w:color w:val="auto"/>
        </w:rPr>
        <w:t>, the Executive’s employment under this Agreement and the Term hereunder</w:t>
      </w:r>
      <w:r>
        <w:rPr>
          <w:rFonts w:ascii="Arial" w:cs="Arial" w:eastAsia="Arial" w:hAnsi="Arial"/>
          <w:sz w:val="20"/>
          <w:szCs w:val="20"/>
          <w:b w:val="1"/>
          <w:bCs w:val="1"/>
          <w:color w:val="auto"/>
        </w:rPr>
        <w:t xml:space="preserve"> </w:t>
      </w:r>
      <w:r>
        <w:rPr>
          <w:rFonts w:ascii="Arial" w:cs="Arial" w:eastAsia="Arial" w:hAnsi="Arial"/>
          <w:sz w:val="20"/>
          <w:szCs w:val="20"/>
          <w:color w:val="auto"/>
        </w:rPr>
        <w:t>shall terminate on the earliest of the following dates:</w:t>
      </w:r>
    </w:p>
    <w:p>
      <w:pPr>
        <w:spacing w:after="0" w:line="169" w:lineRule="exact"/>
        <w:rPr>
          <w:rFonts w:ascii="Arial" w:cs="Arial" w:eastAsia="Arial" w:hAnsi="Arial"/>
          <w:sz w:val="20"/>
          <w:szCs w:val="20"/>
          <w:color w:val="auto"/>
        </w:rPr>
      </w:pPr>
    </w:p>
    <w:p>
      <w:pPr>
        <w:jc w:val="both"/>
        <w:ind w:left="652" w:hanging="497"/>
        <w:spacing w:after="0" w:line="270" w:lineRule="auto"/>
        <w:tabs>
          <w:tab w:leader="none" w:pos="641" w:val="left"/>
        </w:tabs>
        <w:numPr>
          <w:ilvl w:val="1"/>
          <w:numId w:val="53"/>
        </w:numPr>
        <w:rPr>
          <w:rFonts w:ascii="Arial" w:cs="Arial" w:eastAsia="Arial" w:hAnsi="Arial"/>
          <w:sz w:val="18"/>
          <w:szCs w:val="18"/>
          <w:color w:val="auto"/>
        </w:rPr>
      </w:pPr>
      <w:r>
        <w:rPr>
          <w:rFonts w:ascii="Arial" w:cs="Arial" w:eastAsia="Arial" w:hAnsi="Arial"/>
          <w:sz w:val="18"/>
          <w:szCs w:val="18"/>
          <w:u w:val="single" w:color="auto"/>
          <w:color w:val="auto"/>
        </w:rPr>
        <w:t>Death</w:t>
      </w:r>
      <w:r>
        <w:rPr>
          <w:rFonts w:ascii="Arial" w:cs="Arial" w:eastAsia="Arial" w:hAnsi="Arial"/>
          <w:sz w:val="18"/>
          <w:szCs w:val="18"/>
          <w:color w:val="auto"/>
        </w:rPr>
        <w:t>. On the date of the Executive’s death. In the event of the death of the Executive, the Company shall pay to the Executive’s legal representatives or named beneficiaries (as designated in a writing delivered to the Company) (the “</w:t>
      </w:r>
      <w:r>
        <w:rPr>
          <w:rFonts w:ascii="Arial" w:cs="Arial" w:eastAsia="Arial" w:hAnsi="Arial"/>
          <w:sz w:val="18"/>
          <w:szCs w:val="18"/>
          <w:u w:val="single" w:color="auto"/>
          <w:color w:val="auto"/>
        </w:rPr>
        <w:t>Estate</w:t>
      </w:r>
      <w:r>
        <w:rPr>
          <w:rFonts w:ascii="Arial" w:cs="Arial" w:eastAsia="Arial" w:hAnsi="Arial"/>
          <w:sz w:val="18"/>
          <w:szCs w:val="18"/>
          <w:color w:val="auto"/>
        </w:rPr>
        <w:t>”) the Executive’s (i) earned but unpaid Base Salary, (ii) any accrued but unpaid paid time off or vacation payable in accordance with applicable Company policy and the terms of this Agreement, (iii) any reimbursable business expenses incurred, but not yet reimbursed to the Executive, and (iv) any benefits earned through the date of the Executive’s termination in accordance with the terms of the applicable benefit plans (collectively, the “</w:t>
      </w:r>
      <w:r>
        <w:rPr>
          <w:rFonts w:ascii="Arial" w:cs="Arial" w:eastAsia="Arial" w:hAnsi="Arial"/>
          <w:sz w:val="18"/>
          <w:szCs w:val="18"/>
          <w:u w:val="single" w:color="auto"/>
          <w:color w:val="auto"/>
        </w:rPr>
        <w:t>Accrued Benefits</w:t>
      </w:r>
      <w:r>
        <w:rPr>
          <w:rFonts w:ascii="Arial" w:cs="Arial" w:eastAsia="Arial" w:hAnsi="Arial"/>
          <w:sz w:val="18"/>
          <w:szCs w:val="18"/>
          <w:color w:val="auto"/>
        </w:rPr>
        <w:t>”). The Accrued Benefits shall be paid by the Company to the Estate within five (5) days of the receipt by the Company of documentation in connection with proof of the Executive’s death, as required by applicable law and reasonably requested by the Company. The Company shall also pay the Estate (i) any unpaid Annual Bonus for the preceding fiscal year and (ii) a pro-rated portion of the Annual Bonus for the current fiscal year based on the number of days that the Executive was employed by the Company for during the year of the Executive’s termination (“</w:t>
      </w:r>
      <w:r>
        <w:rPr>
          <w:rFonts w:ascii="Arial" w:cs="Arial" w:eastAsia="Arial" w:hAnsi="Arial"/>
          <w:sz w:val="18"/>
          <w:szCs w:val="18"/>
          <w:u w:val="single" w:color="auto"/>
          <w:color w:val="auto"/>
        </w:rPr>
        <w:t>Pro-Rated Bonus</w:t>
      </w:r>
      <w:r>
        <w:rPr>
          <w:rFonts w:ascii="Arial" w:cs="Arial" w:eastAsia="Arial" w:hAnsi="Arial"/>
          <w:sz w:val="18"/>
          <w:szCs w:val="18"/>
          <w:color w:val="auto"/>
        </w:rPr>
        <w:t xml:space="preserve">”), payable in accordance with the timing as set forth in </w:t>
      </w:r>
      <w:r>
        <w:rPr>
          <w:rFonts w:ascii="Arial" w:cs="Arial" w:eastAsia="Arial" w:hAnsi="Arial"/>
          <w:sz w:val="18"/>
          <w:szCs w:val="18"/>
          <w:u w:val="single" w:color="auto"/>
          <w:color w:val="auto"/>
        </w:rPr>
        <w:t>Section 8(h)</w:t>
      </w:r>
      <w:r>
        <w:rPr>
          <w:rFonts w:ascii="Arial" w:cs="Arial" w:eastAsia="Arial" w:hAnsi="Arial"/>
          <w:sz w:val="18"/>
          <w:szCs w:val="18"/>
          <w:color w:val="auto"/>
        </w:rPr>
        <w:t xml:space="preserve">. Furthermore, notwithstanding anything in the applicable equity incentive plan and/or equity award agreement to the contrary, any unvested portion of any equity awards held by the Executive shall vest in full and become exercisable and free from forfeiture or repurchase, as applicable, as of the effective date of the release as set forth in </w:t>
      </w:r>
      <w:r>
        <w:rPr>
          <w:rFonts w:ascii="Arial" w:cs="Arial" w:eastAsia="Arial" w:hAnsi="Arial"/>
          <w:sz w:val="18"/>
          <w:szCs w:val="18"/>
          <w:u w:val="single" w:color="auto"/>
          <w:color w:val="auto"/>
        </w:rPr>
        <w:t>Section 8(i)</w:t>
      </w:r>
      <w:r>
        <w:rPr>
          <w:rFonts w:ascii="Arial" w:cs="Arial" w:eastAsia="Arial" w:hAnsi="Arial"/>
          <w:sz w:val="18"/>
          <w:szCs w:val="18"/>
          <w:color w:val="auto"/>
        </w:rPr>
        <w:t>.</w:t>
      </w:r>
    </w:p>
    <w:p>
      <w:pPr>
        <w:spacing w:after="0" w:line="199" w:lineRule="exact"/>
        <w:rPr>
          <w:rFonts w:ascii="Arial" w:cs="Arial" w:eastAsia="Arial" w:hAnsi="Arial"/>
          <w:sz w:val="18"/>
          <w:szCs w:val="18"/>
          <w:color w:val="auto"/>
        </w:rPr>
      </w:pPr>
    </w:p>
    <w:p>
      <w:pPr>
        <w:jc w:val="both"/>
        <w:ind w:left="652" w:hanging="567"/>
        <w:spacing w:after="0" w:line="239" w:lineRule="auto"/>
        <w:tabs>
          <w:tab w:leader="none" w:pos="641" w:val="left"/>
        </w:tabs>
        <w:numPr>
          <w:ilvl w:val="1"/>
          <w:numId w:val="53"/>
        </w:numPr>
        <w:rPr>
          <w:rFonts w:ascii="Arial" w:cs="Arial" w:eastAsia="Arial" w:hAnsi="Arial"/>
          <w:sz w:val="22"/>
          <w:szCs w:val="22"/>
          <w:color w:val="auto"/>
        </w:rPr>
      </w:pPr>
      <w:r>
        <w:rPr>
          <w:rFonts w:ascii="Arial" w:cs="Arial" w:eastAsia="Arial" w:hAnsi="Arial"/>
          <w:sz w:val="20"/>
          <w:szCs w:val="20"/>
          <w:u w:val="single" w:color="auto"/>
          <w:color w:val="auto"/>
        </w:rPr>
        <w:t>Disability</w:t>
      </w:r>
      <w:r>
        <w:rPr>
          <w:rFonts w:ascii="Arial" w:cs="Arial" w:eastAsia="Arial" w:hAnsi="Arial"/>
          <w:sz w:val="20"/>
          <w:szCs w:val="20"/>
          <w:color w:val="auto"/>
        </w:rPr>
        <w:t>. On the date specified in a written notice from the Company terminating the Executive’s employment due to Disability, or in the event no date is specified in the notice, on the date on which the notice is delivered to the Executive. For the purposes of this Agreement, “Disability” shall mean that (x) the Executive shall have failed to perform the services contemplated under this Agreement due to a medically determinable physical or mental impairment that can be expected to result in death or can be expected to last for a period of 180 consecutive days, or a total of at least 240 calendar days during any 365-day period, or (y) a determination of permanent disability shall have been made by a physician satisfactory to both the Executive and the Company, provided that if the Executive and the Company do not agree on a physician, the Executive and the Company shall each select a physician and these two together</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2" w:lineRule="exact"/>
        <w:rPr>
          <w:rFonts w:ascii="Arial" w:cs="Arial" w:eastAsia="Arial" w:hAnsi="Arial"/>
          <w:sz w:val="22"/>
          <w:szCs w:val="22"/>
          <w:color w:val="auto"/>
        </w:rPr>
      </w:pPr>
    </w:p>
    <w:p>
      <w:pPr>
        <w:ind w:left="352" w:hanging="136"/>
        <w:spacing w:after="0"/>
        <w:tabs>
          <w:tab w:leader="none" w:pos="352" w:val="left"/>
        </w:tabs>
        <w:numPr>
          <w:ilvl w:val="2"/>
          <w:numId w:val="53"/>
        </w:numPr>
        <w:rPr>
          <w:rFonts w:ascii="Arial" w:cs="Arial" w:eastAsia="Arial" w:hAnsi="Arial"/>
          <w:sz w:val="22"/>
          <w:szCs w:val="22"/>
          <w:color w:val="auto"/>
        </w:rPr>
      </w:pPr>
      <w:r>
        <w:rPr>
          <w:rFonts w:ascii="Arial" w:cs="Arial" w:eastAsia="Arial" w:hAnsi="Arial"/>
          <w:sz w:val="22"/>
          <w:szCs w:val="22"/>
          <w:color w:val="auto"/>
        </w:rPr>
        <w:t>3 -</w:t>
      </w:r>
    </w:p>
    <w:p>
      <w:pPr>
        <w:sectPr>
          <w:pgSz w:w="11900" w:h="16838" w:orient="portrait"/>
          <w:cols w:equalWidth="0" w:num="1">
            <w:col w:w="11232"/>
          </w:cols>
          <w:pgMar w:left="328" w:top="1419" w:right="339" w:bottom="1440" w:gutter="0" w:footer="0" w:header="0"/>
        </w:sectPr>
      </w:pPr>
    </w:p>
    <w:bookmarkStart w:id="80" w:name="page81"/>
    <w:bookmarkEnd w:id="80"/>
    <w:p>
      <w:pPr>
        <w:jc w:val="both"/>
        <w:ind w:left="607"/>
        <w:spacing w:after="0" w:line="274" w:lineRule="auto"/>
        <w:rPr>
          <w:sz w:val="20"/>
          <w:szCs w:val="20"/>
          <w:color w:val="auto"/>
        </w:rPr>
      </w:pPr>
      <w:r>
        <w:rPr>
          <w:rFonts w:ascii="Arial" w:cs="Arial" w:eastAsia="Arial" w:hAnsi="Arial"/>
          <w:sz w:val="18"/>
          <w:szCs w:val="18"/>
          <w:color w:val="auto"/>
        </w:rPr>
        <w:t xml:space="preserve">shall select a third physician whose determination as to disability shall be binding on both parties. In the event of the termination of the Executive’s employment pursuant to this </w:t>
      </w:r>
      <w:r>
        <w:rPr>
          <w:rFonts w:ascii="Arial" w:cs="Arial" w:eastAsia="Arial" w:hAnsi="Arial"/>
          <w:sz w:val="18"/>
          <w:szCs w:val="18"/>
          <w:u w:val="single" w:color="auto"/>
          <w:color w:val="auto"/>
        </w:rPr>
        <w:t>Section 8(b)</w:t>
      </w:r>
      <w:r>
        <w:rPr>
          <w:rFonts w:ascii="Arial" w:cs="Arial" w:eastAsia="Arial" w:hAnsi="Arial"/>
          <w:sz w:val="18"/>
          <w:szCs w:val="18"/>
          <w:color w:val="auto"/>
        </w:rPr>
        <w:t xml:space="preserve">, the Company shall pay to the Executive the Executive’s Accrued Benefits earned as of the date of the Executive’s termination. The Company shall also pay the Executive (i) any unpaid Annual Bonus for the preceding fiscal year, and (ii) the Pro-Rated Bonus, payable in accordance with the timing as set forth in </w:t>
      </w:r>
      <w:r>
        <w:rPr>
          <w:rFonts w:ascii="Arial" w:cs="Arial" w:eastAsia="Arial" w:hAnsi="Arial"/>
          <w:sz w:val="18"/>
          <w:szCs w:val="18"/>
          <w:u w:val="single" w:color="auto"/>
          <w:color w:val="auto"/>
        </w:rPr>
        <w:t>Section 8(h)</w:t>
      </w:r>
      <w:r>
        <w:rPr>
          <w:rFonts w:ascii="Arial" w:cs="Arial" w:eastAsia="Arial" w:hAnsi="Arial"/>
          <w:sz w:val="18"/>
          <w:szCs w:val="18"/>
          <w:color w:val="auto"/>
        </w:rPr>
        <w:t xml:space="preserve">. Furthermore, notwithstanding anything in the applicable equity incentive plan and/or equity award agreement to the contrary, any unvested portion of any equity awards held by the Executive shall vest in full and become exercisable and free from forfeiture or repurchase, as applicable, as of the effective date of the release as set forth in </w:t>
      </w:r>
      <w:r>
        <w:rPr>
          <w:rFonts w:ascii="Arial" w:cs="Arial" w:eastAsia="Arial" w:hAnsi="Arial"/>
          <w:sz w:val="18"/>
          <w:szCs w:val="18"/>
          <w:u w:val="single" w:color="auto"/>
          <w:color w:val="auto"/>
        </w:rPr>
        <w:t>Section 8(i)</w:t>
      </w:r>
      <w:r>
        <w:rPr>
          <w:rFonts w:ascii="Arial" w:cs="Arial" w:eastAsia="Arial" w:hAnsi="Arial"/>
          <w:sz w:val="18"/>
          <w:szCs w:val="18"/>
          <w:color w:val="auto"/>
        </w:rPr>
        <w:t>.</w:t>
      </w:r>
    </w:p>
    <w:p>
      <w:pPr>
        <w:spacing w:after="0" w:line="168" w:lineRule="exact"/>
        <w:rPr>
          <w:sz w:val="20"/>
          <w:szCs w:val="20"/>
          <w:color w:val="auto"/>
        </w:rPr>
      </w:pPr>
    </w:p>
    <w:p>
      <w:pPr>
        <w:jc w:val="both"/>
        <w:ind w:left="607" w:hanging="607"/>
        <w:spacing w:after="0" w:line="267" w:lineRule="auto"/>
        <w:tabs>
          <w:tab w:leader="none" w:pos="596" w:val="left"/>
        </w:tabs>
        <w:numPr>
          <w:ilvl w:val="0"/>
          <w:numId w:val="54"/>
        </w:numPr>
        <w:rPr>
          <w:rFonts w:ascii="Arial" w:cs="Arial" w:eastAsia="Arial" w:hAnsi="Arial"/>
          <w:sz w:val="18"/>
          <w:szCs w:val="18"/>
          <w:color w:val="auto"/>
        </w:rPr>
      </w:pPr>
      <w:r>
        <w:rPr>
          <w:rFonts w:ascii="Arial" w:cs="Arial" w:eastAsia="Arial" w:hAnsi="Arial"/>
          <w:sz w:val="18"/>
          <w:szCs w:val="18"/>
          <w:u w:val="single" w:color="auto"/>
          <w:color w:val="auto"/>
        </w:rPr>
        <w:t>For Cause</w:t>
      </w:r>
      <w:r>
        <w:rPr>
          <w:rFonts w:ascii="Arial" w:cs="Arial" w:eastAsia="Arial" w:hAnsi="Arial"/>
          <w:sz w:val="18"/>
          <w:szCs w:val="18"/>
          <w:color w:val="auto"/>
        </w:rPr>
        <w:t xml:space="preserve">. On the date of delivery of a notice from the Company terminating the Executive’s employment for Cause. For purposes of this Agreement, the Company shall have “Cause” to terminate the Executive’s employment hereunder in the event: (i) the Executive shall have willfully failed and continued to fail substantially to perform the duties (other than due to Disability or any failure that the Company anticipated or had reason to anticipate after the issuance by the Executive of a notice of termination) for thirty (30) days after a written demand for performance is delivered to the Executive on behalf of the Company which specifically identifies the manner in which it is alleged that the Executive has not substantially performed his duties, provided that the Company's economic performance or failure to meet any specific projection shall not, in and of itself, constitute “Cause”; (ii) the Executive shall have engaged in (A) any material misappropriation of funds, properties, or assets of the Company, it being understood that “material” for these purposes shall take into account both the amount of funds, properties or assets misappropriated, and the circumstances thereof (including the intent of the Executive in connection therewith); (iii) any malicious damage or destruction of any property or assets of the Company, whether resulting from the Executive's willful actions or omissions or the Executive's gross negligence; (iv) the Executive shall (A) have been convicted of a crime involving moral turpitude or constituting a felony relating to the Company or (B) entered a plea of nolo contendere to any such crime, either of which has had a material adverse effect upon the business of the Company; (v) the Executive shall have (A) materially breached his obligations under </w:t>
      </w:r>
      <w:r>
        <w:rPr>
          <w:rFonts w:ascii="Arial" w:cs="Arial" w:eastAsia="Arial" w:hAnsi="Arial"/>
          <w:sz w:val="18"/>
          <w:szCs w:val="18"/>
          <w:u w:val="single" w:color="auto"/>
          <w:color w:val="auto"/>
        </w:rPr>
        <w:t>Sections 10, 11 and 13</w:t>
      </w:r>
      <w:r>
        <w:rPr>
          <w:rFonts w:ascii="Arial" w:cs="Arial" w:eastAsia="Arial" w:hAnsi="Arial"/>
          <w:sz w:val="18"/>
          <w:szCs w:val="18"/>
          <w:color w:val="auto"/>
        </w:rPr>
        <w:t xml:space="preserve"> hereof or (B) breached any of the other material provisions of this Agreement and such breach shall remain uncured by the Executive within 30 days following receipt of notice from the Company specifying such breach; and/or (vi) (AA) the Executive is sanctioned by a federal or state government or agency with material violations, provided that such violations are willful and knowing violations on the Executive’s part, of federal or state securities laws relating to the Company and for which the Executive is directly responsible, or</w:t>
      </w:r>
    </w:p>
    <w:p>
      <w:pPr>
        <w:spacing w:after="0" w:line="2" w:lineRule="exact"/>
        <w:rPr>
          <w:rFonts w:ascii="Arial" w:cs="Arial" w:eastAsia="Arial" w:hAnsi="Arial"/>
          <w:sz w:val="18"/>
          <w:szCs w:val="18"/>
          <w:color w:val="auto"/>
        </w:rPr>
      </w:pPr>
    </w:p>
    <w:p>
      <w:pPr>
        <w:jc w:val="both"/>
        <w:ind w:left="607" w:hanging="4"/>
        <w:spacing w:after="0"/>
        <w:tabs>
          <w:tab w:leader="none" w:pos="1067" w:val="left"/>
        </w:tabs>
        <w:numPr>
          <w:ilvl w:val="1"/>
          <w:numId w:val="54"/>
        </w:numPr>
        <w:rPr>
          <w:rFonts w:ascii="Arial" w:cs="Arial" w:eastAsia="Arial" w:hAnsi="Arial"/>
          <w:sz w:val="20"/>
          <w:szCs w:val="20"/>
          <w:color w:val="auto"/>
        </w:rPr>
      </w:pPr>
      <w:r>
        <w:rPr>
          <w:rFonts w:ascii="Arial" w:cs="Arial" w:eastAsia="Arial" w:hAnsi="Arial"/>
          <w:sz w:val="20"/>
          <w:szCs w:val="20"/>
          <w:color w:val="auto"/>
        </w:rPr>
        <w:t xml:space="preserve">the Executive is found by any court, or by any judicial or administrative process or proceeding, to have committed any such violation, provided that any such violation has had a material adverse effect upon the business of the Company. In the event of the termination of the Executive’s employment for Cause pursuant to this </w:t>
      </w:r>
      <w:r>
        <w:rPr>
          <w:rFonts w:ascii="Arial" w:cs="Arial" w:eastAsia="Arial" w:hAnsi="Arial"/>
          <w:sz w:val="20"/>
          <w:szCs w:val="20"/>
          <w:u w:val="single" w:color="auto"/>
          <w:color w:val="auto"/>
        </w:rPr>
        <w:t>Section 8(c)</w:t>
      </w:r>
      <w:r>
        <w:rPr>
          <w:rFonts w:ascii="Arial" w:cs="Arial" w:eastAsia="Arial" w:hAnsi="Arial"/>
          <w:sz w:val="20"/>
          <w:szCs w:val="20"/>
          <w:color w:val="auto"/>
        </w:rPr>
        <w:t>, the Company shall pay to the Executive Accrued Benefits that had been earned but unpaid as of the date of the termination, and the Executive shall receive no further payments of any kind.</w:t>
      </w:r>
    </w:p>
    <w:p>
      <w:pPr>
        <w:spacing w:after="0" w:line="198" w:lineRule="exact"/>
        <w:rPr>
          <w:sz w:val="20"/>
          <w:szCs w:val="20"/>
          <w:color w:val="auto"/>
        </w:rPr>
      </w:pPr>
    </w:p>
    <w:p>
      <w:pPr>
        <w:jc w:val="both"/>
        <w:ind w:left="607" w:hanging="596"/>
        <w:spacing w:after="0" w:line="244" w:lineRule="auto"/>
        <w:tabs>
          <w:tab w:leader="none" w:pos="583" w:val="left"/>
        </w:tabs>
        <w:numPr>
          <w:ilvl w:val="0"/>
          <w:numId w:val="55"/>
        </w:numPr>
        <w:rPr>
          <w:rFonts w:ascii="Arial" w:cs="Arial" w:eastAsia="Arial" w:hAnsi="Arial"/>
          <w:sz w:val="20"/>
          <w:szCs w:val="20"/>
          <w:color w:val="auto"/>
        </w:rPr>
      </w:pPr>
      <w:r>
        <w:rPr>
          <w:rFonts w:ascii="Arial" w:cs="Arial" w:eastAsia="Arial" w:hAnsi="Arial"/>
          <w:sz w:val="20"/>
          <w:szCs w:val="20"/>
          <w:u w:val="single" w:color="auto"/>
          <w:color w:val="auto"/>
        </w:rPr>
        <w:t>Without Cause</w:t>
      </w:r>
      <w:r>
        <w:rPr>
          <w:rFonts w:ascii="Arial" w:cs="Arial" w:eastAsia="Arial" w:hAnsi="Arial"/>
          <w:sz w:val="20"/>
          <w:szCs w:val="20"/>
          <w:color w:val="auto"/>
        </w:rPr>
        <w:t>. On the date specified in a written notice from the Company terminating the Executive’s employment Without Cause, or in the event no date is specified in the notice, on the date on which the notice is delivered to the Executive, provided that such termination may take place no earlier than thirty (30) days after the Company has provided written notice to the Executive of the Company’s intent to terminate employment. The Company reserves the right to provide payment at the Executive’s then-current Base Salary in lieu of all or any portion of such</w:t>
      </w: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399" w:lineRule="exact"/>
        <w:rPr>
          <w:rFonts w:ascii="Arial" w:cs="Arial" w:eastAsia="Arial" w:hAnsi="Arial"/>
          <w:sz w:val="20"/>
          <w:szCs w:val="20"/>
          <w:color w:val="auto"/>
        </w:rPr>
      </w:pPr>
    </w:p>
    <w:p>
      <w:pPr>
        <w:ind w:left="307" w:hanging="136"/>
        <w:spacing w:after="0"/>
        <w:tabs>
          <w:tab w:leader="none" w:pos="307" w:val="left"/>
        </w:tabs>
        <w:numPr>
          <w:ilvl w:val="1"/>
          <w:numId w:val="55"/>
        </w:numPr>
        <w:rPr>
          <w:rFonts w:ascii="Arial" w:cs="Arial" w:eastAsia="Arial" w:hAnsi="Arial"/>
          <w:sz w:val="22"/>
          <w:szCs w:val="22"/>
          <w:color w:val="auto"/>
        </w:rPr>
      </w:pPr>
      <w:r>
        <w:rPr>
          <w:rFonts w:ascii="Arial" w:cs="Arial" w:eastAsia="Arial" w:hAnsi="Arial"/>
          <w:sz w:val="22"/>
          <w:szCs w:val="22"/>
          <w:color w:val="auto"/>
        </w:rPr>
        <w:t>4 -</w:t>
      </w:r>
    </w:p>
    <w:p>
      <w:pPr>
        <w:sectPr>
          <w:pgSz w:w="11900" w:h="16838" w:orient="portrait"/>
          <w:cols w:equalWidth="0" w:num="1">
            <w:col w:w="11187"/>
          </w:cols>
          <w:pgMar w:left="373" w:top="1419" w:right="339" w:bottom="1440" w:gutter="0" w:footer="0" w:header="0"/>
        </w:sectPr>
      </w:pPr>
    </w:p>
    <w:bookmarkStart w:id="81" w:name="page82"/>
    <w:bookmarkEnd w:id="81"/>
    <w:p>
      <w:pPr>
        <w:jc w:val="both"/>
        <w:ind w:left="596"/>
        <w:spacing w:after="0" w:line="244" w:lineRule="auto"/>
        <w:rPr>
          <w:sz w:val="20"/>
          <w:szCs w:val="20"/>
          <w:color w:val="auto"/>
        </w:rPr>
      </w:pPr>
      <w:r>
        <w:rPr>
          <w:rFonts w:ascii="Arial" w:cs="Arial" w:eastAsia="Arial" w:hAnsi="Arial"/>
          <w:sz w:val="20"/>
          <w:szCs w:val="20"/>
          <w:color w:val="auto"/>
        </w:rPr>
        <w:t>notice period. For purposes of this Agreement, “</w:t>
      </w:r>
      <w:r>
        <w:rPr>
          <w:rFonts w:ascii="Arial" w:cs="Arial" w:eastAsia="Arial" w:hAnsi="Arial"/>
          <w:sz w:val="20"/>
          <w:szCs w:val="20"/>
          <w:u w:val="single" w:color="auto"/>
          <w:color w:val="auto"/>
        </w:rPr>
        <w:t>Without Cause</w:t>
      </w:r>
      <w:r>
        <w:rPr>
          <w:rFonts w:ascii="Arial" w:cs="Arial" w:eastAsia="Arial" w:hAnsi="Arial"/>
          <w:sz w:val="20"/>
          <w:szCs w:val="20"/>
          <w:color w:val="auto"/>
        </w:rPr>
        <w:t xml:space="preserve">” shall mean any reason for the Company’s decision to terminate the Executive’s employment other than by reason of the Executive’s death, Disability, or for Cause, as provided in subsections (a) through (c) above. In the event of the termination of the Executive’s employment Without Cause pursuant to this </w:t>
      </w:r>
      <w:r>
        <w:rPr>
          <w:rFonts w:ascii="Arial" w:cs="Arial" w:eastAsia="Arial" w:hAnsi="Arial"/>
          <w:sz w:val="20"/>
          <w:szCs w:val="20"/>
          <w:u w:val="single" w:color="auto"/>
          <w:color w:val="auto"/>
        </w:rPr>
        <w:t>Section 8(d)</w:t>
      </w:r>
      <w:r>
        <w:rPr>
          <w:rFonts w:ascii="Arial" w:cs="Arial" w:eastAsia="Arial" w:hAnsi="Arial"/>
          <w:sz w:val="20"/>
          <w:szCs w:val="20"/>
          <w:color w:val="auto"/>
        </w:rPr>
        <w:t>, the Company shall pay to the Executive all Accrued Benefits through the date of such termination, and Severance Benefits (as defined below).</w:t>
      </w:r>
    </w:p>
    <w:p>
      <w:pPr>
        <w:spacing w:after="0" w:line="194" w:lineRule="exact"/>
        <w:rPr>
          <w:sz w:val="20"/>
          <w:szCs w:val="20"/>
          <w:color w:val="auto"/>
        </w:rPr>
      </w:pPr>
    </w:p>
    <w:p>
      <w:pPr>
        <w:jc w:val="both"/>
        <w:ind w:left="596" w:hanging="541"/>
        <w:spacing w:after="0" w:line="270" w:lineRule="auto"/>
        <w:tabs>
          <w:tab w:leader="none" w:pos="572" w:val="left"/>
        </w:tabs>
        <w:numPr>
          <w:ilvl w:val="0"/>
          <w:numId w:val="56"/>
        </w:numPr>
        <w:rPr>
          <w:rFonts w:ascii="Arial" w:cs="Arial" w:eastAsia="Arial" w:hAnsi="Arial"/>
          <w:sz w:val="18"/>
          <w:szCs w:val="18"/>
          <w:color w:val="auto"/>
        </w:rPr>
      </w:pPr>
      <w:r>
        <w:rPr>
          <w:rFonts w:ascii="Arial" w:cs="Arial" w:eastAsia="Arial" w:hAnsi="Arial"/>
          <w:sz w:val="18"/>
          <w:szCs w:val="18"/>
          <w:u w:val="single" w:color="auto"/>
          <w:color w:val="auto"/>
        </w:rPr>
        <w:t>For Good Reason</w:t>
      </w:r>
      <w:r>
        <w:rPr>
          <w:rFonts w:ascii="Arial" w:cs="Arial" w:eastAsia="Arial" w:hAnsi="Arial"/>
          <w:sz w:val="18"/>
          <w:szCs w:val="18"/>
          <w:color w:val="auto"/>
        </w:rPr>
        <w:t>. By the Executive for Good Reason as set forth herein. “</w:t>
      </w:r>
      <w:r>
        <w:rPr>
          <w:rFonts w:ascii="Arial" w:cs="Arial" w:eastAsia="Arial" w:hAnsi="Arial"/>
          <w:sz w:val="18"/>
          <w:szCs w:val="18"/>
          <w:u w:val="single" w:color="auto"/>
          <w:color w:val="auto"/>
        </w:rPr>
        <w:t>Good Reason</w:t>
      </w:r>
      <w:r>
        <w:rPr>
          <w:rFonts w:ascii="Arial" w:cs="Arial" w:eastAsia="Arial" w:hAnsi="Arial"/>
          <w:sz w:val="18"/>
          <w:szCs w:val="18"/>
          <w:color w:val="auto"/>
        </w:rPr>
        <w:t xml:space="preserve">” for purposes of this Agreement shall mean the occurrence of any of the following events without the Executive’s consent: (i) any material reduction in the Executive’s then current Base Salary; (ii) the assignment to the Executive of any duties inconsistent with his status as Chief Executive Officer of the Company, his removal from the position of Chief Executive Officer of the Company, or a material diminution in the Executive’s duties, title, or reporting relationship; (iii) the relocation of the Executive’s work location to a location that is more than thirty (30) miles from the Executive’s then-current principal work location, provided, however, that travel during the ordinary course of performance of the Executive’s duties will not constitute Good Reason; and/or (iv) the Company ceasing to provide, in the aggregate, substantially the same employee benefits that are set forth in </w:t>
      </w:r>
      <w:r>
        <w:rPr>
          <w:rFonts w:ascii="Arial" w:cs="Arial" w:eastAsia="Arial" w:hAnsi="Arial"/>
          <w:sz w:val="18"/>
          <w:szCs w:val="18"/>
          <w:u w:val="single" w:color="auto"/>
          <w:color w:val="auto"/>
        </w:rPr>
        <w:t>Section 5(a)</w:t>
      </w:r>
      <w:r>
        <w:rPr>
          <w:rFonts w:ascii="Arial" w:cs="Arial" w:eastAsia="Arial" w:hAnsi="Arial"/>
          <w:sz w:val="18"/>
          <w:szCs w:val="18"/>
          <w:color w:val="auto"/>
        </w:rPr>
        <w:t xml:space="preserve"> of this Agreement or a material breach by the Company of any other provision of this Agreement; provided that, in each case, (A) within sixty (60) days of the first occurrence of such event, the Executive must give written notice to the Board stating in reasonable detail the actions or omissions purported to constitute Good Reason, (B) such event is not corrected within thirty (30) days after receiving the Executive’s written notice (the “</w:t>
      </w:r>
      <w:r>
        <w:rPr>
          <w:rFonts w:ascii="Arial" w:cs="Arial" w:eastAsia="Arial" w:hAnsi="Arial"/>
          <w:sz w:val="18"/>
          <w:szCs w:val="18"/>
          <w:u w:val="single" w:color="auto"/>
          <w:color w:val="auto"/>
        </w:rPr>
        <w:t>Cure Period</w:t>
      </w:r>
      <w:r>
        <w:rPr>
          <w:rFonts w:ascii="Arial" w:cs="Arial" w:eastAsia="Arial" w:hAnsi="Arial"/>
          <w:sz w:val="18"/>
          <w:szCs w:val="18"/>
          <w:color w:val="auto"/>
        </w:rPr>
        <w:t>”), and</w:t>
      </w:r>
    </w:p>
    <w:p>
      <w:pPr>
        <w:spacing w:after="0" w:line="6" w:lineRule="exact"/>
        <w:rPr>
          <w:rFonts w:ascii="Arial" w:cs="Arial" w:eastAsia="Arial" w:hAnsi="Arial"/>
          <w:sz w:val="18"/>
          <w:szCs w:val="18"/>
          <w:color w:val="auto"/>
        </w:rPr>
      </w:pPr>
    </w:p>
    <w:p>
      <w:pPr>
        <w:jc w:val="both"/>
        <w:ind w:left="596"/>
        <w:spacing w:after="0" w:line="241" w:lineRule="auto"/>
        <w:rPr>
          <w:rFonts w:ascii="Arial" w:cs="Arial" w:eastAsia="Arial" w:hAnsi="Arial"/>
          <w:sz w:val="18"/>
          <w:szCs w:val="18"/>
          <w:color w:val="auto"/>
        </w:rPr>
      </w:pPr>
      <w:r>
        <w:rPr>
          <w:rFonts w:ascii="Arial" w:cs="Arial" w:eastAsia="Arial" w:hAnsi="Arial"/>
          <w:sz w:val="20"/>
          <w:szCs w:val="20"/>
          <w:color w:val="auto"/>
        </w:rPr>
        <w:t xml:space="preserve">(C) the Executive terminates the Executive’s employment within thirty (30) days following the end of the Cure Period. In the event of the termination by the Executive for Good Reason pursuant to this </w:t>
      </w:r>
      <w:r>
        <w:rPr>
          <w:rFonts w:ascii="Arial" w:cs="Arial" w:eastAsia="Arial" w:hAnsi="Arial"/>
          <w:sz w:val="20"/>
          <w:szCs w:val="20"/>
          <w:u w:val="single" w:color="auto"/>
          <w:color w:val="auto"/>
        </w:rPr>
        <w:t>Section 8(e)</w:t>
      </w:r>
      <w:r>
        <w:rPr>
          <w:rFonts w:ascii="Arial" w:cs="Arial" w:eastAsia="Arial" w:hAnsi="Arial"/>
          <w:sz w:val="20"/>
          <w:szCs w:val="20"/>
          <w:color w:val="auto"/>
        </w:rPr>
        <w:t>, the Company shall pay to the Executive all Accrued Benefits through the date of such termination, and Severance Benefits.</w:t>
      </w:r>
    </w:p>
    <w:p>
      <w:pPr>
        <w:spacing w:after="0" w:line="196" w:lineRule="exact"/>
        <w:rPr>
          <w:sz w:val="20"/>
          <w:szCs w:val="20"/>
          <w:color w:val="auto"/>
        </w:rPr>
      </w:pPr>
    </w:p>
    <w:p>
      <w:pPr>
        <w:jc w:val="both"/>
        <w:ind w:left="596" w:hanging="596"/>
        <w:spacing w:after="0" w:line="250" w:lineRule="auto"/>
        <w:tabs>
          <w:tab w:leader="none" w:pos="585" w:val="left"/>
        </w:tabs>
        <w:numPr>
          <w:ilvl w:val="0"/>
          <w:numId w:val="57"/>
        </w:numPr>
        <w:rPr>
          <w:rFonts w:ascii="Arial" w:cs="Arial" w:eastAsia="Arial" w:hAnsi="Arial"/>
          <w:sz w:val="20"/>
          <w:szCs w:val="20"/>
          <w:color w:val="auto"/>
        </w:rPr>
      </w:pPr>
      <w:r>
        <w:rPr>
          <w:rFonts w:ascii="Arial" w:cs="Arial" w:eastAsia="Arial" w:hAnsi="Arial"/>
          <w:sz w:val="20"/>
          <w:szCs w:val="20"/>
          <w:u w:val="single" w:color="auto"/>
          <w:color w:val="auto"/>
        </w:rPr>
        <w:t>Severance Benefits</w:t>
      </w:r>
      <w:r>
        <w:rPr>
          <w:rFonts w:ascii="Arial" w:cs="Arial" w:eastAsia="Arial" w:hAnsi="Arial"/>
          <w:sz w:val="20"/>
          <w:szCs w:val="20"/>
          <w:color w:val="auto"/>
        </w:rPr>
        <w:t xml:space="preserve">. In the event of the termination of the Executive’s employment by the Company under </w:t>
      </w:r>
      <w:r>
        <w:rPr>
          <w:rFonts w:ascii="Arial" w:cs="Arial" w:eastAsia="Arial" w:hAnsi="Arial"/>
          <w:sz w:val="20"/>
          <w:szCs w:val="20"/>
          <w:u w:val="single" w:color="auto"/>
          <w:color w:val="auto"/>
        </w:rPr>
        <w:t>Section 8(d)</w:t>
      </w:r>
      <w:r>
        <w:rPr>
          <w:rFonts w:ascii="Arial" w:cs="Arial" w:eastAsia="Arial" w:hAnsi="Arial"/>
          <w:sz w:val="20"/>
          <w:szCs w:val="20"/>
          <w:color w:val="auto"/>
        </w:rPr>
        <w:t xml:space="preserve"> (Without Cause) and/or by the Executive under </w:t>
      </w:r>
      <w:r>
        <w:rPr>
          <w:rFonts w:ascii="Arial" w:cs="Arial" w:eastAsia="Arial" w:hAnsi="Arial"/>
          <w:sz w:val="20"/>
          <w:szCs w:val="20"/>
          <w:u w:val="single" w:color="auto"/>
          <w:color w:val="auto"/>
        </w:rPr>
        <w:t>Section 8(e)</w:t>
      </w:r>
      <w:r>
        <w:rPr>
          <w:rFonts w:ascii="Arial" w:cs="Arial" w:eastAsia="Arial" w:hAnsi="Arial"/>
          <w:sz w:val="20"/>
          <w:szCs w:val="20"/>
          <w:color w:val="auto"/>
        </w:rPr>
        <w:t xml:space="preserve"> (for Good Reason) (each, a “</w:t>
      </w:r>
      <w:r>
        <w:rPr>
          <w:rFonts w:ascii="Arial" w:cs="Arial" w:eastAsia="Arial" w:hAnsi="Arial"/>
          <w:sz w:val="20"/>
          <w:szCs w:val="20"/>
          <w:u w:val="single" w:color="auto"/>
          <w:color w:val="auto"/>
        </w:rPr>
        <w:t>Qualifying Termination</w:t>
      </w:r>
      <w:r>
        <w:rPr>
          <w:rFonts w:ascii="Arial" w:cs="Arial" w:eastAsia="Arial" w:hAnsi="Arial"/>
          <w:sz w:val="20"/>
          <w:szCs w:val="20"/>
          <w:color w:val="auto"/>
        </w:rPr>
        <w:t>”), the Company shall pay the Executive each of the following benefits (“</w:t>
      </w:r>
      <w:r>
        <w:rPr>
          <w:rFonts w:ascii="Arial" w:cs="Arial" w:eastAsia="Arial" w:hAnsi="Arial"/>
          <w:sz w:val="20"/>
          <w:szCs w:val="20"/>
          <w:u w:val="single" w:color="auto"/>
          <w:color w:val="auto"/>
        </w:rPr>
        <w:t>Severance Benefits</w:t>
      </w:r>
      <w:r>
        <w:rPr>
          <w:rFonts w:ascii="Arial" w:cs="Arial" w:eastAsia="Arial" w:hAnsi="Arial"/>
          <w:sz w:val="20"/>
          <w:szCs w:val="20"/>
          <w:color w:val="auto"/>
        </w:rPr>
        <w:t>”):</w:t>
      </w:r>
    </w:p>
    <w:p>
      <w:pPr>
        <w:spacing w:after="0" w:line="185" w:lineRule="exact"/>
        <w:rPr>
          <w:rFonts w:ascii="Arial" w:cs="Arial" w:eastAsia="Arial" w:hAnsi="Arial"/>
          <w:sz w:val="20"/>
          <w:szCs w:val="20"/>
          <w:color w:val="auto"/>
        </w:rPr>
      </w:pPr>
    </w:p>
    <w:p>
      <w:pPr>
        <w:jc w:val="both"/>
        <w:ind w:left="856" w:hanging="394"/>
        <w:spacing w:after="0" w:line="270" w:lineRule="auto"/>
        <w:tabs>
          <w:tab w:leader="none" w:pos="848" w:val="left"/>
        </w:tabs>
        <w:numPr>
          <w:ilvl w:val="2"/>
          <w:numId w:val="57"/>
        </w:numPr>
        <w:rPr>
          <w:rFonts w:ascii="Arial" w:cs="Arial" w:eastAsia="Arial" w:hAnsi="Arial"/>
          <w:sz w:val="18"/>
          <w:szCs w:val="18"/>
          <w:color w:val="auto"/>
        </w:rPr>
      </w:pPr>
      <w:r>
        <w:rPr>
          <w:rFonts w:ascii="Arial" w:cs="Arial" w:eastAsia="Arial" w:hAnsi="Arial"/>
          <w:sz w:val="18"/>
          <w:szCs w:val="18"/>
          <w:color w:val="auto"/>
        </w:rPr>
        <w:t>The Company shall pay the Executive a lump sum amount of severance equal to the product of: (A) the Multiplier; and (B) the sum of (aa) the Executive’s then-current Base Salary, and (bb) the Annual Bonus earned by the Executive for the preceding fiscal year (“</w:t>
      </w:r>
      <w:r>
        <w:rPr>
          <w:rFonts w:ascii="Arial" w:cs="Arial" w:eastAsia="Arial" w:hAnsi="Arial"/>
          <w:sz w:val="18"/>
          <w:szCs w:val="18"/>
          <w:u w:val="single" w:color="auto"/>
          <w:color w:val="auto"/>
        </w:rPr>
        <w:t>Prior Annual Bonus</w:t>
      </w:r>
      <w:r>
        <w:rPr>
          <w:rFonts w:ascii="Arial" w:cs="Arial" w:eastAsia="Arial" w:hAnsi="Arial"/>
          <w:sz w:val="18"/>
          <w:szCs w:val="18"/>
          <w:color w:val="auto"/>
        </w:rPr>
        <w:t>”). For purposes of this Agreement, the “</w:t>
      </w:r>
      <w:r>
        <w:rPr>
          <w:rFonts w:ascii="Arial" w:cs="Arial" w:eastAsia="Arial" w:hAnsi="Arial"/>
          <w:sz w:val="18"/>
          <w:szCs w:val="18"/>
          <w:u w:val="single" w:color="auto"/>
          <w:color w:val="auto"/>
        </w:rPr>
        <w:t>Multiplier</w:t>
      </w:r>
      <w:r>
        <w:rPr>
          <w:rFonts w:ascii="Arial" w:cs="Arial" w:eastAsia="Arial" w:hAnsi="Arial"/>
          <w:sz w:val="18"/>
          <w:szCs w:val="18"/>
          <w:color w:val="auto"/>
        </w:rPr>
        <w:t>” shall equal two (2), provided, however, that the Multiplier shall equal three (3) if (x) the Qualifying Termination occurs within the first anniversary of a Change in Control event,</w:t>
      </w:r>
    </w:p>
    <w:p>
      <w:pPr>
        <w:spacing w:after="0" w:line="2" w:lineRule="exact"/>
        <w:rPr>
          <w:rFonts w:ascii="Arial" w:cs="Arial" w:eastAsia="Arial" w:hAnsi="Arial"/>
          <w:sz w:val="18"/>
          <w:szCs w:val="18"/>
          <w:color w:val="auto"/>
        </w:rPr>
      </w:pPr>
    </w:p>
    <w:p>
      <w:pPr>
        <w:jc w:val="both"/>
        <w:ind w:left="856"/>
        <w:spacing w:after="0" w:line="272" w:lineRule="auto"/>
        <w:rPr>
          <w:rFonts w:ascii="Arial" w:cs="Arial" w:eastAsia="Arial" w:hAnsi="Arial"/>
          <w:sz w:val="18"/>
          <w:szCs w:val="18"/>
          <w:color w:val="auto"/>
        </w:rPr>
      </w:pPr>
      <w:r>
        <w:rPr>
          <w:rFonts w:ascii="Arial" w:cs="Arial" w:eastAsia="Arial" w:hAnsi="Arial"/>
          <w:sz w:val="18"/>
          <w:szCs w:val="18"/>
          <w:color w:val="auto"/>
        </w:rPr>
        <w:t>(y) the Executive did not vote in favor of such Change in Control, and (z) the Company’s net assets are greater than one hundred million dollars ($100,000,000) as determined by the Board in good faith. This severance amount shall be paid to the Executive within thirty (30) days following the effective date of the release as set forth in subsection (i). For the avoidance of doubt and for purposes of calculating severance under this Section, (1) if the Qualifying Termination occurs during fiscal year 2020, the Prior Annual Bonus shall equal the Executive’s then-current Base Salary; and (2) if the Qualifying Termination occurs during fiscal year 2021, the Prior Annual Bonus shall equal the annualized rate of the Annual Bonus earned for fiscal year 2020.</w:t>
      </w:r>
    </w:p>
    <w:p>
      <w:pPr>
        <w:spacing w:after="0" w:line="169" w:lineRule="exact"/>
        <w:rPr>
          <w:rFonts w:ascii="Arial" w:cs="Arial" w:eastAsia="Arial" w:hAnsi="Arial"/>
          <w:sz w:val="18"/>
          <w:szCs w:val="18"/>
          <w:color w:val="auto"/>
        </w:rPr>
      </w:pPr>
    </w:p>
    <w:p>
      <w:pPr>
        <w:ind w:left="856" w:right="20" w:hanging="394"/>
        <w:spacing w:after="0" w:line="260" w:lineRule="auto"/>
        <w:tabs>
          <w:tab w:leader="none" w:pos="845" w:val="left"/>
        </w:tabs>
        <w:numPr>
          <w:ilvl w:val="2"/>
          <w:numId w:val="57"/>
        </w:numPr>
        <w:rPr>
          <w:rFonts w:ascii="Arial" w:cs="Arial" w:eastAsia="Arial" w:hAnsi="Arial"/>
          <w:sz w:val="20"/>
          <w:szCs w:val="20"/>
          <w:color w:val="auto"/>
        </w:rPr>
      </w:pPr>
      <w:r>
        <w:rPr>
          <w:rFonts w:ascii="Arial" w:cs="Arial" w:eastAsia="Arial" w:hAnsi="Arial"/>
          <w:sz w:val="20"/>
          <w:szCs w:val="20"/>
          <w:color w:val="auto"/>
        </w:rPr>
        <w:t>Notwithstanding anything in the applicable equity incentive plan and/or equity award agreement to the contrary, any unvested portion of any equity awards held by the Executive</w:t>
      </w: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382" w:lineRule="exact"/>
        <w:rPr>
          <w:rFonts w:ascii="Arial" w:cs="Arial" w:eastAsia="Arial" w:hAnsi="Arial"/>
          <w:sz w:val="20"/>
          <w:szCs w:val="20"/>
          <w:color w:val="auto"/>
        </w:rPr>
      </w:pPr>
    </w:p>
    <w:p>
      <w:pPr>
        <w:ind w:left="296" w:hanging="136"/>
        <w:spacing w:after="0"/>
        <w:tabs>
          <w:tab w:leader="none" w:pos="296" w:val="left"/>
        </w:tabs>
        <w:numPr>
          <w:ilvl w:val="1"/>
          <w:numId w:val="57"/>
        </w:numPr>
        <w:rPr>
          <w:rFonts w:ascii="Arial" w:cs="Arial" w:eastAsia="Arial" w:hAnsi="Arial"/>
          <w:sz w:val="22"/>
          <w:szCs w:val="22"/>
          <w:color w:val="auto"/>
        </w:rPr>
      </w:pPr>
      <w:r>
        <w:rPr>
          <w:rFonts w:ascii="Arial" w:cs="Arial" w:eastAsia="Arial" w:hAnsi="Arial"/>
          <w:sz w:val="22"/>
          <w:szCs w:val="22"/>
          <w:color w:val="auto"/>
        </w:rPr>
        <w:t>5 -</w:t>
      </w:r>
    </w:p>
    <w:p>
      <w:pPr>
        <w:sectPr>
          <w:pgSz w:w="11900" w:h="16838" w:orient="portrait"/>
          <w:cols w:equalWidth="0" w:num="1">
            <w:col w:w="11176"/>
          </w:cols>
          <w:pgMar w:left="384" w:top="1419" w:right="339" w:bottom="1440" w:gutter="0" w:footer="0" w:header="0"/>
        </w:sectPr>
      </w:pPr>
    </w:p>
    <w:bookmarkStart w:id="82" w:name="page83"/>
    <w:bookmarkEnd w:id="82"/>
    <w:p>
      <w:pPr>
        <w:ind w:left="700"/>
        <w:spacing w:after="0" w:line="260" w:lineRule="auto"/>
        <w:rPr>
          <w:sz w:val="20"/>
          <w:szCs w:val="20"/>
          <w:color w:val="auto"/>
        </w:rPr>
      </w:pPr>
      <w:r>
        <w:rPr>
          <w:rFonts w:ascii="Arial" w:cs="Arial" w:eastAsia="Arial" w:hAnsi="Arial"/>
          <w:sz w:val="20"/>
          <w:szCs w:val="20"/>
          <w:color w:val="auto"/>
        </w:rPr>
        <w:t xml:space="preserve">shall vest in full and become exercisable and free from forfeiture or repurchase, as applicable, as of the date of the effective date of the release as set forth in </w:t>
      </w:r>
      <w:r>
        <w:rPr>
          <w:rFonts w:ascii="Arial" w:cs="Arial" w:eastAsia="Arial" w:hAnsi="Arial"/>
          <w:sz w:val="20"/>
          <w:szCs w:val="20"/>
          <w:u w:val="single" w:color="auto"/>
          <w:color w:val="auto"/>
        </w:rPr>
        <w:t>Section 8(i)</w:t>
      </w:r>
      <w:r>
        <w:rPr>
          <w:rFonts w:ascii="Arial" w:cs="Arial" w:eastAsia="Arial" w:hAnsi="Arial"/>
          <w:sz w:val="20"/>
          <w:szCs w:val="20"/>
          <w:color w:val="auto"/>
        </w:rPr>
        <w:t>.</w:t>
      </w:r>
    </w:p>
    <w:p>
      <w:pPr>
        <w:spacing w:after="0" w:line="177" w:lineRule="exact"/>
        <w:rPr>
          <w:sz w:val="20"/>
          <w:szCs w:val="20"/>
          <w:color w:val="auto"/>
        </w:rPr>
      </w:pPr>
    </w:p>
    <w:p>
      <w:pPr>
        <w:jc w:val="both"/>
        <w:ind w:left="700" w:hanging="394"/>
        <w:spacing w:after="0" w:line="243" w:lineRule="auto"/>
        <w:tabs>
          <w:tab w:leader="none" w:pos="691" w:val="left"/>
        </w:tabs>
        <w:numPr>
          <w:ilvl w:val="0"/>
          <w:numId w:val="58"/>
        </w:numPr>
        <w:rPr>
          <w:rFonts w:ascii="Arial" w:cs="Arial" w:eastAsia="Arial" w:hAnsi="Arial"/>
          <w:sz w:val="20"/>
          <w:szCs w:val="20"/>
          <w:color w:val="auto"/>
        </w:rPr>
      </w:pPr>
      <w:r>
        <w:rPr>
          <w:rFonts w:ascii="Arial" w:cs="Arial" w:eastAsia="Arial" w:hAnsi="Arial"/>
          <w:sz w:val="20"/>
          <w:szCs w:val="20"/>
          <w:color w:val="auto"/>
        </w:rPr>
        <w:t>The Company shall provide, at the Company’s cost, continuation health insurance coverage under the Consolidated Omnibus Budget Reconciliation Act of 1985 (“</w:t>
      </w:r>
      <w:r>
        <w:rPr>
          <w:rFonts w:ascii="Arial" w:cs="Arial" w:eastAsia="Arial" w:hAnsi="Arial"/>
          <w:sz w:val="20"/>
          <w:szCs w:val="20"/>
          <w:u w:val="single" w:color="auto"/>
          <w:color w:val="auto"/>
        </w:rPr>
        <w:t>COBRA</w:t>
      </w:r>
      <w:r>
        <w:rPr>
          <w:rFonts w:ascii="Arial" w:cs="Arial" w:eastAsia="Arial" w:hAnsi="Arial"/>
          <w:sz w:val="20"/>
          <w:szCs w:val="20"/>
          <w:color w:val="auto"/>
        </w:rPr>
        <w:t>”) during the eighteen (18) months following the date of termination (“</w:t>
      </w:r>
      <w:r>
        <w:rPr>
          <w:rFonts w:ascii="Arial" w:cs="Arial" w:eastAsia="Arial" w:hAnsi="Arial"/>
          <w:sz w:val="20"/>
          <w:szCs w:val="20"/>
          <w:u w:val="single" w:color="auto"/>
          <w:color w:val="auto"/>
        </w:rPr>
        <w:t>COBRA</w:t>
      </w:r>
      <w:r>
        <w:rPr>
          <w:rFonts w:ascii="Arial" w:cs="Arial" w:eastAsia="Arial" w:hAnsi="Arial"/>
          <w:sz w:val="20"/>
          <w:szCs w:val="20"/>
          <w:color w:val="auto"/>
        </w:rPr>
        <w:t xml:space="preserve"> </w:t>
      </w:r>
      <w:r>
        <w:rPr>
          <w:rFonts w:ascii="Arial" w:cs="Arial" w:eastAsia="Arial" w:hAnsi="Arial"/>
          <w:sz w:val="20"/>
          <w:szCs w:val="20"/>
          <w:u w:val="single" w:color="auto"/>
          <w:color w:val="auto"/>
        </w:rPr>
        <w:t>Coverage Period</w:t>
      </w:r>
      <w:r>
        <w:rPr>
          <w:rFonts w:ascii="Arial" w:cs="Arial" w:eastAsia="Arial" w:hAnsi="Arial"/>
          <w:sz w:val="20"/>
          <w:szCs w:val="20"/>
          <w:color w:val="auto"/>
        </w:rPr>
        <w:t>”), provided that, these payments for continuation coverage under COBRA shall cease prior to the end of the COBRA Coverage Period if the Executive becomes eligible for other group health insurance coverage from a new employer, and provided further that such coverage provided during the COBRA Coverage Period shall be included in (and not in addition to) the continuation period under COBRA.</w:t>
      </w:r>
    </w:p>
    <w:p>
      <w:pPr>
        <w:spacing w:after="0" w:line="195" w:lineRule="exact"/>
        <w:rPr>
          <w:rFonts w:ascii="Arial" w:cs="Arial" w:eastAsia="Arial" w:hAnsi="Arial"/>
          <w:sz w:val="20"/>
          <w:szCs w:val="20"/>
          <w:color w:val="auto"/>
        </w:rPr>
      </w:pPr>
    </w:p>
    <w:p>
      <w:pPr>
        <w:ind w:left="700" w:hanging="394"/>
        <w:spacing w:after="0" w:line="260" w:lineRule="auto"/>
        <w:tabs>
          <w:tab w:leader="none" w:pos="689" w:val="left"/>
        </w:tabs>
        <w:numPr>
          <w:ilvl w:val="0"/>
          <w:numId w:val="58"/>
        </w:numPr>
        <w:rPr>
          <w:rFonts w:ascii="Arial" w:cs="Arial" w:eastAsia="Arial" w:hAnsi="Arial"/>
          <w:sz w:val="20"/>
          <w:szCs w:val="20"/>
          <w:color w:val="auto"/>
        </w:rPr>
      </w:pPr>
      <w:r>
        <w:rPr>
          <w:rFonts w:ascii="Arial" w:cs="Arial" w:eastAsia="Arial" w:hAnsi="Arial"/>
          <w:sz w:val="20"/>
          <w:szCs w:val="20"/>
          <w:color w:val="auto"/>
        </w:rPr>
        <w:t xml:space="preserve">The Executive shall receive any unpaid Annual Bonus for the preceding fiscal year and the Pro-Rated Bonus, payable in accordance with the timing as set forth in </w:t>
      </w:r>
      <w:r>
        <w:rPr>
          <w:rFonts w:ascii="Arial" w:cs="Arial" w:eastAsia="Arial" w:hAnsi="Arial"/>
          <w:sz w:val="20"/>
          <w:szCs w:val="20"/>
          <w:u w:val="single" w:color="auto"/>
          <w:color w:val="auto"/>
        </w:rPr>
        <w:t>Section 8(h)</w:t>
      </w:r>
      <w:r>
        <w:rPr>
          <w:rFonts w:ascii="Arial" w:cs="Arial" w:eastAsia="Arial" w:hAnsi="Arial"/>
          <w:sz w:val="20"/>
          <w:szCs w:val="20"/>
          <w:color w:val="auto"/>
        </w:rPr>
        <w:t>.</w:t>
      </w:r>
    </w:p>
    <w:p>
      <w:pPr>
        <w:spacing w:after="0" w:line="177" w:lineRule="exact"/>
        <w:rPr>
          <w:sz w:val="20"/>
          <w:szCs w:val="20"/>
          <w:color w:val="auto"/>
        </w:rPr>
      </w:pPr>
    </w:p>
    <w:p>
      <w:pPr>
        <w:ind w:left="300"/>
        <w:spacing w:after="0"/>
        <w:rPr>
          <w:sz w:val="20"/>
          <w:szCs w:val="20"/>
          <w:color w:val="auto"/>
        </w:rPr>
      </w:pPr>
      <w:r>
        <w:rPr>
          <w:rFonts w:ascii="Arial" w:cs="Arial" w:eastAsia="Arial" w:hAnsi="Arial"/>
          <w:sz w:val="18"/>
          <w:szCs w:val="18"/>
          <w:color w:val="auto"/>
        </w:rPr>
        <w:t>For the purposes of this Agreement, “</w:t>
      </w:r>
      <w:r>
        <w:rPr>
          <w:rFonts w:ascii="Arial" w:cs="Arial" w:eastAsia="Arial" w:hAnsi="Arial"/>
          <w:sz w:val="18"/>
          <w:szCs w:val="18"/>
          <w:u w:val="single" w:color="auto"/>
          <w:color w:val="auto"/>
        </w:rPr>
        <w:t>Change in Control</w:t>
      </w:r>
      <w:r>
        <w:rPr>
          <w:rFonts w:ascii="Arial" w:cs="Arial" w:eastAsia="Arial" w:hAnsi="Arial"/>
          <w:sz w:val="18"/>
          <w:szCs w:val="18"/>
          <w:color w:val="auto"/>
        </w:rPr>
        <w:t>” shall mean the occurrence of any of the following events during the Term:</w:t>
      </w:r>
    </w:p>
    <w:p>
      <w:pPr>
        <w:spacing w:after="0" w:line="266" w:lineRule="exact"/>
        <w:rPr>
          <w:sz w:val="20"/>
          <w:szCs w:val="20"/>
          <w:color w:val="auto"/>
        </w:rPr>
      </w:pPr>
    </w:p>
    <w:p>
      <w:pPr>
        <w:ind w:left="680" w:hanging="374"/>
        <w:spacing w:after="0"/>
        <w:tabs>
          <w:tab w:leader="none" w:pos="680" w:val="left"/>
        </w:tabs>
        <w:numPr>
          <w:ilvl w:val="0"/>
          <w:numId w:val="59"/>
        </w:numPr>
        <w:rPr>
          <w:rFonts w:ascii="Arial" w:cs="Arial" w:eastAsia="Arial" w:hAnsi="Arial"/>
          <w:sz w:val="16"/>
          <w:szCs w:val="16"/>
          <w:color w:val="auto"/>
        </w:rPr>
      </w:pPr>
      <w:r>
        <w:rPr>
          <w:rFonts w:ascii="Arial" w:cs="Arial" w:eastAsia="Arial" w:hAnsi="Arial"/>
          <w:sz w:val="20"/>
          <w:szCs w:val="20"/>
          <w:color w:val="auto"/>
        </w:rPr>
        <w:t>a majority of the Board ceases to be comprised of Incumbent Directors (as defined below); or</w:t>
      </w:r>
    </w:p>
    <w:p>
      <w:pPr>
        <w:spacing w:after="0" w:line="242" w:lineRule="exact"/>
        <w:rPr>
          <w:rFonts w:ascii="Arial" w:cs="Arial" w:eastAsia="Arial" w:hAnsi="Arial"/>
          <w:sz w:val="16"/>
          <w:szCs w:val="16"/>
          <w:color w:val="auto"/>
        </w:rPr>
      </w:pPr>
    </w:p>
    <w:p>
      <w:pPr>
        <w:jc w:val="both"/>
        <w:ind w:left="700" w:hanging="394"/>
        <w:spacing w:after="0" w:line="246" w:lineRule="auto"/>
        <w:tabs>
          <w:tab w:leader="none" w:pos="698" w:val="left"/>
        </w:tabs>
        <w:numPr>
          <w:ilvl w:val="0"/>
          <w:numId w:val="59"/>
        </w:numPr>
        <w:rPr>
          <w:rFonts w:ascii="Arial" w:cs="Arial" w:eastAsia="Arial" w:hAnsi="Arial"/>
          <w:sz w:val="16"/>
          <w:szCs w:val="16"/>
          <w:color w:val="auto"/>
        </w:rPr>
      </w:pPr>
      <w:r>
        <w:rPr>
          <w:rFonts w:ascii="Arial" w:cs="Arial" w:eastAsia="Arial" w:hAnsi="Arial"/>
          <w:sz w:val="20"/>
          <w:szCs w:val="20"/>
          <w:color w:val="auto"/>
        </w:rPr>
        <w:t>any individual, entity or group (within the meaning of Section 13(d)(3) or 14(d)(2) of the Securities Exchange Act of 1934, as amended (the “</w:t>
      </w:r>
      <w:r>
        <w:rPr>
          <w:rFonts w:ascii="Arial" w:cs="Arial" w:eastAsia="Arial" w:hAnsi="Arial"/>
          <w:sz w:val="20"/>
          <w:szCs w:val="20"/>
          <w:u w:val="single" w:color="auto"/>
          <w:color w:val="auto"/>
        </w:rPr>
        <w:t>Exchange Act”</w:t>
      </w:r>
      <w:r>
        <w:rPr>
          <w:rFonts w:ascii="Arial" w:cs="Arial" w:eastAsia="Arial" w:hAnsi="Arial"/>
          <w:sz w:val="20"/>
          <w:szCs w:val="20"/>
          <w:color w:val="auto"/>
        </w:rPr>
        <w:t>)) (a “</w:t>
      </w:r>
      <w:r>
        <w:rPr>
          <w:rFonts w:ascii="Arial" w:cs="Arial" w:eastAsia="Arial" w:hAnsi="Arial"/>
          <w:sz w:val="20"/>
          <w:szCs w:val="20"/>
          <w:u w:val="single" w:color="auto"/>
          <w:color w:val="auto"/>
        </w:rPr>
        <w:t>Person</w:t>
      </w:r>
      <w:r>
        <w:rPr>
          <w:rFonts w:ascii="Arial" w:cs="Arial" w:eastAsia="Arial" w:hAnsi="Arial"/>
          <w:sz w:val="20"/>
          <w:szCs w:val="20"/>
          <w:color w:val="auto"/>
        </w:rPr>
        <w:t>”) is or becomes the beneficial owner (within the meaning of Rule 13d-3 promulgated under the Securities Exchange Act) of more than 25% of the combined voting power of the then-outstanding voting stock of the Company; or</w:t>
      </w:r>
    </w:p>
    <w:p>
      <w:pPr>
        <w:spacing w:after="0" w:line="110" w:lineRule="exact"/>
        <w:rPr>
          <w:rFonts w:ascii="Arial" w:cs="Arial" w:eastAsia="Arial" w:hAnsi="Arial"/>
          <w:sz w:val="16"/>
          <w:szCs w:val="16"/>
          <w:color w:val="auto"/>
        </w:rPr>
      </w:pPr>
    </w:p>
    <w:p>
      <w:pPr>
        <w:jc w:val="both"/>
        <w:ind w:left="700" w:right="60" w:hanging="394"/>
        <w:spacing w:after="0" w:line="273" w:lineRule="auto"/>
        <w:tabs>
          <w:tab w:leader="none" w:pos="689" w:val="left"/>
        </w:tabs>
        <w:numPr>
          <w:ilvl w:val="0"/>
          <w:numId w:val="59"/>
        </w:numPr>
        <w:rPr>
          <w:rFonts w:ascii="Arial" w:cs="Arial" w:eastAsia="Arial" w:hAnsi="Arial"/>
          <w:sz w:val="14"/>
          <w:szCs w:val="14"/>
          <w:color w:val="auto"/>
        </w:rPr>
      </w:pPr>
      <w:r>
        <w:rPr>
          <w:rFonts w:ascii="Arial" w:cs="Arial" w:eastAsia="Arial" w:hAnsi="Arial"/>
          <w:sz w:val="18"/>
          <w:szCs w:val="18"/>
          <w:color w:val="auto"/>
        </w:rPr>
        <w:t>the consummation of a consolidation, merger, stock sale or similar transaction or series of related transactions (or a sale or transfer of all or substantially all of the Company's assets) (each, a "</w:t>
      </w:r>
      <w:r>
        <w:rPr>
          <w:rFonts w:ascii="Arial" w:cs="Arial" w:eastAsia="Arial" w:hAnsi="Arial"/>
          <w:sz w:val="18"/>
          <w:szCs w:val="18"/>
          <w:u w:val="single" w:color="auto"/>
          <w:color w:val="auto"/>
        </w:rPr>
        <w:t>Business Transaction</w:t>
      </w:r>
      <w:r>
        <w:rPr>
          <w:rFonts w:ascii="Arial" w:cs="Arial" w:eastAsia="Arial" w:hAnsi="Arial"/>
          <w:sz w:val="18"/>
          <w:szCs w:val="18"/>
          <w:color w:val="auto"/>
        </w:rPr>
        <w:t>"), unless, in any such case, (A) no Person (other than the Company, any entity resulting from such Business Transaction or any employee benefit plan (or related trust) sponsored or maintained by the Company, any Subsidiary or such entity resulting from such Business Transaction) beneficially owns, directly or indirectly, 25% or more of the combined voting power of the then-outstanding shares of voting stock of the entity resulting from such Business Transaction or, if it is such entity, the Company, and (B) at least one-half of the members of the Board of Directors of the entity resulting from such Business Transaction were Incumbent Directors at the time of the execution of the initial agreement providing for such Business Transaction; or</w:t>
      </w:r>
    </w:p>
    <w:p>
      <w:pPr>
        <w:spacing w:after="0" w:line="73" w:lineRule="exact"/>
        <w:rPr>
          <w:rFonts w:ascii="Arial" w:cs="Arial" w:eastAsia="Arial" w:hAnsi="Arial"/>
          <w:sz w:val="14"/>
          <w:szCs w:val="14"/>
          <w:color w:val="auto"/>
        </w:rPr>
      </w:pPr>
    </w:p>
    <w:p>
      <w:pPr>
        <w:ind w:left="680" w:hanging="374"/>
        <w:spacing w:after="0"/>
        <w:tabs>
          <w:tab w:leader="none" w:pos="680" w:val="left"/>
        </w:tabs>
        <w:numPr>
          <w:ilvl w:val="0"/>
          <w:numId w:val="59"/>
        </w:numPr>
        <w:rPr>
          <w:rFonts w:ascii="Arial" w:cs="Arial" w:eastAsia="Arial" w:hAnsi="Arial"/>
          <w:sz w:val="16"/>
          <w:szCs w:val="16"/>
          <w:color w:val="auto"/>
        </w:rPr>
      </w:pPr>
      <w:r>
        <w:rPr>
          <w:rFonts w:ascii="Arial" w:cs="Arial" w:eastAsia="Arial" w:hAnsi="Arial"/>
          <w:sz w:val="20"/>
          <w:szCs w:val="20"/>
          <w:color w:val="auto"/>
        </w:rPr>
        <w:t>the dissolution or liquidation of the Company.</w:t>
      </w:r>
    </w:p>
    <w:p>
      <w:pPr>
        <w:spacing w:after="0" w:line="216" w:lineRule="exact"/>
        <w:rPr>
          <w:sz w:val="20"/>
          <w:szCs w:val="20"/>
          <w:color w:val="auto"/>
        </w:rPr>
      </w:pPr>
    </w:p>
    <w:p>
      <w:pPr>
        <w:jc w:val="both"/>
        <w:ind w:left="300"/>
        <w:spacing w:after="0" w:line="257" w:lineRule="auto"/>
        <w:rPr>
          <w:sz w:val="20"/>
          <w:szCs w:val="20"/>
          <w:color w:val="auto"/>
        </w:rPr>
      </w:pPr>
      <w:r>
        <w:rPr>
          <w:rFonts w:ascii="Arial" w:cs="Arial" w:eastAsia="Arial" w:hAnsi="Arial"/>
          <w:sz w:val="19"/>
          <w:szCs w:val="19"/>
          <w:color w:val="auto"/>
        </w:rPr>
        <w:t>For purposes of this Agreement, “</w:t>
      </w:r>
      <w:r>
        <w:rPr>
          <w:rFonts w:ascii="Arial" w:cs="Arial" w:eastAsia="Arial" w:hAnsi="Arial"/>
          <w:sz w:val="19"/>
          <w:szCs w:val="19"/>
          <w:u w:val="single" w:color="auto"/>
          <w:color w:val="auto"/>
        </w:rPr>
        <w:t>Incumbent Directors</w:t>
      </w:r>
      <w:r>
        <w:rPr>
          <w:rFonts w:ascii="Arial" w:cs="Arial" w:eastAsia="Arial" w:hAnsi="Arial"/>
          <w:sz w:val="19"/>
          <w:szCs w:val="19"/>
          <w:color w:val="auto"/>
        </w:rPr>
        <w:t xml:space="preserve">” shall mean individuals who, as of the date hereof, are directors of the Company and any individual becoming a director subsequent to the date hereof whose election, nomination for election by the Company's shareholders or appointment was approved by a vote of at least two-thirds of the then Incumbent Directors (either by a specific vote or by approval of the proxy statement of the Company in which such person is named as a nominee for director, without objection to such nomination); </w:t>
      </w:r>
      <w:r>
        <w:rPr>
          <w:rFonts w:ascii="Arial" w:cs="Arial" w:eastAsia="Arial" w:hAnsi="Arial"/>
          <w:sz w:val="19"/>
          <w:szCs w:val="19"/>
          <w:u w:val="single" w:color="auto"/>
          <w:color w:val="auto"/>
        </w:rPr>
        <w:t>provided however,</w:t>
      </w:r>
      <w:r>
        <w:rPr>
          <w:rFonts w:ascii="Arial" w:cs="Arial" w:eastAsia="Arial" w:hAnsi="Arial"/>
          <w:sz w:val="19"/>
          <w:szCs w:val="19"/>
          <w:color w:val="auto"/>
        </w:rPr>
        <w:t xml:space="preserve"> that an individual shall not be an Incumbent Director if such individual's election or appointment to the Board occurs as a result of an actual or threatened election contest (as described in Rule 14a-12(c) of the Exchange Act) with respect to the election or removal of Directors or other actual or threatened solicitation of proxies or consents by or on behalf of a Person other than the Board.</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22"/>
          <w:szCs w:val="22"/>
          <w:color w:val="auto"/>
        </w:rPr>
        <w:t>- 6 -</w:t>
      </w:r>
    </w:p>
    <w:p>
      <w:pPr>
        <w:sectPr>
          <w:pgSz w:w="11900" w:h="16838" w:orient="portrait"/>
          <w:cols w:equalWidth="0" w:num="1">
            <w:col w:w="11020"/>
          </w:cols>
          <w:pgMar w:left="540" w:top="1419" w:right="339" w:bottom="1440" w:gutter="0" w:footer="0" w:header="0"/>
        </w:sectPr>
      </w:pPr>
    </w:p>
    <w:bookmarkStart w:id="83" w:name="page84"/>
    <w:bookmarkEnd w:id="83"/>
    <w:p>
      <w:pPr>
        <w:spacing w:after="0" w:line="222" w:lineRule="exact"/>
        <w:rPr>
          <w:sz w:val="20"/>
          <w:szCs w:val="20"/>
          <w:color w:val="auto"/>
        </w:rPr>
      </w:pPr>
    </w:p>
    <w:p>
      <w:pPr>
        <w:jc w:val="both"/>
        <w:ind w:left="706" w:hanging="651"/>
        <w:spacing w:after="0" w:line="278" w:lineRule="auto"/>
        <w:tabs>
          <w:tab w:leader="none" w:pos="695" w:val="left"/>
        </w:tabs>
        <w:numPr>
          <w:ilvl w:val="1"/>
          <w:numId w:val="60"/>
        </w:numPr>
        <w:rPr>
          <w:rFonts w:ascii="Arial" w:cs="Arial" w:eastAsia="Arial" w:hAnsi="Arial"/>
          <w:sz w:val="18"/>
          <w:szCs w:val="18"/>
          <w:color w:val="auto"/>
        </w:rPr>
      </w:pPr>
      <w:r>
        <w:rPr>
          <w:rFonts w:ascii="Arial" w:cs="Arial" w:eastAsia="Arial" w:hAnsi="Arial"/>
          <w:sz w:val="18"/>
          <w:szCs w:val="18"/>
          <w:u w:val="single" w:color="auto"/>
          <w:color w:val="auto"/>
        </w:rPr>
        <w:t>By the Executive</w:t>
      </w:r>
      <w:r>
        <w:rPr>
          <w:rFonts w:ascii="Arial" w:cs="Arial" w:eastAsia="Arial" w:hAnsi="Arial"/>
          <w:sz w:val="18"/>
          <w:szCs w:val="18"/>
          <w:color w:val="auto"/>
        </w:rPr>
        <w:t xml:space="preserve">. Notwithstanding the foregoing, the Executive may terminate the Executive’s employment under this Agreement, provided that such termination may take place no earlier than thirty (30) days after the Executive has provided written notice to the Company of the Executive’s intent to terminate employment. The Company reserves the right to provide payment at the Executive’s then-current Base Salary in lieu of all or any portion of such notice period. In the event Executive terminates the Executive’s employment under this </w:t>
      </w:r>
      <w:r>
        <w:rPr>
          <w:rFonts w:ascii="Arial" w:cs="Arial" w:eastAsia="Arial" w:hAnsi="Arial"/>
          <w:sz w:val="18"/>
          <w:szCs w:val="18"/>
          <w:u w:val="single" w:color="auto"/>
          <w:color w:val="auto"/>
        </w:rPr>
        <w:t>Section 8(g)</w:t>
      </w:r>
      <w:r>
        <w:rPr>
          <w:rFonts w:ascii="Arial" w:cs="Arial" w:eastAsia="Arial" w:hAnsi="Arial"/>
          <w:sz w:val="18"/>
          <w:szCs w:val="18"/>
          <w:color w:val="auto"/>
        </w:rPr>
        <w:t>, the Executive shall receive all Accrued Benefits through the date of such termination.</w:t>
      </w:r>
    </w:p>
    <w:p>
      <w:pPr>
        <w:spacing w:after="0" w:line="164" w:lineRule="exact"/>
        <w:rPr>
          <w:rFonts w:ascii="Arial" w:cs="Arial" w:eastAsia="Arial" w:hAnsi="Arial"/>
          <w:sz w:val="18"/>
          <w:szCs w:val="18"/>
          <w:color w:val="auto"/>
        </w:rPr>
      </w:pPr>
    </w:p>
    <w:p>
      <w:pPr>
        <w:jc w:val="both"/>
        <w:ind w:left="706" w:hanging="706"/>
        <w:spacing w:after="0" w:line="274" w:lineRule="auto"/>
        <w:tabs>
          <w:tab w:leader="none" w:pos="695" w:val="left"/>
        </w:tabs>
        <w:numPr>
          <w:ilvl w:val="1"/>
          <w:numId w:val="60"/>
        </w:numPr>
        <w:rPr>
          <w:rFonts w:ascii="Arial" w:cs="Arial" w:eastAsia="Arial" w:hAnsi="Arial"/>
          <w:sz w:val="18"/>
          <w:szCs w:val="18"/>
          <w:color w:val="auto"/>
        </w:rPr>
      </w:pPr>
      <w:r>
        <w:rPr>
          <w:rFonts w:ascii="Arial" w:cs="Arial" w:eastAsia="Arial" w:hAnsi="Arial"/>
          <w:sz w:val="18"/>
          <w:szCs w:val="18"/>
          <w:u w:val="single" w:color="auto"/>
          <w:color w:val="auto"/>
        </w:rPr>
        <w:t>Bonus Payment Timing</w:t>
      </w:r>
      <w:r>
        <w:rPr>
          <w:rFonts w:ascii="Arial" w:cs="Arial" w:eastAsia="Arial" w:hAnsi="Arial"/>
          <w:sz w:val="18"/>
          <w:szCs w:val="18"/>
          <w:color w:val="auto"/>
        </w:rPr>
        <w:t xml:space="preserve">. Subject to the execution and non-revocation of a release as set forth in </w:t>
      </w:r>
      <w:r>
        <w:rPr>
          <w:rFonts w:ascii="Arial" w:cs="Arial" w:eastAsia="Arial" w:hAnsi="Arial"/>
          <w:sz w:val="18"/>
          <w:szCs w:val="18"/>
          <w:u w:val="single" w:color="auto"/>
          <w:color w:val="auto"/>
        </w:rPr>
        <w:t>Section 8(i)</w:t>
      </w:r>
      <w:r>
        <w:rPr>
          <w:rFonts w:ascii="Arial" w:cs="Arial" w:eastAsia="Arial" w:hAnsi="Arial"/>
          <w:sz w:val="18"/>
          <w:szCs w:val="18"/>
          <w:color w:val="auto"/>
        </w:rPr>
        <w:t xml:space="preserve"> and in substantially similar to the form attached hereto as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the Company shall (A) pay any unpaid Annual Bonus for the preceding fiscal year otherwise payable under this </w:t>
      </w:r>
      <w:r>
        <w:rPr>
          <w:rFonts w:ascii="Arial" w:cs="Arial" w:eastAsia="Arial" w:hAnsi="Arial"/>
          <w:sz w:val="18"/>
          <w:szCs w:val="18"/>
          <w:u w:val="single" w:color="auto"/>
          <w:color w:val="auto"/>
        </w:rPr>
        <w:t>Section 8</w:t>
      </w:r>
      <w:r>
        <w:rPr>
          <w:rFonts w:ascii="Arial" w:cs="Arial" w:eastAsia="Arial" w:hAnsi="Arial"/>
          <w:sz w:val="18"/>
          <w:szCs w:val="18"/>
          <w:color w:val="auto"/>
        </w:rPr>
        <w:t xml:space="preserve"> within thirty (30) days following the date of the effective date of such release; and (B) subject to the execution and non-revocation of an additional release of claims substantially similar to the form attached hereto as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pay the Pro-Rated Bonus otherwise payable under this </w:t>
      </w:r>
      <w:r>
        <w:rPr>
          <w:rFonts w:ascii="Arial" w:cs="Arial" w:eastAsia="Arial" w:hAnsi="Arial"/>
          <w:sz w:val="18"/>
          <w:szCs w:val="18"/>
          <w:u w:val="single" w:color="auto"/>
          <w:color w:val="auto"/>
        </w:rPr>
        <w:t>Section 8</w:t>
      </w:r>
      <w:r>
        <w:rPr>
          <w:rFonts w:ascii="Arial" w:cs="Arial" w:eastAsia="Arial" w:hAnsi="Arial"/>
          <w:sz w:val="18"/>
          <w:szCs w:val="18"/>
          <w:color w:val="auto"/>
        </w:rPr>
        <w:t xml:space="preserve"> in accordance with the Company’s regular bonus payment schedule for the Annual Bonus for that calendar year, as otherwise payable to similarly situated active employees of the Company, but no later than 2.5 months following the end of the calendar year in which it was earned.</w:t>
      </w:r>
    </w:p>
    <w:p>
      <w:pPr>
        <w:spacing w:after="0" w:line="162" w:lineRule="exact"/>
        <w:rPr>
          <w:rFonts w:ascii="Arial" w:cs="Arial" w:eastAsia="Arial" w:hAnsi="Arial"/>
          <w:sz w:val="18"/>
          <w:szCs w:val="18"/>
          <w:color w:val="auto"/>
        </w:rPr>
      </w:pPr>
    </w:p>
    <w:p>
      <w:pPr>
        <w:jc w:val="both"/>
        <w:ind w:left="706" w:hanging="596"/>
        <w:spacing w:after="0" w:line="246" w:lineRule="auto"/>
        <w:tabs>
          <w:tab w:leader="none" w:pos="695" w:val="left"/>
        </w:tabs>
        <w:numPr>
          <w:ilvl w:val="1"/>
          <w:numId w:val="60"/>
        </w:numPr>
        <w:rPr>
          <w:rFonts w:ascii="Arial" w:cs="Arial" w:eastAsia="Arial" w:hAnsi="Arial"/>
          <w:sz w:val="20"/>
          <w:szCs w:val="20"/>
          <w:color w:val="auto"/>
        </w:rPr>
      </w:pPr>
      <w:r>
        <w:rPr>
          <w:rFonts w:ascii="Arial" w:cs="Arial" w:eastAsia="Arial" w:hAnsi="Arial"/>
          <w:sz w:val="20"/>
          <w:szCs w:val="20"/>
          <w:b w:val="1"/>
          <w:bCs w:val="1"/>
          <w:u w:val="single" w:color="auto"/>
          <w:color w:val="auto"/>
        </w:rPr>
        <w:t>Release</w:t>
      </w:r>
      <w:r>
        <w:rPr>
          <w:rFonts w:ascii="Arial" w:cs="Arial" w:eastAsia="Arial" w:hAnsi="Arial"/>
          <w:sz w:val="20"/>
          <w:szCs w:val="20"/>
          <w:b w:val="1"/>
          <w:bCs w:val="1"/>
          <w:color w:val="auto"/>
        </w:rPr>
        <w:t xml:space="preserve">. As a precondition to the payment of any amounts or benefits in addition to earned but unpaid Base Salary upon termination of the Executive’s employment under this Agreement, including but not limited to each Severance Benefit, the Executive or the Estate, as applicable, shall be required to execute one or more release of any claims against the Company, Affiliates, and their employee, officers, directors, and shareholders arising out of the Executive’s employment or termination in a form attached hereto as </w:t>
      </w:r>
      <w:r>
        <w:rPr>
          <w:rFonts w:ascii="Arial" w:cs="Arial" w:eastAsia="Arial" w:hAnsi="Arial"/>
          <w:sz w:val="20"/>
          <w:szCs w:val="20"/>
          <w:b w:val="1"/>
          <w:bCs w:val="1"/>
          <w:u w:val="single" w:color="auto"/>
          <w:color w:val="auto"/>
        </w:rPr>
        <w:t>Exhibit B</w:t>
      </w:r>
      <w:r>
        <w:rPr>
          <w:rFonts w:ascii="Arial" w:cs="Arial" w:eastAsia="Arial" w:hAnsi="Arial"/>
          <w:sz w:val="20"/>
          <w:szCs w:val="20"/>
          <w:color w:val="auto"/>
        </w:rPr>
        <w:t>.</w:t>
      </w:r>
    </w:p>
    <w:p>
      <w:pPr>
        <w:spacing w:after="0" w:line="184" w:lineRule="exact"/>
        <w:rPr>
          <w:rFonts w:ascii="Arial" w:cs="Arial" w:eastAsia="Arial" w:hAnsi="Arial"/>
          <w:sz w:val="20"/>
          <w:szCs w:val="20"/>
          <w:color w:val="auto"/>
        </w:rPr>
      </w:pPr>
    </w:p>
    <w:p>
      <w:pPr>
        <w:jc w:val="both"/>
        <w:ind w:left="386" w:hanging="332"/>
        <w:spacing w:after="0" w:line="254" w:lineRule="auto"/>
        <w:tabs>
          <w:tab w:leader="none" w:pos="386" w:val="left"/>
        </w:tabs>
        <w:numPr>
          <w:ilvl w:val="0"/>
          <w:numId w:val="61"/>
        </w:numPr>
        <w:rPr>
          <w:rFonts w:ascii="Arial" w:cs="Arial" w:eastAsia="Arial" w:hAnsi="Arial"/>
          <w:sz w:val="19"/>
          <w:szCs w:val="19"/>
          <w:color w:val="auto"/>
        </w:rPr>
      </w:pPr>
      <w:r>
        <w:rPr>
          <w:rFonts w:ascii="Arial" w:cs="Arial" w:eastAsia="Arial" w:hAnsi="Arial"/>
          <w:sz w:val="19"/>
          <w:szCs w:val="19"/>
          <w:b w:val="1"/>
          <w:bCs w:val="1"/>
          <w:color w:val="auto"/>
        </w:rPr>
        <w:t xml:space="preserve">Intellectual Property. </w:t>
      </w:r>
      <w:r>
        <w:rPr>
          <w:rFonts w:ascii="Arial" w:cs="Arial" w:eastAsia="Arial" w:hAnsi="Arial"/>
          <w:sz w:val="19"/>
          <w:szCs w:val="19"/>
          <w:color w:val="auto"/>
        </w:rPr>
        <w:t>All inventions, technology, processes, innovations, ideas, improvements, developments, methods, designs,</w:t>
      </w:r>
      <w:r>
        <w:rPr>
          <w:rFonts w:ascii="Arial" w:cs="Arial" w:eastAsia="Arial" w:hAnsi="Arial"/>
          <w:sz w:val="19"/>
          <w:szCs w:val="19"/>
          <w:b w:val="1"/>
          <w:bCs w:val="1"/>
          <w:color w:val="auto"/>
        </w:rPr>
        <w:t xml:space="preserve"> </w:t>
      </w:r>
      <w:r>
        <w:rPr>
          <w:rFonts w:ascii="Arial" w:cs="Arial" w:eastAsia="Arial" w:hAnsi="Arial"/>
          <w:sz w:val="19"/>
          <w:szCs w:val="19"/>
          <w:color w:val="auto"/>
        </w:rPr>
        <w:t>analyses, trademarks, service marks, and other indicia of origin, writings, audiovisual works, concepts, drawings, reports and all similar, related, or derivative information or works (whether or not patentable or subject to copyright), including but not limited to all patents, copyrights, copyright registrations, trademarks, and trademark registrations in and to any of the foregoing, along with the right to practice, employ, exploit, use, develop, reproduce, copy, distribute copies, publish, license, or create works derivative of any of the foregoing, and the right to choose not to do or permit any of the aforementioned actions, which relate to the Company’s actual or anticipated business, research and development or existing or future products or services and which are conceived, developed or made by the Executive while employed by the Company or any of their predecessors (collectively, the “</w:t>
      </w:r>
      <w:r>
        <w:rPr>
          <w:rFonts w:ascii="Arial" w:cs="Arial" w:eastAsia="Arial" w:hAnsi="Arial"/>
          <w:sz w:val="19"/>
          <w:szCs w:val="19"/>
          <w:u w:val="single" w:color="auto"/>
          <w:color w:val="auto"/>
        </w:rPr>
        <w:t>Work Product</w:t>
      </w:r>
      <w:r>
        <w:rPr>
          <w:rFonts w:ascii="Arial" w:cs="Arial" w:eastAsia="Arial" w:hAnsi="Arial"/>
          <w:sz w:val="19"/>
          <w:szCs w:val="19"/>
          <w:color w:val="auto"/>
        </w:rPr>
        <w:t>”) belong to the Company. All Work Product created by the Executive while employed by the Company or any of its predecessors will be considered “work made for hire,” and as such, the Company is the sole owner of all rights, title, and interests therein. All other rights to any new Work Product and all rights to any existing Work Product, including but not limited to all of the Executive’s rights to any copyrights or copyright registrations related thereto, are conveyed, assigned and transferred to the Company pursuant to this Agreement. The Executive will promptly disclose and deliver such Work Product to the Company and, at the Company’s expense, perform all actions reasonably requested by the Company (whether during or after the Executive’s employment with the Company) to establish, confirm and protect such ownership (including, without limitation, the execution of assignments, copyright registrations, consents, licenses, powers of attorney and other instruments).</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399" w:lineRule="exact"/>
        <w:rPr>
          <w:rFonts w:ascii="Arial" w:cs="Arial" w:eastAsia="Arial" w:hAnsi="Arial"/>
          <w:sz w:val="19"/>
          <w:szCs w:val="19"/>
          <w:color w:val="auto"/>
        </w:rPr>
      </w:pPr>
    </w:p>
    <w:p>
      <w:pPr>
        <w:ind w:left="406" w:hanging="136"/>
        <w:spacing w:after="0"/>
        <w:tabs>
          <w:tab w:leader="none" w:pos="406" w:val="left"/>
        </w:tabs>
        <w:numPr>
          <w:ilvl w:val="2"/>
          <w:numId w:val="61"/>
        </w:numPr>
        <w:rPr>
          <w:rFonts w:ascii="Arial" w:cs="Arial" w:eastAsia="Arial" w:hAnsi="Arial"/>
          <w:sz w:val="22"/>
          <w:szCs w:val="22"/>
          <w:color w:val="auto"/>
        </w:rPr>
      </w:pPr>
      <w:r>
        <w:rPr>
          <w:rFonts w:ascii="Arial" w:cs="Arial" w:eastAsia="Arial" w:hAnsi="Arial"/>
          <w:sz w:val="22"/>
          <w:szCs w:val="22"/>
          <w:color w:val="auto"/>
        </w:rPr>
        <w:t>7 -</w:t>
      </w:r>
    </w:p>
    <w:p>
      <w:pPr>
        <w:sectPr>
          <w:pgSz w:w="11900" w:h="16838" w:orient="portrait"/>
          <w:cols w:equalWidth="0" w:num="1">
            <w:col w:w="11286"/>
          </w:cols>
          <w:pgMar w:left="274" w:top="1440" w:right="339" w:bottom="1440" w:gutter="0" w:footer="0" w:header="0"/>
        </w:sectPr>
      </w:pPr>
    </w:p>
    <w:bookmarkStart w:id="84" w:name="page85"/>
    <w:bookmarkEnd w:id="84"/>
    <w:p>
      <w:pPr>
        <w:jc w:val="both"/>
        <w:ind w:left="332"/>
        <w:spacing w:after="0" w:line="244" w:lineRule="auto"/>
        <w:rPr>
          <w:sz w:val="20"/>
          <w:szCs w:val="20"/>
          <w:color w:val="auto"/>
        </w:rPr>
      </w:pPr>
      <w:r>
        <w:rPr>
          <w:rFonts w:ascii="Arial" w:cs="Arial" w:eastAsia="Arial" w:hAnsi="Arial"/>
          <w:sz w:val="20"/>
          <w:szCs w:val="20"/>
          <w:color w:val="auto"/>
        </w:rPr>
        <w:t xml:space="preserve">Notwithstanding the foregoing, to the extent required under California Labor Code Sections 2870-2872, nothing in this </w:t>
      </w:r>
      <w:r>
        <w:rPr>
          <w:rFonts w:ascii="Arial" w:cs="Arial" w:eastAsia="Arial" w:hAnsi="Arial"/>
          <w:sz w:val="20"/>
          <w:szCs w:val="20"/>
          <w:u w:val="single" w:color="auto"/>
          <w:color w:val="auto"/>
        </w:rPr>
        <w:t>Section 9</w:t>
      </w:r>
      <w:r>
        <w:rPr>
          <w:rFonts w:ascii="Arial" w:cs="Arial" w:eastAsia="Arial" w:hAnsi="Arial"/>
          <w:sz w:val="20"/>
          <w:szCs w:val="20"/>
          <w:color w:val="auto"/>
        </w:rPr>
        <w:t xml:space="preserve"> shall apply to any invention that the Executive developed entirely on the Executive’s own time, without using the Company’s equipment, supplies, facilities, or trade secret information except for those inventions that either: (i) relate to the Company business at the time of conception or reduction to practice, or to actual or demonstrably anticipated research or development of the Company; or (ii) result from any work performed by the Executive for the Company.</w:t>
      </w:r>
    </w:p>
    <w:p>
      <w:pPr>
        <w:spacing w:after="0" w:line="188" w:lineRule="exact"/>
        <w:rPr>
          <w:sz w:val="20"/>
          <w:szCs w:val="20"/>
          <w:color w:val="auto"/>
        </w:rPr>
      </w:pPr>
    </w:p>
    <w:p>
      <w:pPr>
        <w:jc w:val="both"/>
        <w:ind w:left="332" w:hanging="332"/>
        <w:spacing w:after="0" w:line="272" w:lineRule="auto"/>
        <w:tabs>
          <w:tab w:leader="none" w:pos="332" w:val="left"/>
        </w:tabs>
        <w:numPr>
          <w:ilvl w:val="0"/>
          <w:numId w:val="62"/>
        </w:numPr>
        <w:rPr>
          <w:rFonts w:ascii="Arial" w:cs="Arial" w:eastAsia="Arial" w:hAnsi="Arial"/>
          <w:sz w:val="19"/>
          <w:szCs w:val="19"/>
          <w:color w:val="auto"/>
        </w:rPr>
      </w:pPr>
      <w:r>
        <w:rPr>
          <w:rFonts w:ascii="Arial" w:cs="Arial" w:eastAsia="Arial" w:hAnsi="Arial"/>
          <w:sz w:val="19"/>
          <w:szCs w:val="19"/>
          <w:b w:val="1"/>
          <w:bCs w:val="1"/>
          <w:color w:val="auto"/>
        </w:rPr>
        <w:t xml:space="preserve">Confidential Information. </w:t>
      </w:r>
      <w:r>
        <w:rPr>
          <w:rFonts w:ascii="Arial" w:cs="Arial" w:eastAsia="Arial" w:hAnsi="Arial"/>
          <w:sz w:val="19"/>
          <w:szCs w:val="19"/>
          <w:color w:val="auto"/>
        </w:rPr>
        <w:t>The Executive agrees that, during the Executive’s employment with the Company or its Affiliates and</w:t>
      </w:r>
      <w:r>
        <w:rPr>
          <w:rFonts w:ascii="Arial" w:cs="Arial" w:eastAsia="Arial" w:hAnsi="Arial"/>
          <w:sz w:val="19"/>
          <w:szCs w:val="19"/>
          <w:b w:val="1"/>
          <w:bCs w:val="1"/>
          <w:color w:val="auto"/>
        </w:rPr>
        <w:t xml:space="preserve"> </w:t>
      </w:r>
      <w:r>
        <w:rPr>
          <w:rFonts w:ascii="Arial" w:cs="Arial" w:eastAsia="Arial" w:hAnsi="Arial"/>
          <w:sz w:val="19"/>
          <w:szCs w:val="19"/>
          <w:color w:val="auto"/>
        </w:rPr>
        <w:t>following termination of the Executive’s employment, except as required by law, the Executive will not, directly or indirectly, at any time, disclose to any third person or use in any way any non-public information or Confidential Information.</w:t>
      </w:r>
    </w:p>
    <w:p>
      <w:pPr>
        <w:spacing w:after="0" w:line="167" w:lineRule="exact"/>
        <w:rPr>
          <w:rFonts w:ascii="Arial" w:cs="Arial" w:eastAsia="Arial" w:hAnsi="Arial"/>
          <w:sz w:val="19"/>
          <w:szCs w:val="19"/>
          <w:color w:val="auto"/>
        </w:rPr>
      </w:pPr>
    </w:p>
    <w:p>
      <w:pPr>
        <w:jc w:val="both"/>
        <w:ind w:left="652" w:hanging="541"/>
        <w:spacing w:after="0" w:line="257" w:lineRule="auto"/>
        <w:tabs>
          <w:tab w:leader="none" w:pos="641" w:val="left"/>
        </w:tabs>
        <w:numPr>
          <w:ilvl w:val="1"/>
          <w:numId w:val="62"/>
        </w:numPr>
        <w:rPr>
          <w:rFonts w:ascii="Arial" w:cs="Arial" w:eastAsia="Arial" w:hAnsi="Arial"/>
          <w:sz w:val="19"/>
          <w:szCs w:val="19"/>
          <w:color w:val="auto"/>
        </w:rPr>
      </w:pPr>
      <w:r>
        <w:rPr>
          <w:rFonts w:ascii="Arial" w:cs="Arial" w:eastAsia="Arial" w:hAnsi="Arial"/>
          <w:sz w:val="19"/>
          <w:szCs w:val="19"/>
          <w:u w:val="single" w:color="auto"/>
          <w:color w:val="auto"/>
        </w:rPr>
        <w:t>Definition</w:t>
      </w:r>
      <w:r>
        <w:rPr>
          <w:rFonts w:ascii="Arial" w:cs="Arial" w:eastAsia="Arial" w:hAnsi="Arial"/>
          <w:sz w:val="19"/>
          <w:szCs w:val="19"/>
          <w:color w:val="auto"/>
        </w:rPr>
        <w:t>. For purposes of this Agreement, “Confidential Information” shall mean any confidential or proprietary information, including but not limited to: (a) technical, operational and financial information, data, Trade Secrets, formulae, processes, techniques, formats, specifications, manufacturing methods, treatment methods, designs, sketches, photographs, plans, drawings, specifications, samples, reports, pricing information, studies, findings, marketing plans or proposals, inventions, ideas, customer and client lists, information related to business opportunities and business development, and confidential programs or procedures; (b) any intellectual property owned or licensed by the Company or its Affiliates; (c) any information maintained by the Company or its Affiliates as confidential or proprietary information, whether or not it is marked as confidential; and (d) information received by the Company or its Affiliates from third parties under confidential conditions.</w:t>
      </w:r>
    </w:p>
    <w:p>
      <w:pPr>
        <w:spacing w:after="0" w:line="207" w:lineRule="exact"/>
        <w:rPr>
          <w:rFonts w:ascii="Arial" w:cs="Arial" w:eastAsia="Arial" w:hAnsi="Arial"/>
          <w:sz w:val="19"/>
          <w:szCs w:val="19"/>
          <w:color w:val="auto"/>
        </w:rPr>
      </w:pPr>
    </w:p>
    <w:p>
      <w:pPr>
        <w:jc w:val="both"/>
        <w:ind w:left="652" w:hanging="596"/>
        <w:spacing w:after="0" w:line="259" w:lineRule="auto"/>
        <w:tabs>
          <w:tab w:leader="none" w:pos="641" w:val="left"/>
        </w:tabs>
        <w:numPr>
          <w:ilvl w:val="1"/>
          <w:numId w:val="62"/>
        </w:numPr>
        <w:rPr>
          <w:rFonts w:ascii="Arial" w:cs="Arial" w:eastAsia="Arial" w:hAnsi="Arial"/>
          <w:sz w:val="19"/>
          <w:szCs w:val="19"/>
          <w:color w:val="auto"/>
        </w:rPr>
      </w:pPr>
      <w:r>
        <w:rPr>
          <w:rFonts w:ascii="Arial" w:cs="Arial" w:eastAsia="Arial" w:hAnsi="Arial"/>
          <w:sz w:val="19"/>
          <w:szCs w:val="19"/>
          <w:color w:val="auto"/>
        </w:rPr>
        <w:t>Notwithstanding the foregoing, Confidential Information shall not include information: (i) that at the date hereof is in the public domain; (ii) that has come within the public domain through no fault or action of the Executive that has the obligation of confidentiality (provided, however, that the fact that general information may be in or become part of the public domain, in and of itself, does not exclude any specific information from the obligations of this Agreement); (iii) that after the date hereof has been obtained lawfully from any third party which was entitled to disclose such information; and/or (iv) that the Executive is compelled to disclose by any judicial or administrative order after having given prompt notice of such order to the Company.</w:t>
      </w:r>
    </w:p>
    <w:p>
      <w:pPr>
        <w:spacing w:after="0" w:line="205" w:lineRule="exact"/>
        <w:rPr>
          <w:rFonts w:ascii="Arial" w:cs="Arial" w:eastAsia="Arial" w:hAnsi="Arial"/>
          <w:sz w:val="19"/>
          <w:szCs w:val="19"/>
          <w:color w:val="auto"/>
        </w:rPr>
      </w:pPr>
    </w:p>
    <w:p>
      <w:pPr>
        <w:ind w:left="632" w:hanging="631"/>
        <w:spacing w:after="0"/>
        <w:tabs>
          <w:tab w:leader="none" w:pos="632" w:val="left"/>
        </w:tabs>
        <w:numPr>
          <w:ilvl w:val="1"/>
          <w:numId w:val="62"/>
        </w:numPr>
        <w:rPr>
          <w:rFonts w:ascii="Arial" w:cs="Arial" w:eastAsia="Arial" w:hAnsi="Arial"/>
          <w:sz w:val="18"/>
          <w:szCs w:val="18"/>
          <w:color w:val="auto"/>
        </w:rPr>
      </w:pPr>
      <w:r>
        <w:rPr>
          <w:rFonts w:ascii="Arial" w:cs="Arial" w:eastAsia="Arial" w:hAnsi="Arial"/>
          <w:sz w:val="18"/>
          <w:szCs w:val="18"/>
          <w:u w:val="single" w:color="auto"/>
          <w:color w:val="auto"/>
        </w:rPr>
        <w:t>Obligations with respect to Confidential Information</w:t>
      </w:r>
      <w:r>
        <w:rPr>
          <w:rFonts w:ascii="Arial" w:cs="Arial" w:eastAsia="Arial" w:hAnsi="Arial"/>
          <w:sz w:val="18"/>
          <w:szCs w:val="18"/>
          <w:color w:val="auto"/>
        </w:rPr>
        <w:t>. The Executive agrees that, during the Term and thereafter, the Executive will:</w:t>
      </w:r>
    </w:p>
    <w:p>
      <w:pPr>
        <w:spacing w:after="0" w:line="265" w:lineRule="exact"/>
        <w:rPr>
          <w:rFonts w:ascii="Arial" w:cs="Arial" w:eastAsia="Arial" w:hAnsi="Arial"/>
          <w:sz w:val="18"/>
          <w:szCs w:val="18"/>
          <w:color w:val="auto"/>
        </w:rPr>
      </w:pPr>
    </w:p>
    <w:p>
      <w:pPr>
        <w:ind w:left="892" w:hanging="374"/>
        <w:spacing w:after="0"/>
        <w:tabs>
          <w:tab w:leader="none" w:pos="892" w:val="left"/>
        </w:tabs>
        <w:numPr>
          <w:ilvl w:val="2"/>
          <w:numId w:val="62"/>
        </w:numPr>
        <w:rPr>
          <w:rFonts w:ascii="Arial" w:cs="Arial" w:eastAsia="Arial" w:hAnsi="Arial"/>
          <w:sz w:val="20"/>
          <w:szCs w:val="20"/>
          <w:color w:val="auto"/>
        </w:rPr>
      </w:pPr>
      <w:r>
        <w:rPr>
          <w:rFonts w:ascii="Arial" w:cs="Arial" w:eastAsia="Arial" w:hAnsi="Arial"/>
          <w:sz w:val="20"/>
          <w:szCs w:val="20"/>
          <w:color w:val="auto"/>
        </w:rPr>
        <w:t>hold the Confidential Information in strict confidence; and</w:t>
      </w:r>
    </w:p>
    <w:p>
      <w:pPr>
        <w:spacing w:after="0" w:line="242" w:lineRule="exact"/>
        <w:rPr>
          <w:rFonts w:ascii="Arial" w:cs="Arial" w:eastAsia="Arial" w:hAnsi="Arial"/>
          <w:sz w:val="20"/>
          <w:szCs w:val="20"/>
          <w:color w:val="auto"/>
        </w:rPr>
      </w:pPr>
    </w:p>
    <w:p>
      <w:pPr>
        <w:ind w:left="912" w:hanging="394"/>
        <w:spacing w:after="0" w:line="260" w:lineRule="auto"/>
        <w:tabs>
          <w:tab w:leader="none" w:pos="902" w:val="left"/>
        </w:tabs>
        <w:numPr>
          <w:ilvl w:val="2"/>
          <w:numId w:val="62"/>
        </w:numPr>
        <w:rPr>
          <w:rFonts w:ascii="Arial" w:cs="Arial" w:eastAsia="Arial" w:hAnsi="Arial"/>
          <w:sz w:val="20"/>
          <w:szCs w:val="20"/>
          <w:color w:val="auto"/>
        </w:rPr>
      </w:pPr>
      <w:r>
        <w:rPr>
          <w:rFonts w:ascii="Arial" w:cs="Arial" w:eastAsia="Arial" w:hAnsi="Arial"/>
          <w:sz w:val="20"/>
          <w:szCs w:val="20"/>
          <w:color w:val="auto"/>
        </w:rPr>
        <w:t>not give, sell or disclose Confidential Information to any other third party, unless such party is an auditor or contractor hired by the Company and then only upon written approval of the Board.</w:t>
      </w:r>
    </w:p>
    <w:p>
      <w:pPr>
        <w:spacing w:after="0" w:line="204" w:lineRule="exact"/>
        <w:rPr>
          <w:sz w:val="20"/>
          <w:szCs w:val="20"/>
          <w:color w:val="auto"/>
        </w:rPr>
      </w:pPr>
    </w:p>
    <w:p>
      <w:pPr>
        <w:jc w:val="both"/>
        <w:ind w:left="652"/>
        <w:spacing w:after="0" w:line="282" w:lineRule="auto"/>
        <w:rPr>
          <w:sz w:val="20"/>
          <w:szCs w:val="20"/>
          <w:color w:val="auto"/>
        </w:rPr>
      </w:pPr>
      <w:r>
        <w:rPr>
          <w:rFonts w:ascii="Arial" w:cs="Arial" w:eastAsia="Arial" w:hAnsi="Arial"/>
          <w:sz w:val="18"/>
          <w:szCs w:val="18"/>
          <w:color w:val="auto"/>
        </w:rPr>
        <w:t>For avoidance of doubt, nothing in this Agreement shall prevent the Executive from sharing any Confidential Information or other information with regulators or appropriate governmental agencies without notice to the Company, whether in response to subpoena or otherwise, under the whistleblower provisions of federal law or regulation, and no prior authorization or notification is required prior to the Executive making any such reports or disclosures, provided, that no attorney client privilege shall be waived.</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212"/>
        <w:spacing w:after="0"/>
        <w:rPr>
          <w:sz w:val="20"/>
          <w:szCs w:val="20"/>
          <w:color w:val="auto"/>
        </w:rPr>
      </w:pPr>
      <w:r>
        <w:rPr>
          <w:rFonts w:ascii="Arial" w:cs="Arial" w:eastAsia="Arial" w:hAnsi="Arial"/>
          <w:sz w:val="22"/>
          <w:szCs w:val="22"/>
          <w:color w:val="auto"/>
        </w:rPr>
        <w:t>- 8 -</w:t>
      </w:r>
    </w:p>
    <w:p>
      <w:pPr>
        <w:sectPr>
          <w:pgSz w:w="11900" w:h="16838" w:orient="portrait"/>
          <w:cols w:equalWidth="0" w:num="1">
            <w:col w:w="11232"/>
          </w:cols>
          <w:pgMar w:left="328" w:top="1419" w:right="339" w:bottom="1440" w:gutter="0" w:footer="0" w:header="0"/>
        </w:sectPr>
      </w:pPr>
    </w:p>
    <w:bookmarkStart w:id="85" w:name="page86"/>
    <w:bookmarkEnd w:id="85"/>
    <w:p>
      <w:pPr>
        <w:spacing w:after="0" w:line="216" w:lineRule="exact"/>
        <w:rPr>
          <w:sz w:val="20"/>
          <w:szCs w:val="20"/>
          <w:color w:val="auto"/>
        </w:rPr>
      </w:pPr>
    </w:p>
    <w:p>
      <w:pPr>
        <w:jc w:val="both"/>
        <w:ind w:left="332" w:hanging="332"/>
        <w:spacing w:after="0" w:line="246" w:lineRule="auto"/>
        <w:tabs>
          <w:tab w:leader="none" w:pos="332" w:val="left"/>
        </w:tabs>
        <w:numPr>
          <w:ilvl w:val="0"/>
          <w:numId w:val="63"/>
        </w:numPr>
        <w:rPr>
          <w:rFonts w:ascii="Arial" w:cs="Arial" w:eastAsia="Arial" w:hAnsi="Arial"/>
          <w:sz w:val="20"/>
          <w:szCs w:val="20"/>
          <w:color w:val="auto"/>
        </w:rPr>
      </w:pPr>
      <w:r>
        <w:rPr>
          <w:rFonts w:ascii="Arial" w:cs="Arial" w:eastAsia="Arial" w:hAnsi="Arial"/>
          <w:sz w:val="20"/>
          <w:szCs w:val="20"/>
          <w:b w:val="1"/>
          <w:bCs w:val="1"/>
          <w:color w:val="auto"/>
        </w:rPr>
        <w:t xml:space="preserve">Trade Secrets. </w:t>
      </w:r>
      <w:r>
        <w:rPr>
          <w:rFonts w:ascii="Arial" w:cs="Arial" w:eastAsia="Arial" w:hAnsi="Arial"/>
          <w:sz w:val="20"/>
          <w:szCs w:val="20"/>
          <w:color w:val="auto"/>
        </w:rPr>
        <w:t>The Executive acknowledges that the Executive’s obligations under</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auto"/>
        </w:rPr>
        <w:t>Section 10</w:t>
      </w:r>
      <w:r>
        <w:rPr>
          <w:rFonts w:ascii="Arial" w:cs="Arial" w:eastAsia="Arial" w:hAnsi="Arial"/>
          <w:sz w:val="20"/>
          <w:szCs w:val="20"/>
          <w:b w:val="1"/>
          <w:bCs w:val="1"/>
          <w:color w:val="auto"/>
        </w:rPr>
        <w:t xml:space="preserve"> </w:t>
      </w:r>
      <w:r>
        <w:rPr>
          <w:rFonts w:ascii="Arial" w:cs="Arial" w:eastAsia="Arial" w:hAnsi="Arial"/>
          <w:sz w:val="20"/>
          <w:szCs w:val="20"/>
          <w:color w:val="auto"/>
        </w:rPr>
        <w:t>are separate and distinct from the</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Executive’s promise and obligation, affirmed by this Agreement, not to disclose or use the Company’s or its Affiliates’ “Trade Secrets,” as defined by the applicable federal and state laws. During and at all times after the Term, Trade Secrets of the Company shall be subject to the maximum protections available under applicable law and no less protection than that provided by this Agreement applicable to “Confidential Information,” as described in </w:t>
      </w:r>
      <w:r>
        <w:rPr>
          <w:rFonts w:ascii="Arial" w:cs="Arial" w:eastAsia="Arial" w:hAnsi="Arial"/>
          <w:sz w:val="20"/>
          <w:szCs w:val="20"/>
          <w:u w:val="single" w:color="auto"/>
          <w:color w:val="auto"/>
        </w:rPr>
        <w:t>Section 10</w:t>
      </w:r>
      <w:r>
        <w:rPr>
          <w:rFonts w:ascii="Arial" w:cs="Arial" w:eastAsia="Arial" w:hAnsi="Arial"/>
          <w:sz w:val="20"/>
          <w:szCs w:val="20"/>
          <w:color w:val="auto"/>
        </w:rPr>
        <w:t>.</w:t>
      </w:r>
    </w:p>
    <w:p>
      <w:pPr>
        <w:spacing w:after="0" w:line="184" w:lineRule="exact"/>
        <w:rPr>
          <w:rFonts w:ascii="Arial" w:cs="Arial" w:eastAsia="Arial" w:hAnsi="Arial"/>
          <w:sz w:val="20"/>
          <w:szCs w:val="20"/>
          <w:color w:val="auto"/>
        </w:rPr>
      </w:pPr>
    </w:p>
    <w:p>
      <w:pPr>
        <w:jc w:val="both"/>
        <w:ind w:left="332" w:hanging="332"/>
        <w:spacing w:after="0" w:line="285" w:lineRule="auto"/>
        <w:tabs>
          <w:tab w:leader="none" w:pos="332" w:val="left"/>
        </w:tabs>
        <w:numPr>
          <w:ilvl w:val="0"/>
          <w:numId w:val="63"/>
        </w:numPr>
        <w:rPr>
          <w:rFonts w:ascii="Arial" w:cs="Arial" w:eastAsia="Arial" w:hAnsi="Arial"/>
          <w:sz w:val="18"/>
          <w:szCs w:val="18"/>
          <w:color w:val="auto"/>
        </w:rPr>
      </w:pPr>
      <w:r>
        <w:rPr>
          <w:rFonts w:ascii="Arial" w:cs="Arial" w:eastAsia="Arial" w:hAnsi="Arial"/>
          <w:sz w:val="18"/>
          <w:szCs w:val="18"/>
          <w:b w:val="1"/>
          <w:bCs w:val="1"/>
          <w:color w:val="auto"/>
        </w:rPr>
        <w:t xml:space="preserve">Protected Rights. </w:t>
      </w:r>
      <w:r>
        <w:rPr>
          <w:rFonts w:ascii="Arial" w:cs="Arial" w:eastAsia="Arial" w:hAnsi="Arial"/>
          <w:sz w:val="18"/>
          <w:szCs w:val="18"/>
          <w:color w:val="auto"/>
        </w:rPr>
        <w:t>Nothing in this Agreement prohibits the Executive from reporting to any governmental authority information</w:t>
      </w:r>
      <w:r>
        <w:rPr>
          <w:rFonts w:ascii="Arial" w:cs="Arial" w:eastAsia="Arial" w:hAnsi="Arial"/>
          <w:sz w:val="18"/>
          <w:szCs w:val="18"/>
          <w:b w:val="1"/>
          <w:bCs w:val="1"/>
          <w:color w:val="auto"/>
        </w:rPr>
        <w:t xml:space="preserve"> </w:t>
      </w:r>
      <w:r>
        <w:rPr>
          <w:rFonts w:ascii="Arial" w:cs="Arial" w:eastAsia="Arial" w:hAnsi="Arial"/>
          <w:sz w:val="18"/>
          <w:szCs w:val="18"/>
          <w:color w:val="auto"/>
        </w:rPr>
        <w:t>concerning possible violations of law or regulation. Provided the Executive does so consistent with 18 U.S.C. § 1833, the Executive may disclose Trade Secret information to a government official or to an attorney for the purposes of obtaining legal advice or use it in certain court proceedings without fear of prosecution or liability if the Trade Secret information is filed under seal.</w:t>
      </w:r>
    </w:p>
    <w:p>
      <w:pPr>
        <w:spacing w:after="0" w:line="150" w:lineRule="exact"/>
        <w:rPr>
          <w:rFonts w:ascii="Arial" w:cs="Arial" w:eastAsia="Arial" w:hAnsi="Arial"/>
          <w:sz w:val="18"/>
          <w:szCs w:val="18"/>
          <w:color w:val="auto"/>
        </w:rPr>
      </w:pPr>
    </w:p>
    <w:p>
      <w:pPr>
        <w:jc w:val="both"/>
        <w:ind w:left="332" w:hanging="332"/>
        <w:spacing w:after="0" w:line="260" w:lineRule="auto"/>
        <w:tabs>
          <w:tab w:leader="none" w:pos="332" w:val="left"/>
        </w:tabs>
        <w:numPr>
          <w:ilvl w:val="0"/>
          <w:numId w:val="63"/>
        </w:numPr>
        <w:rPr>
          <w:rFonts w:ascii="Arial" w:cs="Arial" w:eastAsia="Arial" w:hAnsi="Arial"/>
          <w:sz w:val="19"/>
          <w:szCs w:val="19"/>
          <w:color w:val="auto"/>
        </w:rPr>
      </w:pPr>
      <w:r>
        <w:rPr>
          <w:rFonts w:ascii="Arial" w:cs="Arial" w:eastAsia="Arial" w:hAnsi="Arial"/>
          <w:sz w:val="19"/>
          <w:szCs w:val="19"/>
          <w:b w:val="1"/>
          <w:bCs w:val="1"/>
          <w:color w:val="auto"/>
        </w:rPr>
        <w:t xml:space="preserve">Non-Disparagement. </w:t>
      </w:r>
      <w:r>
        <w:rPr>
          <w:rFonts w:ascii="Arial" w:cs="Arial" w:eastAsia="Arial" w:hAnsi="Arial"/>
          <w:sz w:val="19"/>
          <w:szCs w:val="19"/>
          <w:color w:val="auto"/>
        </w:rPr>
        <w:t>The Executive and the Company each agrees that during the Term and thereafter, neither party will disparage the</w:t>
      </w:r>
      <w:r>
        <w:rPr>
          <w:rFonts w:ascii="Arial" w:cs="Arial" w:eastAsia="Arial" w:hAnsi="Arial"/>
          <w:sz w:val="19"/>
          <w:szCs w:val="19"/>
          <w:b w:val="1"/>
          <w:bCs w:val="1"/>
          <w:color w:val="auto"/>
        </w:rPr>
        <w:t xml:space="preserve"> </w:t>
      </w:r>
      <w:r>
        <w:rPr>
          <w:rFonts w:ascii="Arial" w:cs="Arial" w:eastAsia="Arial" w:hAnsi="Arial"/>
          <w:sz w:val="19"/>
          <w:szCs w:val="19"/>
          <w:color w:val="auto"/>
        </w:rPr>
        <w:t>other, including any products, services or practices, any affiliates, directors, officers, agents, representatives, stockholders or affiliates of the Company, either orally or in writing at any time. For the avoidance of doubt, nothing in this Agreement shall prohibit the either the Company or the Executive from making truthful statements (a) in the course of sworn testimony in administrative, judicial or arbitral proceedings (including, without limitation, depositions in connection with such proceedings), or (b) to regulators or appropriate government agencies in fulfillment of their statutory or regulatory obligations.</w:t>
      </w:r>
    </w:p>
    <w:p>
      <w:pPr>
        <w:spacing w:after="0" w:line="172" w:lineRule="exact"/>
        <w:rPr>
          <w:rFonts w:ascii="Arial" w:cs="Arial" w:eastAsia="Arial" w:hAnsi="Arial"/>
          <w:sz w:val="19"/>
          <w:szCs w:val="19"/>
          <w:color w:val="auto"/>
        </w:rPr>
      </w:pPr>
    </w:p>
    <w:p>
      <w:pPr>
        <w:jc w:val="both"/>
        <w:ind w:left="332" w:hanging="332"/>
        <w:spacing w:after="0" w:line="260" w:lineRule="auto"/>
        <w:tabs>
          <w:tab w:leader="none" w:pos="323" w:val="left"/>
        </w:tabs>
        <w:numPr>
          <w:ilvl w:val="0"/>
          <w:numId w:val="63"/>
        </w:numPr>
        <w:rPr>
          <w:rFonts w:ascii="Arial" w:cs="Arial" w:eastAsia="Arial" w:hAnsi="Arial"/>
          <w:sz w:val="19"/>
          <w:szCs w:val="19"/>
          <w:color w:val="auto"/>
        </w:rPr>
      </w:pPr>
      <w:r>
        <w:rPr>
          <w:rFonts w:ascii="Arial" w:cs="Arial" w:eastAsia="Arial" w:hAnsi="Arial"/>
          <w:sz w:val="19"/>
          <w:szCs w:val="19"/>
          <w:b w:val="1"/>
          <w:bCs w:val="1"/>
          <w:color w:val="auto"/>
        </w:rPr>
        <w:t xml:space="preserve">Company Property. </w:t>
      </w:r>
      <w:r>
        <w:rPr>
          <w:rFonts w:ascii="Arial" w:cs="Arial" w:eastAsia="Arial" w:hAnsi="Arial"/>
          <w:sz w:val="19"/>
          <w:szCs w:val="19"/>
          <w:color w:val="auto"/>
        </w:rPr>
        <w:t>All information, materials, documents, supplies, equipment, and other property furnished to the Executive by the</w:t>
      </w:r>
      <w:r>
        <w:rPr>
          <w:rFonts w:ascii="Arial" w:cs="Arial" w:eastAsia="Arial" w:hAnsi="Arial"/>
          <w:sz w:val="19"/>
          <w:szCs w:val="19"/>
          <w:b w:val="1"/>
          <w:bCs w:val="1"/>
          <w:color w:val="auto"/>
        </w:rPr>
        <w:t xml:space="preserve"> </w:t>
      </w:r>
      <w:r>
        <w:rPr>
          <w:rFonts w:ascii="Arial" w:cs="Arial" w:eastAsia="Arial" w:hAnsi="Arial"/>
          <w:sz w:val="19"/>
          <w:szCs w:val="19"/>
          <w:color w:val="auto"/>
        </w:rPr>
        <w:t>Company in connection with performance of services under this Agreement will be and remain the sole property of the Company. On the date of the termination of the Executive’s employment under this Agreement for any reason, or at any other time at the Company’s request, the Executive must return to the Company all tangible and intellectual property in whatever form belonging to the Company (including, but not limited to, Confidential Information, Company vehicles, laptops, computers, cell phones, wireless electronic mail devices, code, and other equipment, information, documents, and property).</w:t>
      </w:r>
    </w:p>
    <w:p>
      <w:pPr>
        <w:spacing w:after="0" w:line="172" w:lineRule="exact"/>
        <w:rPr>
          <w:rFonts w:ascii="Arial" w:cs="Arial" w:eastAsia="Arial" w:hAnsi="Arial"/>
          <w:sz w:val="19"/>
          <w:szCs w:val="19"/>
          <w:color w:val="auto"/>
        </w:rPr>
      </w:pPr>
    </w:p>
    <w:p>
      <w:pPr>
        <w:jc w:val="both"/>
        <w:ind w:left="332" w:hanging="332"/>
        <w:spacing w:after="0" w:line="246" w:lineRule="auto"/>
        <w:tabs>
          <w:tab w:leader="none" w:pos="315" w:val="left"/>
        </w:tabs>
        <w:numPr>
          <w:ilvl w:val="0"/>
          <w:numId w:val="63"/>
        </w:numPr>
        <w:rPr>
          <w:rFonts w:ascii="Arial" w:cs="Arial" w:eastAsia="Arial" w:hAnsi="Arial"/>
          <w:sz w:val="20"/>
          <w:szCs w:val="20"/>
          <w:color w:val="auto"/>
        </w:rPr>
      </w:pPr>
      <w:r>
        <w:rPr>
          <w:rFonts w:ascii="Arial" w:cs="Arial" w:eastAsia="Arial" w:hAnsi="Arial"/>
          <w:sz w:val="20"/>
          <w:szCs w:val="20"/>
          <w:b w:val="1"/>
          <w:bCs w:val="1"/>
          <w:color w:val="auto"/>
        </w:rPr>
        <w:t xml:space="preserve">Non-Disclosure. </w:t>
      </w:r>
      <w:r>
        <w:rPr>
          <w:rFonts w:ascii="Arial" w:cs="Arial" w:eastAsia="Arial" w:hAnsi="Arial"/>
          <w:sz w:val="20"/>
          <w:szCs w:val="20"/>
          <w:color w:val="auto"/>
        </w:rPr>
        <w:t>Except as otherwise required by law (including, without limitation, in all required filings with the Securities and</w:t>
      </w:r>
      <w:r>
        <w:rPr>
          <w:rFonts w:ascii="Arial" w:cs="Arial" w:eastAsia="Arial" w:hAnsi="Arial"/>
          <w:sz w:val="20"/>
          <w:szCs w:val="20"/>
          <w:b w:val="1"/>
          <w:bCs w:val="1"/>
          <w:color w:val="auto"/>
        </w:rPr>
        <w:t xml:space="preserve"> </w:t>
      </w:r>
      <w:r>
        <w:rPr>
          <w:rFonts w:ascii="Arial" w:cs="Arial" w:eastAsia="Arial" w:hAnsi="Arial"/>
          <w:sz w:val="20"/>
          <w:szCs w:val="20"/>
          <w:color w:val="auto"/>
        </w:rPr>
        <w:t>Exchange Commission), the Executive shall not disclose the financial terms of this Agreement to any person or entity, except that the financial terms of this Agreement may be disclosed to: (a) the Executive’s attorneys, accountants, or financial or tax advisors, and (b) members of the Executive’s immediate family; provided, in the case of each of (a) and (b), that such persons agree not to reveal the financial terms of this Agreement any further.</w:t>
      </w:r>
    </w:p>
    <w:p>
      <w:pPr>
        <w:spacing w:after="0" w:line="184" w:lineRule="exact"/>
        <w:rPr>
          <w:rFonts w:ascii="Arial" w:cs="Arial" w:eastAsia="Arial" w:hAnsi="Arial"/>
          <w:sz w:val="20"/>
          <w:szCs w:val="20"/>
          <w:color w:val="auto"/>
        </w:rPr>
      </w:pPr>
    </w:p>
    <w:p>
      <w:pPr>
        <w:jc w:val="both"/>
        <w:ind w:left="332" w:hanging="332"/>
        <w:spacing w:after="0" w:line="262" w:lineRule="auto"/>
        <w:tabs>
          <w:tab w:leader="none" w:pos="323" w:val="left"/>
        </w:tabs>
        <w:numPr>
          <w:ilvl w:val="0"/>
          <w:numId w:val="63"/>
        </w:numPr>
        <w:rPr>
          <w:rFonts w:ascii="Arial" w:cs="Arial" w:eastAsia="Arial" w:hAnsi="Arial"/>
          <w:sz w:val="19"/>
          <w:szCs w:val="19"/>
          <w:color w:val="auto"/>
        </w:rPr>
      </w:pPr>
      <w:r>
        <w:rPr>
          <w:rFonts w:ascii="Arial" w:cs="Arial" w:eastAsia="Arial" w:hAnsi="Arial"/>
          <w:sz w:val="19"/>
          <w:szCs w:val="19"/>
          <w:b w:val="1"/>
          <w:bCs w:val="1"/>
          <w:color w:val="auto"/>
        </w:rPr>
        <w:t xml:space="preserve">Successors and Assigns, No Third Party Beneficiaries. </w:t>
      </w:r>
      <w:r>
        <w:rPr>
          <w:rFonts w:ascii="Arial" w:cs="Arial" w:eastAsia="Arial" w:hAnsi="Arial"/>
          <w:sz w:val="19"/>
          <w:szCs w:val="19"/>
          <w:color w:val="auto"/>
        </w:rPr>
        <w:t>The rights and obligations of the Company under this Agreement shall be</w:t>
      </w:r>
      <w:r>
        <w:rPr>
          <w:rFonts w:ascii="Arial" w:cs="Arial" w:eastAsia="Arial" w:hAnsi="Arial"/>
          <w:sz w:val="19"/>
          <w:szCs w:val="19"/>
          <w:b w:val="1"/>
          <w:bCs w:val="1"/>
          <w:color w:val="auto"/>
        </w:rPr>
        <w:t xml:space="preserve"> </w:t>
      </w:r>
      <w:r>
        <w:rPr>
          <w:rFonts w:ascii="Arial" w:cs="Arial" w:eastAsia="Arial" w:hAnsi="Arial"/>
          <w:sz w:val="19"/>
          <w:szCs w:val="19"/>
          <w:color w:val="auto"/>
        </w:rPr>
        <w:t>binding on and inure to the benefit of the Company, its successors and permitted assigns. The rights and obligations of the Executive under this Agreement shall be binding on and inure to the benefit of the heirs and legal representatives of the Executive. Neither party may assign this Agreement without the prior written consent of the other, except that the Company may assign the Agreement to any entity acquiring all or substantially all of the assets or the business of the Company.</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366" w:lineRule="exact"/>
        <w:rPr>
          <w:rFonts w:ascii="Arial" w:cs="Arial" w:eastAsia="Arial" w:hAnsi="Arial"/>
          <w:sz w:val="19"/>
          <w:szCs w:val="19"/>
          <w:color w:val="auto"/>
        </w:rPr>
      </w:pPr>
    </w:p>
    <w:p>
      <w:pPr>
        <w:ind w:left="352" w:hanging="136"/>
        <w:spacing w:after="0"/>
        <w:tabs>
          <w:tab w:leader="none" w:pos="352" w:val="left"/>
        </w:tabs>
        <w:numPr>
          <w:ilvl w:val="1"/>
          <w:numId w:val="63"/>
        </w:numPr>
        <w:rPr>
          <w:rFonts w:ascii="Arial" w:cs="Arial" w:eastAsia="Arial" w:hAnsi="Arial"/>
          <w:sz w:val="22"/>
          <w:szCs w:val="22"/>
          <w:color w:val="auto"/>
        </w:rPr>
      </w:pPr>
      <w:r>
        <w:rPr>
          <w:rFonts w:ascii="Arial" w:cs="Arial" w:eastAsia="Arial" w:hAnsi="Arial"/>
          <w:sz w:val="22"/>
          <w:szCs w:val="22"/>
          <w:color w:val="auto"/>
        </w:rPr>
        <w:t>9 -</w:t>
      </w:r>
    </w:p>
    <w:p>
      <w:pPr>
        <w:sectPr>
          <w:pgSz w:w="11900" w:h="16838" w:orient="portrait"/>
          <w:cols w:equalWidth="0" w:num="1">
            <w:col w:w="11232"/>
          </w:cols>
          <w:pgMar w:left="328" w:top="1440" w:right="339" w:bottom="1440" w:gutter="0" w:footer="0" w:header="0"/>
        </w:sectPr>
      </w:pPr>
    </w:p>
    <w:bookmarkStart w:id="86" w:name="page87"/>
    <w:bookmarkEnd w:id="86"/>
    <w:p>
      <w:pPr>
        <w:spacing w:after="0" w:line="189" w:lineRule="exact"/>
        <w:rPr>
          <w:sz w:val="20"/>
          <w:szCs w:val="20"/>
          <w:color w:val="auto"/>
        </w:rPr>
      </w:pPr>
    </w:p>
    <w:p>
      <w:pPr>
        <w:jc w:val="both"/>
        <w:ind w:left="340" w:hanging="332"/>
        <w:spacing w:after="0" w:line="245" w:lineRule="auto"/>
        <w:tabs>
          <w:tab w:leader="none" w:pos="331" w:val="left"/>
        </w:tabs>
        <w:numPr>
          <w:ilvl w:val="0"/>
          <w:numId w:val="64"/>
        </w:numPr>
        <w:rPr>
          <w:rFonts w:ascii="Arial" w:cs="Arial" w:eastAsia="Arial" w:hAnsi="Arial"/>
          <w:sz w:val="20"/>
          <w:szCs w:val="20"/>
          <w:color w:val="auto"/>
        </w:rPr>
      </w:pPr>
      <w:r>
        <w:rPr>
          <w:rFonts w:ascii="Arial" w:cs="Arial" w:eastAsia="Arial" w:hAnsi="Arial"/>
          <w:sz w:val="20"/>
          <w:szCs w:val="20"/>
          <w:b w:val="1"/>
          <w:bCs w:val="1"/>
          <w:color w:val="auto"/>
        </w:rPr>
        <w:t xml:space="preserve">Waiver or Modification. </w:t>
      </w:r>
      <w:r>
        <w:rPr>
          <w:rFonts w:ascii="Arial" w:cs="Arial" w:eastAsia="Arial" w:hAnsi="Arial"/>
          <w:sz w:val="20"/>
          <w:szCs w:val="20"/>
          <w:color w:val="auto"/>
        </w:rPr>
        <w:t>Any waiver by the Company of a breach of any provision of this Agreement shall not operate as, or be</w:t>
      </w:r>
      <w:r>
        <w:rPr>
          <w:rFonts w:ascii="Arial" w:cs="Arial" w:eastAsia="Arial" w:hAnsi="Arial"/>
          <w:sz w:val="20"/>
          <w:szCs w:val="20"/>
          <w:b w:val="1"/>
          <w:bCs w:val="1"/>
          <w:color w:val="auto"/>
        </w:rPr>
        <w:t xml:space="preserve"> </w:t>
      </w:r>
      <w:r>
        <w:rPr>
          <w:rFonts w:ascii="Arial" w:cs="Arial" w:eastAsia="Arial" w:hAnsi="Arial"/>
          <w:sz w:val="20"/>
          <w:szCs w:val="20"/>
          <w:color w:val="auto"/>
        </w:rPr>
        <w:t>construed to be, a waiver of any other breach of such provision of this Agreement. The failure of the Company to insist on strict adherence to any term of this Agreement on one or more occasions shall not be considered a waiver or deprive the Company of the right thereafter to insist on strict adherence to that term or any other term of this Agreement. Neither this Agreement nor any part of it may be waived, changed or terminated orally, and any waiver, amendment or modification must be in writing signed by the Executive and the Company.</w:t>
      </w:r>
    </w:p>
    <w:p>
      <w:pPr>
        <w:spacing w:after="0" w:line="184" w:lineRule="exact"/>
        <w:rPr>
          <w:rFonts w:ascii="Arial" w:cs="Arial" w:eastAsia="Arial" w:hAnsi="Arial"/>
          <w:sz w:val="20"/>
          <w:szCs w:val="20"/>
          <w:color w:val="auto"/>
        </w:rPr>
      </w:pPr>
    </w:p>
    <w:p>
      <w:pPr>
        <w:jc w:val="both"/>
        <w:ind w:left="340" w:hanging="332"/>
        <w:spacing w:after="0" w:line="270" w:lineRule="auto"/>
        <w:tabs>
          <w:tab w:leader="none" w:pos="331" w:val="left"/>
        </w:tabs>
        <w:numPr>
          <w:ilvl w:val="0"/>
          <w:numId w:val="64"/>
        </w:numPr>
        <w:rPr>
          <w:rFonts w:ascii="Arial" w:cs="Arial" w:eastAsia="Arial" w:hAnsi="Arial"/>
          <w:sz w:val="18"/>
          <w:szCs w:val="18"/>
          <w:color w:val="auto"/>
        </w:rPr>
      </w:pPr>
      <w:r>
        <w:rPr>
          <w:rFonts w:ascii="Arial" w:cs="Arial" w:eastAsia="Arial" w:hAnsi="Arial"/>
          <w:sz w:val="18"/>
          <w:szCs w:val="18"/>
          <w:b w:val="1"/>
          <w:bCs w:val="1"/>
          <w:color w:val="auto"/>
        </w:rPr>
        <w:t xml:space="preserve">Choice of Law; Arbitration; Choice of Forum. </w:t>
      </w:r>
      <w:r>
        <w:rPr>
          <w:rFonts w:ascii="Arial" w:cs="Arial" w:eastAsia="Arial" w:hAnsi="Arial"/>
          <w:sz w:val="18"/>
          <w:szCs w:val="18"/>
          <w:color w:val="auto"/>
        </w:rPr>
        <w:t>This Agreement will be governed and construed and enforced in accordance with the</w:t>
      </w:r>
      <w:r>
        <w:rPr>
          <w:rFonts w:ascii="Arial" w:cs="Arial" w:eastAsia="Arial" w:hAnsi="Arial"/>
          <w:sz w:val="18"/>
          <w:szCs w:val="18"/>
          <w:b w:val="1"/>
          <w:bCs w:val="1"/>
          <w:color w:val="auto"/>
        </w:rPr>
        <w:t xml:space="preserve"> </w:t>
      </w:r>
      <w:r>
        <w:rPr>
          <w:rFonts w:ascii="Arial" w:cs="Arial" w:eastAsia="Arial" w:hAnsi="Arial"/>
          <w:sz w:val="18"/>
          <w:szCs w:val="18"/>
          <w:color w:val="auto"/>
        </w:rPr>
        <w:t>laws of the State of California without regard to its conflicts of law rules. Any controversy, dispute or claim arising out of this Agreement or relating to the Executive’s employment with Company shall first be settled through good faith negotiation. If the parties are unsuccessful at resolving the dispute through negotiation, except for injunctive or other equitable relief or as otherwise provided in this Agreement, any and all legal proceedings arising out of or relating to this Agreement or relating to the Executive’s employment with Company, whether sounding in contract, tort or statute, shall be resolved through a confidential arbitration administered by Judicial Arbitration &amp; Mediation Services, Inc. (“</w:t>
      </w:r>
      <w:r>
        <w:rPr>
          <w:rFonts w:ascii="Arial" w:cs="Arial" w:eastAsia="Arial" w:hAnsi="Arial"/>
          <w:sz w:val="18"/>
          <w:szCs w:val="18"/>
          <w:u w:val="single" w:color="auto"/>
          <w:color w:val="auto"/>
        </w:rPr>
        <w:t>JAMS</w:t>
      </w:r>
      <w:r>
        <w:rPr>
          <w:rFonts w:ascii="Arial" w:cs="Arial" w:eastAsia="Arial" w:hAnsi="Arial"/>
          <w:sz w:val="18"/>
          <w:szCs w:val="18"/>
          <w:color w:val="auto"/>
        </w:rPr>
        <w:t xml:space="preserve">”) pursuant to the JAMS Employment Arbitration Rules and Procedures, or successor rules then in effect and to the extent permitted by law. The rules and further information are available at </w:t>
      </w:r>
      <w:r>
        <w:rPr>
          <w:rFonts w:ascii="Arial" w:cs="Arial" w:eastAsia="Arial" w:hAnsi="Arial"/>
          <w:sz w:val="18"/>
          <w:szCs w:val="18"/>
          <w:u w:val="single" w:color="auto"/>
          <w:color w:val="auto"/>
        </w:rPr>
        <w:t>www.jamsadr.com</w:t>
      </w:r>
      <w:r>
        <w:rPr>
          <w:rFonts w:ascii="Arial" w:cs="Arial" w:eastAsia="Arial" w:hAnsi="Arial"/>
          <w:sz w:val="18"/>
          <w:szCs w:val="18"/>
          <w:color w:val="auto"/>
        </w:rPr>
        <w:t>. The Federal Arbitration Act, as then in effect, shall govern the interpretation and enforcement of such arbitration proceeding. The arbitrator shall apply California State law to the merits of any dispute or claim, without reference to rules of conflict of law. Any determination or decision by the arbitrator will be final and binding upon the parties and may be enforced in any court of law. The parties agree that any arbitration will take place on an individual, and not on a class, basis. Subject to the provisions of this Section regarding arbitration, the Executive and the Company hereby submit to the exclusive jurisdiction and venue of the federal and state courts located in California for the resolution of any and all claims, causes of action or disputes arising out of, related to the enforcement, if necessary, of any arbitral award made pursuant to the provisions of this Section, and the Executive agrees to waive any claim relating to forum non conveniens.</w:t>
      </w:r>
    </w:p>
    <w:p>
      <w:pPr>
        <w:spacing w:after="0" w:line="166" w:lineRule="exact"/>
        <w:rPr>
          <w:sz w:val="20"/>
          <w:szCs w:val="20"/>
          <w:color w:val="auto"/>
        </w:rPr>
      </w:pPr>
    </w:p>
    <w:p>
      <w:pPr>
        <w:spacing w:after="0"/>
        <w:tabs>
          <w:tab w:leader="none" w:pos="2480" w:val="left"/>
        </w:tabs>
        <w:rPr>
          <w:sz w:val="20"/>
          <w:szCs w:val="20"/>
          <w:color w:val="auto"/>
        </w:rPr>
      </w:pPr>
      <w:r>
        <w:rPr>
          <w:rFonts w:ascii="Arial" w:cs="Arial" w:eastAsia="Arial" w:hAnsi="Arial"/>
          <w:sz w:val="20"/>
          <w:szCs w:val="20"/>
          <w:b w:val="1"/>
          <w:bCs w:val="1"/>
          <w:color w:val="auto"/>
        </w:rPr>
        <w:t>Executive Initials /s/ MK</w:t>
      </w:r>
      <w:r>
        <w:rPr>
          <w:sz w:val="20"/>
          <w:szCs w:val="20"/>
          <w:color w:val="auto"/>
        </w:rPr>
        <w:tab/>
      </w:r>
      <w:r>
        <w:rPr>
          <w:rFonts w:ascii="Arial" w:cs="Arial" w:eastAsia="Arial" w:hAnsi="Arial"/>
          <w:sz w:val="16"/>
          <w:szCs w:val="16"/>
          <w:b w:val="1"/>
          <w:bCs w:val="1"/>
          <w:color w:val="auto"/>
        </w:rPr>
        <w:t>Company Representative /s/ AG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968375</wp:posOffset>
            </wp:positionH>
            <wp:positionV relativeFrom="paragraph">
              <wp:posOffset>-10795</wp:posOffset>
            </wp:positionV>
            <wp:extent cx="49212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5">
                      <a:extLst>
                        <a:ext uri="{28A0092B-C50C-407E-A947-70E740481C1C}"/>
                      </a:extLst>
                    </a:blip>
                    <a:srcRect/>
                    <a:stretch>
                      <a:fillRect/>
                    </a:stretch>
                  </pic:blipFill>
                  <pic:spPr bwMode="auto">
                    <a:xfrm>
                      <a:off x="0" y="0"/>
                      <a:ext cx="492125" cy="8890"/>
                    </a:xfrm>
                    <a:prstGeom prst="rect">
                      <a:avLst/>
                    </a:prstGeom>
                    <a:noFill/>
                  </pic:spPr>
                </pic:pic>
              </a:graphicData>
            </a:graphic>
          </wp:anchor>
        </w:drawing>
        <w:drawing>
          <wp:anchor simplePos="0" relativeHeight="251657728" behindDoc="1" locked="0" layoutInCell="0" allowOverlap="1">
            <wp:simplePos x="0" y="0"/>
            <wp:positionH relativeFrom="column">
              <wp:posOffset>2972435</wp:posOffset>
            </wp:positionH>
            <wp:positionV relativeFrom="paragraph">
              <wp:posOffset>-10795</wp:posOffset>
            </wp:positionV>
            <wp:extent cx="46418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6">
                      <a:extLst>
                        <a:ext uri="{28A0092B-C50C-407E-A947-70E740481C1C}"/>
                      </a:extLst>
                    </a:blip>
                    <a:srcRect/>
                    <a:stretch>
                      <a:fillRect/>
                    </a:stretch>
                  </pic:blipFill>
                  <pic:spPr bwMode="auto">
                    <a:xfrm>
                      <a:off x="0" y="0"/>
                      <a:ext cx="464185" cy="8890"/>
                    </a:xfrm>
                    <a:prstGeom prst="rect">
                      <a:avLst/>
                    </a:prstGeom>
                    <a:noFill/>
                  </pic:spPr>
                </pic:pic>
              </a:graphicData>
            </a:graphic>
          </wp:anchor>
        </w:drawing>
      </w:r>
    </w:p>
    <w:p>
      <w:pPr>
        <w:spacing w:after="0" w:line="263" w:lineRule="exact"/>
        <w:rPr>
          <w:sz w:val="20"/>
          <w:szCs w:val="20"/>
          <w:color w:val="auto"/>
        </w:rPr>
      </w:pPr>
    </w:p>
    <w:p>
      <w:pPr>
        <w:jc w:val="both"/>
        <w:ind w:left="340" w:hanging="332"/>
        <w:spacing w:after="0" w:line="256" w:lineRule="auto"/>
        <w:tabs>
          <w:tab w:leader="none" w:pos="331" w:val="left"/>
        </w:tabs>
        <w:numPr>
          <w:ilvl w:val="0"/>
          <w:numId w:val="65"/>
        </w:numPr>
        <w:rPr>
          <w:rFonts w:ascii="Arial" w:cs="Arial" w:eastAsia="Arial" w:hAnsi="Arial"/>
          <w:sz w:val="19"/>
          <w:szCs w:val="19"/>
          <w:color w:val="auto"/>
        </w:rPr>
      </w:pPr>
      <w:r>
        <w:rPr>
          <w:rFonts w:ascii="Arial" w:cs="Arial" w:eastAsia="Arial" w:hAnsi="Arial"/>
          <w:sz w:val="19"/>
          <w:szCs w:val="19"/>
          <w:b w:val="1"/>
          <w:bCs w:val="1"/>
          <w:color w:val="auto"/>
        </w:rPr>
        <w:t xml:space="preserve">Entire Agreement; Construction. </w:t>
      </w:r>
      <w:r>
        <w:rPr>
          <w:rFonts w:ascii="Arial" w:cs="Arial" w:eastAsia="Arial" w:hAnsi="Arial"/>
          <w:sz w:val="19"/>
          <w:szCs w:val="19"/>
          <w:color w:val="auto"/>
        </w:rPr>
        <w:t>This Agreement contains the entire understanding of the parties relating to the subject matter of this</w:t>
      </w:r>
      <w:r>
        <w:rPr>
          <w:rFonts w:ascii="Arial" w:cs="Arial" w:eastAsia="Arial" w:hAnsi="Arial"/>
          <w:sz w:val="19"/>
          <w:szCs w:val="19"/>
          <w:b w:val="1"/>
          <w:bCs w:val="1"/>
          <w:color w:val="auto"/>
        </w:rPr>
        <w:t xml:space="preserve"> </w:t>
      </w:r>
      <w:r>
        <w:rPr>
          <w:rFonts w:ascii="Arial" w:cs="Arial" w:eastAsia="Arial" w:hAnsi="Arial"/>
          <w:sz w:val="19"/>
          <w:szCs w:val="19"/>
          <w:color w:val="auto"/>
        </w:rPr>
        <w:t>Agreement and supersedes all other prior written or oral agreements, understandings or arrangements between the parties relating to the subject matter hereof, including, without limitation, the Prior Employment Agreement. The Executive acknowledges and agrees that the compensation paid under the terms of this Agreement shall be in full satisfaction of any amounts due in connection with the Executive’s employment with the Company except as otherwise expressly agreed to in writing. The Executive acknowledges that, in entering into this Agreement, the Executive did not rely and has not relied on any statements or representations not contained in this Agreement. The parties acknowledge and agree that they have been represented by counsel and that each of the parties has participated in the drafting of this Agreement. Accordingly, it is the intention and agreement of the parties that the language, terms and conditions of this Agreement are not to be construed in any way against or in favor of any party hereto by reason of the responsibilities in connection with the preparation of this Agreement.</w:t>
      </w:r>
    </w:p>
    <w:p>
      <w:pPr>
        <w:spacing w:after="0" w:line="180" w:lineRule="exact"/>
        <w:rPr>
          <w:rFonts w:ascii="Arial" w:cs="Arial" w:eastAsia="Arial" w:hAnsi="Arial"/>
          <w:sz w:val="19"/>
          <w:szCs w:val="19"/>
          <w:color w:val="auto"/>
        </w:rPr>
      </w:pPr>
    </w:p>
    <w:p>
      <w:pPr>
        <w:jc w:val="both"/>
        <w:ind w:left="340" w:hanging="332"/>
        <w:spacing w:after="0" w:line="253" w:lineRule="auto"/>
        <w:tabs>
          <w:tab w:leader="none" w:pos="331" w:val="left"/>
        </w:tabs>
        <w:numPr>
          <w:ilvl w:val="0"/>
          <w:numId w:val="65"/>
        </w:numPr>
        <w:rPr>
          <w:rFonts w:ascii="Arial" w:cs="Arial" w:eastAsia="Arial" w:hAnsi="Arial"/>
          <w:sz w:val="20"/>
          <w:szCs w:val="20"/>
          <w:color w:val="auto"/>
        </w:rPr>
      </w:pPr>
      <w:r>
        <w:rPr>
          <w:rFonts w:ascii="Arial" w:cs="Arial" w:eastAsia="Arial" w:hAnsi="Arial"/>
          <w:sz w:val="20"/>
          <w:szCs w:val="20"/>
          <w:b w:val="1"/>
          <w:bCs w:val="1"/>
          <w:color w:val="auto"/>
        </w:rPr>
        <w:t xml:space="preserve">Severability. </w:t>
      </w:r>
      <w:r>
        <w:rPr>
          <w:rFonts w:ascii="Arial" w:cs="Arial" w:eastAsia="Arial" w:hAnsi="Arial"/>
          <w:sz w:val="20"/>
          <w:szCs w:val="20"/>
          <w:color w:val="auto"/>
        </w:rPr>
        <w:t>Any term or provision of this Agreement that is determined to be invalid or unenforceable by any court of competent</w:t>
      </w:r>
      <w:r>
        <w:rPr>
          <w:rFonts w:ascii="Arial" w:cs="Arial" w:eastAsia="Arial" w:hAnsi="Arial"/>
          <w:sz w:val="20"/>
          <w:szCs w:val="20"/>
          <w:b w:val="1"/>
          <w:bCs w:val="1"/>
          <w:color w:val="auto"/>
        </w:rPr>
        <w:t xml:space="preserve"> </w:t>
      </w:r>
      <w:r>
        <w:rPr>
          <w:rFonts w:ascii="Arial" w:cs="Arial" w:eastAsia="Arial" w:hAnsi="Arial"/>
          <w:sz w:val="20"/>
          <w:szCs w:val="20"/>
          <w:color w:val="auto"/>
        </w:rPr>
        <w:t>jurisdiction in any jurisdiction shall, as to such jurisdiction, be ineffective to the extent of such invalidity or unenforceability without rendering invalid or</w:t>
      </w: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388" w:lineRule="exact"/>
        <w:rPr>
          <w:rFonts w:ascii="Arial" w:cs="Arial" w:eastAsia="Arial" w:hAnsi="Arial"/>
          <w:sz w:val="20"/>
          <w:szCs w:val="20"/>
          <w:color w:val="auto"/>
        </w:rPr>
      </w:pPr>
    </w:p>
    <w:p>
      <w:pPr>
        <w:ind w:left="360" w:hanging="136"/>
        <w:spacing w:after="0"/>
        <w:tabs>
          <w:tab w:leader="none" w:pos="360" w:val="left"/>
        </w:tabs>
        <w:numPr>
          <w:ilvl w:val="1"/>
          <w:numId w:val="65"/>
        </w:numPr>
        <w:rPr>
          <w:rFonts w:ascii="Arial" w:cs="Arial" w:eastAsia="Arial" w:hAnsi="Arial"/>
          <w:sz w:val="22"/>
          <w:szCs w:val="22"/>
          <w:color w:val="auto"/>
        </w:rPr>
      </w:pPr>
      <w:r>
        <w:rPr>
          <w:rFonts w:ascii="Arial" w:cs="Arial" w:eastAsia="Arial" w:hAnsi="Arial"/>
          <w:sz w:val="22"/>
          <w:szCs w:val="22"/>
          <w:color w:val="auto"/>
        </w:rPr>
        <w:t>10 -</w:t>
      </w:r>
    </w:p>
    <w:p>
      <w:pPr>
        <w:sectPr>
          <w:pgSz w:w="11900" w:h="16838" w:orient="portrait"/>
          <w:cols w:equalWidth="0" w:num="1">
            <w:col w:w="11240"/>
          </w:cols>
          <w:pgMar w:left="320" w:top="1440" w:right="339" w:bottom="1440" w:gutter="0" w:footer="0" w:header="0"/>
        </w:sectPr>
      </w:pPr>
    </w:p>
    <w:bookmarkStart w:id="87" w:name="page88"/>
    <w:bookmarkEnd w:id="87"/>
    <w:p>
      <w:pPr>
        <w:jc w:val="both"/>
        <w:ind w:left="386"/>
        <w:spacing w:after="0" w:line="250" w:lineRule="auto"/>
        <w:rPr>
          <w:sz w:val="20"/>
          <w:szCs w:val="20"/>
          <w:color w:val="auto"/>
        </w:rPr>
      </w:pPr>
      <w:r>
        <w:rPr>
          <w:rFonts w:ascii="Arial" w:cs="Arial" w:eastAsia="Arial" w:hAnsi="Arial"/>
          <w:sz w:val="20"/>
          <w:szCs w:val="20"/>
          <w:color w:val="auto"/>
        </w:rPr>
        <w:t>unenforceable the remaining terms and provisions of this Agreement or affecting the validity or enforceability of any of the terms or provisions of this Agreement in any other jurisdiction and such invalid or unenforceable provision shall be modified by such court so that it is enforceable to the extent permitted by applicable law.</w:t>
      </w:r>
    </w:p>
    <w:p>
      <w:pPr>
        <w:spacing w:after="0" w:line="180" w:lineRule="exact"/>
        <w:rPr>
          <w:sz w:val="20"/>
          <w:szCs w:val="20"/>
          <w:color w:val="auto"/>
        </w:rPr>
      </w:pPr>
    </w:p>
    <w:p>
      <w:pPr>
        <w:jc w:val="both"/>
        <w:ind w:left="386" w:hanging="332"/>
        <w:spacing w:after="0" w:line="248" w:lineRule="auto"/>
        <w:tabs>
          <w:tab w:leader="none" w:pos="377" w:val="left"/>
        </w:tabs>
        <w:numPr>
          <w:ilvl w:val="0"/>
          <w:numId w:val="66"/>
        </w:numPr>
        <w:rPr>
          <w:rFonts w:ascii="Arial" w:cs="Arial" w:eastAsia="Arial" w:hAnsi="Arial"/>
          <w:sz w:val="20"/>
          <w:szCs w:val="20"/>
          <w:color w:val="auto"/>
        </w:rPr>
      </w:pPr>
      <w:r>
        <w:rPr>
          <w:rFonts w:ascii="Arial" w:cs="Arial" w:eastAsia="Arial" w:hAnsi="Arial"/>
          <w:sz w:val="20"/>
          <w:szCs w:val="20"/>
          <w:b w:val="1"/>
          <w:bCs w:val="1"/>
          <w:color w:val="auto"/>
        </w:rPr>
        <w:t xml:space="preserve">Notices. </w:t>
      </w:r>
      <w:r>
        <w:rPr>
          <w:rFonts w:ascii="Arial" w:cs="Arial" w:eastAsia="Arial" w:hAnsi="Arial"/>
          <w:sz w:val="20"/>
          <w:szCs w:val="20"/>
          <w:color w:val="auto"/>
        </w:rPr>
        <w:t>All notices, requests, claims, demands and other communications hereunder shall be in writing and shall be given or made (and</w:t>
      </w:r>
      <w:r>
        <w:rPr>
          <w:rFonts w:ascii="Arial" w:cs="Arial" w:eastAsia="Arial" w:hAnsi="Arial"/>
          <w:sz w:val="20"/>
          <w:szCs w:val="20"/>
          <w:b w:val="1"/>
          <w:bCs w:val="1"/>
          <w:color w:val="auto"/>
        </w:rPr>
        <w:t xml:space="preserve"> </w:t>
      </w:r>
      <w:r>
        <w:rPr>
          <w:rFonts w:ascii="Arial" w:cs="Arial" w:eastAsia="Arial" w:hAnsi="Arial"/>
          <w:sz w:val="20"/>
          <w:szCs w:val="20"/>
          <w:color w:val="auto"/>
        </w:rPr>
        <w:t>shall be deemed to have been duly given or made upon receipt) by delivery in person, by an internationally recognized overnight courier service, by facsimile or registered or certified mail (postage prepaid, return receipt requested) to the respective parties hereto at the latest addresses provided to the other party.</w:t>
      </w:r>
    </w:p>
    <w:p>
      <w:pPr>
        <w:spacing w:after="0" w:line="183" w:lineRule="exact"/>
        <w:rPr>
          <w:rFonts w:ascii="Arial" w:cs="Arial" w:eastAsia="Arial" w:hAnsi="Arial"/>
          <w:sz w:val="20"/>
          <w:szCs w:val="20"/>
          <w:color w:val="auto"/>
        </w:rPr>
      </w:pPr>
    </w:p>
    <w:p>
      <w:pPr>
        <w:jc w:val="both"/>
        <w:ind w:left="386" w:hanging="332"/>
        <w:spacing w:after="0" w:line="253" w:lineRule="auto"/>
        <w:tabs>
          <w:tab w:leader="none" w:pos="377" w:val="left"/>
        </w:tabs>
        <w:numPr>
          <w:ilvl w:val="0"/>
          <w:numId w:val="66"/>
        </w:numPr>
        <w:rPr>
          <w:rFonts w:ascii="Arial" w:cs="Arial" w:eastAsia="Arial" w:hAnsi="Arial"/>
          <w:sz w:val="20"/>
          <w:szCs w:val="20"/>
          <w:color w:val="auto"/>
        </w:rPr>
      </w:pPr>
      <w:r>
        <w:rPr>
          <w:rFonts w:ascii="Arial" w:cs="Arial" w:eastAsia="Arial" w:hAnsi="Arial"/>
          <w:sz w:val="20"/>
          <w:szCs w:val="20"/>
          <w:b w:val="1"/>
          <w:bCs w:val="1"/>
          <w:color w:val="auto"/>
        </w:rPr>
        <w:t xml:space="preserve">Affiliates. </w:t>
      </w:r>
      <w:r>
        <w:rPr>
          <w:rFonts w:ascii="Arial" w:cs="Arial" w:eastAsia="Arial" w:hAnsi="Arial"/>
          <w:sz w:val="20"/>
          <w:szCs w:val="20"/>
          <w:color w:val="auto"/>
        </w:rPr>
        <w:t>Whenever used in the Agreement, the term “Affiliates” shall refer to any parent, subsidiary, or other entity (including but not</w:t>
      </w:r>
      <w:r>
        <w:rPr>
          <w:rFonts w:ascii="Arial" w:cs="Arial" w:eastAsia="Arial" w:hAnsi="Arial"/>
          <w:sz w:val="20"/>
          <w:szCs w:val="20"/>
          <w:b w:val="1"/>
          <w:bCs w:val="1"/>
          <w:color w:val="auto"/>
        </w:rPr>
        <w:t xml:space="preserve"> </w:t>
      </w:r>
      <w:r>
        <w:rPr>
          <w:rFonts w:ascii="Arial" w:cs="Arial" w:eastAsia="Arial" w:hAnsi="Arial"/>
          <w:sz w:val="20"/>
          <w:szCs w:val="20"/>
          <w:color w:val="auto"/>
        </w:rPr>
        <w:t>limited to any parent or subsidiary of any such parent, subsidiary or other entity) connected to the Company by common ownership and control, regardless of corporate form.</w:t>
      </w:r>
    </w:p>
    <w:p>
      <w:pPr>
        <w:spacing w:after="0" w:line="204" w:lineRule="exact"/>
        <w:rPr>
          <w:rFonts w:ascii="Arial" w:cs="Arial" w:eastAsia="Arial" w:hAnsi="Arial"/>
          <w:sz w:val="20"/>
          <w:szCs w:val="20"/>
          <w:color w:val="auto"/>
        </w:rPr>
      </w:pPr>
    </w:p>
    <w:p>
      <w:pPr>
        <w:jc w:val="both"/>
        <w:ind w:left="386" w:hanging="332"/>
        <w:spacing w:after="0" w:line="258" w:lineRule="auto"/>
        <w:tabs>
          <w:tab w:leader="none" w:pos="377" w:val="left"/>
        </w:tabs>
        <w:numPr>
          <w:ilvl w:val="0"/>
          <w:numId w:val="66"/>
        </w:numPr>
        <w:rPr>
          <w:rFonts w:ascii="Arial" w:cs="Arial" w:eastAsia="Arial" w:hAnsi="Arial"/>
          <w:sz w:val="19"/>
          <w:szCs w:val="19"/>
          <w:color w:val="auto"/>
        </w:rPr>
      </w:pPr>
      <w:r>
        <w:rPr>
          <w:rFonts w:ascii="Arial" w:cs="Arial" w:eastAsia="Arial" w:hAnsi="Arial"/>
          <w:sz w:val="19"/>
          <w:szCs w:val="19"/>
          <w:b w:val="1"/>
          <w:bCs w:val="1"/>
          <w:color w:val="auto"/>
        </w:rPr>
        <w:t xml:space="preserve">Section 409A Compliance. </w:t>
      </w:r>
      <w:r>
        <w:rPr>
          <w:rFonts w:ascii="Arial" w:cs="Arial" w:eastAsia="Arial" w:hAnsi="Arial"/>
          <w:sz w:val="19"/>
          <w:szCs w:val="19"/>
          <w:color w:val="auto"/>
        </w:rPr>
        <w:t>Except as otherwise expressly provided in this Agreement, any payment that would otherwise constitute</w:t>
      </w:r>
      <w:r>
        <w:rPr>
          <w:rFonts w:ascii="Arial" w:cs="Arial" w:eastAsia="Arial" w:hAnsi="Arial"/>
          <w:sz w:val="19"/>
          <w:szCs w:val="19"/>
          <w:b w:val="1"/>
          <w:bCs w:val="1"/>
          <w:color w:val="auto"/>
        </w:rPr>
        <w:t xml:space="preserve"> </w:t>
      </w:r>
      <w:r>
        <w:rPr>
          <w:rFonts w:ascii="Arial" w:cs="Arial" w:eastAsia="Arial" w:hAnsi="Arial"/>
          <w:sz w:val="19"/>
          <w:szCs w:val="19"/>
          <w:color w:val="auto"/>
        </w:rPr>
        <w:t>deferred compensation within the meaning of Section 409A of the Internal Revenue Code of 1986 (the “Code”), as amended (“Section 409A”), shall be paid within 2 ½ months following the end of the year in which such amount has been earned, but in no case later than the December 31st following the calendar year in which such compensation is otherwise earned. Although the Company makes no guarantee with respect to the tax or other treatment of payments or benefits under this Agreement and shall not be responsible in any event with regard to this Agreement’s compliance with Section 409A, payments under this Agreement are intended to be exempt from or comply with the applicable requirements of Section 409A and will be limited, construed and interpreted in a manner so as to comply therewith. In furtherance of the foregoing:</w:t>
      </w:r>
    </w:p>
    <w:p>
      <w:pPr>
        <w:spacing w:after="0" w:line="206" w:lineRule="exact"/>
        <w:rPr>
          <w:sz w:val="20"/>
          <w:szCs w:val="20"/>
          <w:color w:val="auto"/>
        </w:rPr>
      </w:pPr>
    </w:p>
    <w:p>
      <w:pPr>
        <w:jc w:val="both"/>
        <w:ind w:left="706" w:hanging="706"/>
        <w:spacing w:after="0" w:line="246" w:lineRule="auto"/>
        <w:tabs>
          <w:tab w:leader="none" w:pos="695" w:val="left"/>
        </w:tabs>
        <w:numPr>
          <w:ilvl w:val="0"/>
          <w:numId w:val="67"/>
        </w:numPr>
        <w:rPr>
          <w:rFonts w:ascii="Arial" w:cs="Arial" w:eastAsia="Arial" w:hAnsi="Arial"/>
          <w:sz w:val="20"/>
          <w:szCs w:val="20"/>
          <w:color w:val="auto"/>
        </w:rPr>
      </w:pPr>
      <w:r>
        <w:rPr>
          <w:rFonts w:ascii="Arial" w:cs="Arial" w:eastAsia="Arial" w:hAnsi="Arial"/>
          <w:sz w:val="20"/>
          <w:szCs w:val="20"/>
          <w:color w:val="auto"/>
        </w:rPr>
        <w:t>notwithstanding any provision of this Agreement to the contrary, if the Executive is a “specified employee” as defined for purposes of Section 409A, then all payments to be made to the Executive hereunder due to the termination of employment will be paid, or commence to be paid, on the earlier of the date which is six (6) months after (x) the date that the Executive’s employment with the Company is terminated; or (y) the date of death;</w:t>
      </w:r>
    </w:p>
    <w:p>
      <w:pPr>
        <w:spacing w:after="0" w:line="191" w:lineRule="exact"/>
        <w:rPr>
          <w:sz w:val="20"/>
          <w:szCs w:val="20"/>
          <w:color w:val="auto"/>
        </w:rPr>
      </w:pPr>
    </w:p>
    <w:p>
      <w:pPr>
        <w:ind w:left="706" w:hanging="695"/>
        <w:spacing w:after="0" w:line="316" w:lineRule="auto"/>
        <w:tabs>
          <w:tab w:leader="none" w:pos="682" w:val="left"/>
        </w:tabs>
        <w:numPr>
          <w:ilvl w:val="0"/>
          <w:numId w:val="68"/>
        </w:numPr>
        <w:rPr>
          <w:rFonts w:ascii="Arial" w:cs="Arial" w:eastAsia="Arial" w:hAnsi="Arial"/>
          <w:sz w:val="18"/>
          <w:szCs w:val="18"/>
          <w:color w:val="auto"/>
        </w:rPr>
      </w:pPr>
      <w:r>
        <w:rPr>
          <w:rFonts w:ascii="Arial" w:cs="Arial" w:eastAsia="Arial" w:hAnsi="Arial"/>
          <w:sz w:val="18"/>
          <w:szCs w:val="18"/>
          <w:color w:val="auto"/>
        </w:rPr>
        <w:t>notwithstanding any provision of this Agreement to the contrary, the Executive’s employment with the Company will not be deemed to have been terminated unless and until the Executive has had a “separation from service,” as determined under Section 409A; and</w:t>
      </w:r>
    </w:p>
    <w:p>
      <w:pPr>
        <w:spacing w:after="0" w:line="129" w:lineRule="exact"/>
        <w:rPr>
          <w:rFonts w:ascii="Arial" w:cs="Arial" w:eastAsia="Arial" w:hAnsi="Arial"/>
          <w:sz w:val="18"/>
          <w:szCs w:val="18"/>
          <w:color w:val="auto"/>
        </w:rPr>
      </w:pPr>
    </w:p>
    <w:p>
      <w:pPr>
        <w:ind w:left="686" w:hanging="620"/>
        <w:spacing w:after="0"/>
        <w:tabs>
          <w:tab w:leader="none" w:pos="686" w:val="left"/>
        </w:tabs>
        <w:numPr>
          <w:ilvl w:val="0"/>
          <w:numId w:val="68"/>
        </w:numPr>
        <w:rPr>
          <w:rFonts w:ascii="Arial" w:cs="Arial" w:eastAsia="Arial" w:hAnsi="Arial"/>
          <w:sz w:val="20"/>
          <w:szCs w:val="20"/>
          <w:color w:val="auto"/>
        </w:rPr>
      </w:pPr>
      <w:r>
        <w:rPr>
          <w:rFonts w:ascii="Arial" w:cs="Arial" w:eastAsia="Arial" w:hAnsi="Arial"/>
          <w:sz w:val="20"/>
          <w:szCs w:val="20"/>
          <w:color w:val="auto"/>
        </w:rPr>
        <w:t>each payment that is part of a series of payment will be a single payment for purposes of Section 409A.</w:t>
      </w:r>
    </w:p>
    <w:p>
      <w:pPr>
        <w:spacing w:after="0" w:line="209" w:lineRule="exact"/>
        <w:rPr>
          <w:rFonts w:ascii="Arial" w:cs="Arial" w:eastAsia="Arial" w:hAnsi="Arial"/>
          <w:sz w:val="20"/>
          <w:szCs w:val="20"/>
          <w:color w:val="auto"/>
        </w:rPr>
      </w:pPr>
    </w:p>
    <w:p>
      <w:pPr>
        <w:jc w:val="both"/>
        <w:ind w:left="386" w:hanging="332"/>
        <w:spacing w:after="0" w:line="259" w:lineRule="auto"/>
        <w:tabs>
          <w:tab w:leader="none" w:pos="377" w:val="left"/>
        </w:tabs>
        <w:numPr>
          <w:ilvl w:val="1"/>
          <w:numId w:val="68"/>
        </w:numPr>
        <w:rPr>
          <w:rFonts w:ascii="Arial" w:cs="Arial" w:eastAsia="Arial" w:hAnsi="Arial"/>
          <w:sz w:val="19"/>
          <w:szCs w:val="19"/>
          <w:color w:val="auto"/>
        </w:rPr>
      </w:pPr>
      <w:r>
        <w:rPr>
          <w:rFonts w:ascii="Arial" w:cs="Arial" w:eastAsia="Arial" w:hAnsi="Arial"/>
          <w:sz w:val="19"/>
          <w:szCs w:val="19"/>
          <w:b w:val="1"/>
          <w:bCs w:val="1"/>
          <w:color w:val="auto"/>
        </w:rPr>
        <w:t xml:space="preserve">Section 280G. </w:t>
      </w:r>
      <w:r>
        <w:rPr>
          <w:rFonts w:ascii="Arial" w:cs="Arial" w:eastAsia="Arial" w:hAnsi="Arial"/>
          <w:sz w:val="19"/>
          <w:szCs w:val="19"/>
          <w:color w:val="auto"/>
        </w:rPr>
        <w:t>If any payment(s) or benefit(s) the Executive would receive pursuant to this Agreement and/or pursuant to any other</w:t>
      </w:r>
      <w:r>
        <w:rPr>
          <w:rFonts w:ascii="Arial" w:cs="Arial" w:eastAsia="Arial" w:hAnsi="Arial"/>
          <w:sz w:val="19"/>
          <w:szCs w:val="19"/>
          <w:b w:val="1"/>
          <w:bCs w:val="1"/>
          <w:color w:val="auto"/>
        </w:rPr>
        <w:t xml:space="preserve"> </w:t>
      </w:r>
      <w:r>
        <w:rPr>
          <w:rFonts w:ascii="Arial" w:cs="Arial" w:eastAsia="Arial" w:hAnsi="Arial"/>
          <w:sz w:val="19"/>
          <w:szCs w:val="19"/>
          <w:color w:val="auto"/>
        </w:rPr>
        <w:t>agreement or arrangement would (a) constitute a “parachute payment” within the meaning of Section 280G of the Code, (b) but for this Section, be subject to the excise tax imposed by Section 4999 of the Code (the “</w:t>
      </w:r>
      <w:r>
        <w:rPr>
          <w:rFonts w:ascii="Arial" w:cs="Arial" w:eastAsia="Arial" w:hAnsi="Arial"/>
          <w:sz w:val="19"/>
          <w:szCs w:val="19"/>
          <w:u w:val="single" w:color="auto"/>
          <w:color w:val="auto"/>
        </w:rPr>
        <w:t>Excise Tax</w:t>
      </w:r>
      <w:r>
        <w:rPr>
          <w:rFonts w:ascii="Arial" w:cs="Arial" w:eastAsia="Arial" w:hAnsi="Arial"/>
          <w:sz w:val="19"/>
          <w:szCs w:val="19"/>
          <w:color w:val="auto"/>
        </w:rPr>
        <w:t>”), and (c) if the net-after tax amount (taking into account all applicable taxes payable by the Executive, including any Excise Tax) that the Executive would receive with respect to such payments or benefits does not exceed the Reduced Amount, then such payment(s) or benefit(s) (collectively, “</w:t>
      </w:r>
      <w:r>
        <w:rPr>
          <w:rFonts w:ascii="Arial" w:cs="Arial" w:eastAsia="Arial" w:hAnsi="Arial"/>
          <w:sz w:val="19"/>
          <w:szCs w:val="19"/>
          <w:u w:val="single" w:color="auto"/>
          <w:color w:val="auto"/>
        </w:rPr>
        <w:t>Payments</w:t>
      </w:r>
      <w:r>
        <w:rPr>
          <w:rFonts w:ascii="Arial" w:cs="Arial" w:eastAsia="Arial" w:hAnsi="Arial"/>
          <w:sz w:val="19"/>
          <w:szCs w:val="19"/>
          <w:color w:val="auto"/>
        </w:rPr>
        <w:t>”) shall be reduced to the Reduced Amount. The “</w:t>
      </w:r>
      <w:r>
        <w:rPr>
          <w:rFonts w:ascii="Arial" w:cs="Arial" w:eastAsia="Arial" w:hAnsi="Arial"/>
          <w:sz w:val="19"/>
          <w:szCs w:val="19"/>
          <w:u w:val="single" w:color="auto"/>
          <w:color w:val="auto"/>
        </w:rPr>
        <w:t>Reduced Amount</w:t>
      </w:r>
      <w:r>
        <w:rPr>
          <w:rFonts w:ascii="Arial" w:cs="Arial" w:eastAsia="Arial" w:hAnsi="Arial"/>
          <w:sz w:val="19"/>
          <w:szCs w:val="19"/>
          <w:color w:val="auto"/>
        </w:rPr>
        <w:t>” shall be the largest portion of the Payments that can be paid or provided without causing any portion of the Payments being subject to the Excise Tax. If a</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383" w:lineRule="exact"/>
        <w:rPr>
          <w:rFonts w:ascii="Arial" w:cs="Arial" w:eastAsia="Arial" w:hAnsi="Arial"/>
          <w:sz w:val="19"/>
          <w:szCs w:val="19"/>
          <w:color w:val="auto"/>
        </w:rPr>
      </w:pPr>
    </w:p>
    <w:p>
      <w:pPr>
        <w:ind w:left="406" w:hanging="136"/>
        <w:spacing w:after="0"/>
        <w:tabs>
          <w:tab w:leader="none" w:pos="406" w:val="left"/>
        </w:tabs>
        <w:numPr>
          <w:ilvl w:val="2"/>
          <w:numId w:val="68"/>
        </w:numPr>
        <w:rPr>
          <w:rFonts w:ascii="Arial" w:cs="Arial" w:eastAsia="Arial" w:hAnsi="Arial"/>
          <w:sz w:val="22"/>
          <w:szCs w:val="22"/>
          <w:color w:val="auto"/>
        </w:rPr>
      </w:pPr>
      <w:r>
        <w:rPr>
          <w:rFonts w:ascii="Arial" w:cs="Arial" w:eastAsia="Arial" w:hAnsi="Arial"/>
          <w:sz w:val="22"/>
          <w:szCs w:val="22"/>
          <w:color w:val="auto"/>
        </w:rPr>
        <w:t>11 -</w:t>
      </w:r>
    </w:p>
    <w:p>
      <w:pPr>
        <w:sectPr>
          <w:pgSz w:w="11900" w:h="16838" w:orient="portrait"/>
          <w:cols w:equalWidth="0" w:num="1">
            <w:col w:w="11286"/>
          </w:cols>
          <w:pgMar w:left="274" w:top="1419" w:right="339" w:bottom="1440" w:gutter="0" w:footer="0" w:header="0"/>
        </w:sectPr>
      </w:pPr>
    </w:p>
    <w:bookmarkStart w:id="88" w:name="page89"/>
    <w:bookmarkEnd w:id="88"/>
    <w:p>
      <w:pPr>
        <w:jc w:val="both"/>
        <w:ind w:left="340"/>
        <w:spacing w:after="0" w:line="276" w:lineRule="auto"/>
        <w:rPr>
          <w:sz w:val="20"/>
          <w:szCs w:val="20"/>
          <w:color w:val="auto"/>
        </w:rPr>
      </w:pPr>
      <w:r>
        <w:rPr>
          <w:rFonts w:ascii="Arial" w:cs="Arial" w:eastAsia="Arial" w:hAnsi="Arial"/>
          <w:sz w:val="18"/>
          <w:szCs w:val="18"/>
          <w:color w:val="auto"/>
        </w:rPr>
        <w:t>reduction in payments or benefits constituting “parachute payments” is necessary so that the Payments equal the Reduced Amount, reduction shall occur in the following order: (i) first, any severance payments; (ii) second, any other cash payments due under any other agreement between the Company and the Executive; (iii) third, cancellation of the acceleration of vesting of any stock options; (iv) fourth, cancellation of the acceleration of vesting of any restricted stock and restricted stock units; and (v) lastly, other non-cash forms of benefits. Calculations of the foregoing will be performed at the expense of the Company by an accounting firm selected by the Company. The determinations of such accounting firm shall be final, binding and conclusive upon the Company and the Executive.</w:t>
      </w:r>
    </w:p>
    <w:p>
      <w:pPr>
        <w:spacing w:after="0" w:line="159" w:lineRule="exact"/>
        <w:rPr>
          <w:sz w:val="20"/>
          <w:szCs w:val="20"/>
          <w:color w:val="auto"/>
        </w:rPr>
      </w:pPr>
    </w:p>
    <w:p>
      <w:pPr>
        <w:jc w:val="both"/>
        <w:ind w:left="340" w:hanging="332"/>
        <w:spacing w:after="0" w:line="269" w:lineRule="auto"/>
        <w:tabs>
          <w:tab w:leader="none" w:pos="331" w:val="left"/>
        </w:tabs>
        <w:numPr>
          <w:ilvl w:val="0"/>
          <w:numId w:val="69"/>
        </w:numPr>
        <w:rPr>
          <w:rFonts w:ascii="Arial" w:cs="Arial" w:eastAsia="Arial" w:hAnsi="Arial"/>
          <w:sz w:val="18"/>
          <w:szCs w:val="18"/>
          <w:color w:val="auto"/>
        </w:rPr>
      </w:pPr>
      <w:r>
        <w:rPr>
          <w:rFonts w:ascii="Arial" w:cs="Arial" w:eastAsia="Arial" w:hAnsi="Arial"/>
          <w:sz w:val="18"/>
          <w:szCs w:val="18"/>
          <w:b w:val="1"/>
          <w:bCs w:val="1"/>
          <w:color w:val="auto"/>
        </w:rPr>
        <w:t xml:space="preserve">Indemnification. </w:t>
      </w:r>
      <w:r>
        <w:rPr>
          <w:rFonts w:ascii="Arial" w:cs="Arial" w:eastAsia="Arial" w:hAnsi="Arial"/>
          <w:sz w:val="18"/>
          <w:szCs w:val="18"/>
          <w:color w:val="auto"/>
        </w:rPr>
        <w:t>The Executive shall not be liable to the Company for any loss, damage or claim incurred by reason of any act or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omission performed or omitted by the Executive in good faith on behalf of the Company and in a manner reasonably believed by the Executive to be within the scope of the authority conferred on the Executive by this Agreement, except that the Executive shall be liable for any such loss, damage or claim incurred by reason of the Executive’s fraud or intentional malfeasance. To the fullest extent permitted by applicable law, the Company shall indemnify the Executive for any loss, damage or claim incurred by the Executive by reason of any act or omission performed or omitted by the Executive in good faith on behalf of the Company and in a manner reasonably believed by the Executive to be within the scope of the authority conferred on the Executive by this Agreement, except that the Executive shall not be entitled to be indemnified in respect of any loss, damage or claim incurred by the Executive by reason of the Executive’s gross negligence or willful misconduct with respect to such acts or omissions, as determined by a final and non-appealable arbitration adjudication pursuant to the provisions of </w:t>
      </w:r>
      <w:r>
        <w:rPr>
          <w:rFonts w:ascii="Arial" w:cs="Arial" w:eastAsia="Arial" w:hAnsi="Arial"/>
          <w:sz w:val="18"/>
          <w:szCs w:val="18"/>
          <w:u w:val="single" w:color="auto"/>
          <w:color w:val="auto"/>
        </w:rPr>
        <w:t>Section 18</w:t>
      </w:r>
      <w:r>
        <w:rPr>
          <w:rFonts w:ascii="Arial" w:cs="Arial" w:eastAsia="Arial" w:hAnsi="Arial"/>
          <w:sz w:val="18"/>
          <w:szCs w:val="18"/>
          <w:color w:val="auto"/>
        </w:rPr>
        <w:t>; provided, however, that, for the avoidance of doubt, any indemnity under this Section shall be provided out of and to the extent of Company assets only, and the members of the Company shall have no personal liability on account thereof. To the fullest extent permitted by applicable law, expenses (including reasonable and documented legal fees) incurred by the Executive in defending any claim, demand, action, suit or proceeding brought by any person or entity other than Company or any Affiliate shall, from time to time, be advanced by the Company prior to the final disposition of such claim, demand, action, suit or proceeding upon receipt by the Company of an undertaking by or on behalf of the Executive to repay such amount if it shall ultimately be determined that the Executive is not entitled to be indemnified as authorized in this Section.</w:t>
      </w:r>
    </w:p>
    <w:p>
      <w:pPr>
        <w:spacing w:after="0" w:line="176" w:lineRule="exact"/>
        <w:rPr>
          <w:rFonts w:ascii="Arial" w:cs="Arial" w:eastAsia="Arial" w:hAnsi="Arial"/>
          <w:sz w:val="18"/>
          <w:szCs w:val="18"/>
          <w:color w:val="auto"/>
        </w:rPr>
      </w:pPr>
    </w:p>
    <w:p>
      <w:pPr>
        <w:ind w:left="340" w:right="20" w:hanging="332"/>
        <w:spacing w:after="0" w:line="323" w:lineRule="auto"/>
        <w:tabs>
          <w:tab w:leader="none" w:pos="331" w:val="left"/>
        </w:tabs>
        <w:numPr>
          <w:ilvl w:val="0"/>
          <w:numId w:val="69"/>
        </w:numPr>
        <w:rPr>
          <w:rFonts w:ascii="Arial" w:cs="Arial" w:eastAsia="Arial" w:hAnsi="Arial"/>
          <w:sz w:val="18"/>
          <w:szCs w:val="18"/>
          <w:color w:val="auto"/>
        </w:rPr>
      </w:pPr>
      <w:r>
        <w:rPr>
          <w:rFonts w:ascii="Arial" w:cs="Arial" w:eastAsia="Arial" w:hAnsi="Arial"/>
          <w:sz w:val="18"/>
          <w:szCs w:val="18"/>
          <w:b w:val="1"/>
          <w:bCs w:val="1"/>
          <w:color w:val="auto"/>
        </w:rPr>
        <w:t xml:space="preserve">Legal Fees of the Executive. </w:t>
      </w:r>
      <w:r>
        <w:rPr>
          <w:rFonts w:ascii="Arial" w:cs="Arial" w:eastAsia="Arial" w:hAnsi="Arial"/>
          <w:sz w:val="18"/>
          <w:szCs w:val="18"/>
          <w:color w:val="auto"/>
        </w:rPr>
        <w:t>The Company will pay, or reimburse the Executive, for the reasonable legal fees and expenses incurred by</w:t>
      </w:r>
      <w:r>
        <w:rPr>
          <w:rFonts w:ascii="Arial" w:cs="Arial" w:eastAsia="Arial" w:hAnsi="Arial"/>
          <w:sz w:val="18"/>
          <w:szCs w:val="18"/>
          <w:b w:val="1"/>
          <w:bCs w:val="1"/>
          <w:color w:val="auto"/>
        </w:rPr>
        <w:t xml:space="preserve"> </w:t>
      </w:r>
      <w:r>
        <w:rPr>
          <w:rFonts w:ascii="Arial" w:cs="Arial" w:eastAsia="Arial" w:hAnsi="Arial"/>
          <w:sz w:val="18"/>
          <w:szCs w:val="18"/>
          <w:color w:val="auto"/>
        </w:rPr>
        <w:t>the Executive’s legal counsel in connection with entering into this Agreement up to twenty-five thousand dollars ($25,000).</w:t>
      </w:r>
    </w:p>
    <w:p>
      <w:pPr>
        <w:spacing w:after="0" w:line="117" w:lineRule="exact"/>
        <w:rPr>
          <w:rFonts w:ascii="Arial" w:cs="Arial" w:eastAsia="Arial" w:hAnsi="Arial"/>
          <w:sz w:val="18"/>
          <w:szCs w:val="18"/>
          <w:color w:val="auto"/>
        </w:rPr>
      </w:pPr>
    </w:p>
    <w:p>
      <w:pPr>
        <w:ind w:left="340" w:hanging="332"/>
        <w:spacing w:after="0" w:line="293" w:lineRule="auto"/>
        <w:tabs>
          <w:tab w:leader="none" w:pos="331" w:val="left"/>
        </w:tabs>
        <w:numPr>
          <w:ilvl w:val="0"/>
          <w:numId w:val="69"/>
        </w:numPr>
        <w:rPr>
          <w:rFonts w:ascii="Arial" w:cs="Arial" w:eastAsia="Arial" w:hAnsi="Arial"/>
          <w:sz w:val="19"/>
          <w:szCs w:val="19"/>
          <w:color w:val="auto"/>
        </w:rPr>
      </w:pPr>
      <w:r>
        <w:rPr>
          <w:rFonts w:ascii="Arial" w:cs="Arial" w:eastAsia="Arial" w:hAnsi="Arial"/>
          <w:sz w:val="19"/>
          <w:szCs w:val="19"/>
          <w:b w:val="1"/>
          <w:bCs w:val="1"/>
          <w:color w:val="auto"/>
        </w:rPr>
        <w:t xml:space="preserve">Survival. </w:t>
      </w:r>
      <w:r>
        <w:rPr>
          <w:rFonts w:ascii="Arial" w:cs="Arial" w:eastAsia="Arial" w:hAnsi="Arial"/>
          <w:sz w:val="19"/>
          <w:szCs w:val="19"/>
          <w:color w:val="auto"/>
        </w:rPr>
        <w:t>The covenants, agreements, representations and warranties contained in this Agreement shall survive the termination of the</w:t>
      </w:r>
      <w:r>
        <w:rPr>
          <w:rFonts w:ascii="Arial" w:cs="Arial" w:eastAsia="Arial" w:hAnsi="Arial"/>
          <w:sz w:val="19"/>
          <w:szCs w:val="19"/>
          <w:b w:val="1"/>
          <w:bCs w:val="1"/>
          <w:color w:val="auto"/>
        </w:rPr>
        <w:t xml:space="preserve"> </w:t>
      </w:r>
      <w:r>
        <w:rPr>
          <w:rFonts w:ascii="Arial" w:cs="Arial" w:eastAsia="Arial" w:hAnsi="Arial"/>
          <w:sz w:val="19"/>
          <w:szCs w:val="19"/>
          <w:color w:val="auto"/>
        </w:rPr>
        <w:t>Term and the Executive’s termination of employment with the Company or its Affiliates at any time and for any reason.</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220"/>
        <w:spacing w:after="0"/>
        <w:rPr>
          <w:sz w:val="20"/>
          <w:szCs w:val="20"/>
          <w:color w:val="auto"/>
        </w:rPr>
      </w:pPr>
      <w:r>
        <w:rPr>
          <w:rFonts w:ascii="Arial" w:cs="Arial" w:eastAsia="Arial" w:hAnsi="Arial"/>
          <w:sz w:val="22"/>
          <w:szCs w:val="22"/>
          <w:color w:val="auto"/>
        </w:rPr>
        <w:t>- 12 -</w:t>
      </w:r>
    </w:p>
    <w:p>
      <w:pPr>
        <w:sectPr>
          <w:pgSz w:w="11900" w:h="16838" w:orient="portrait"/>
          <w:cols w:equalWidth="0" w:num="1">
            <w:col w:w="11240"/>
          </w:cols>
          <w:pgMar w:left="320" w:top="1419" w:right="339" w:bottom="1440" w:gutter="0" w:footer="0" w:header="0"/>
        </w:sectPr>
      </w:pPr>
    </w:p>
    <w:bookmarkStart w:id="89" w:name="page90"/>
    <w:bookmarkEnd w:id="89"/>
    <w:p>
      <w:pPr>
        <w:ind w:left="660"/>
        <w:spacing w:after="0"/>
        <w:rPr>
          <w:sz w:val="20"/>
          <w:szCs w:val="20"/>
          <w:color w:val="auto"/>
        </w:rPr>
      </w:pPr>
      <w:r>
        <w:rPr>
          <w:rFonts w:ascii="Arial" w:cs="Arial" w:eastAsia="Arial" w:hAnsi="Arial"/>
          <w:sz w:val="19"/>
          <w:szCs w:val="19"/>
          <w:color w:val="auto"/>
        </w:rPr>
        <w:t>IN WITNESS WHEREOF, this Agreement has been executed and delivered by the parties as of the first date written above.</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1400" w:type="dxa"/>
            <w:vAlign w:val="bottom"/>
          </w:tcPr>
          <w:p>
            <w:pPr>
              <w:spacing w:after="0"/>
              <w:rPr>
                <w:sz w:val="20"/>
                <w:szCs w:val="20"/>
                <w:color w:val="auto"/>
              </w:rPr>
            </w:pPr>
            <w:r>
              <w:rPr>
                <w:rFonts w:ascii="Arial" w:cs="Arial" w:eastAsia="Arial" w:hAnsi="Arial"/>
                <w:sz w:val="20"/>
                <w:szCs w:val="20"/>
                <w:b w:val="1"/>
                <w:bCs w:val="1"/>
                <w:color w:val="auto"/>
              </w:rPr>
              <w:t>EXECUTIVE</w:t>
            </w:r>
            <w:r>
              <w:rPr>
                <w:rFonts w:ascii="Arial" w:cs="Arial" w:eastAsia="Arial" w:hAnsi="Arial"/>
                <w:sz w:val="20"/>
                <w:szCs w:val="20"/>
                <w:color w:val="auto"/>
              </w:rPr>
              <w:t>:</w:t>
            </w:r>
          </w:p>
        </w:tc>
        <w:tc>
          <w:tcPr>
            <w:tcW w:w="5460" w:type="dxa"/>
            <w:vAlign w:val="bottom"/>
            <w:gridSpan w:val="4"/>
          </w:tcPr>
          <w:p>
            <w:pPr>
              <w:ind w:left="1220"/>
              <w:spacing w:after="0"/>
              <w:rPr>
                <w:sz w:val="20"/>
                <w:szCs w:val="20"/>
                <w:color w:val="auto"/>
              </w:rPr>
            </w:pPr>
            <w:r>
              <w:rPr>
                <w:rFonts w:ascii="Arial" w:cs="Arial" w:eastAsia="Arial" w:hAnsi="Arial"/>
                <w:sz w:val="20"/>
                <w:szCs w:val="20"/>
                <w:b w:val="1"/>
                <w:bCs w:val="1"/>
                <w:color w:val="auto"/>
              </w:rPr>
              <w:t>SURO CAPITAL CORP.</w:t>
            </w:r>
          </w:p>
        </w:tc>
      </w:tr>
      <w:tr>
        <w:trPr>
          <w:trHeight w:val="428"/>
        </w:trPr>
        <w:tc>
          <w:tcPr>
            <w:tcW w:w="3280" w:type="dxa"/>
            <w:vAlign w:val="bottom"/>
            <w:gridSpan w:val="2"/>
          </w:tcPr>
          <w:p>
            <w:pPr>
              <w:spacing w:after="0"/>
              <w:rPr>
                <w:sz w:val="20"/>
                <w:szCs w:val="20"/>
                <w:color w:val="auto"/>
              </w:rPr>
            </w:pPr>
            <w:r>
              <w:rPr>
                <w:rFonts w:ascii="Arial" w:cs="Arial" w:eastAsia="Arial" w:hAnsi="Arial"/>
                <w:sz w:val="20"/>
                <w:szCs w:val="20"/>
                <w:color w:val="auto"/>
              </w:rPr>
              <w:t>/s/ Mark D. Klein_______________</w:t>
            </w:r>
          </w:p>
        </w:tc>
        <w:tc>
          <w:tcPr>
            <w:tcW w:w="3580" w:type="dxa"/>
            <w:vAlign w:val="bottom"/>
            <w:gridSpan w:val="3"/>
          </w:tcPr>
          <w:p>
            <w:pPr>
              <w:ind w:left="400"/>
              <w:spacing w:after="0"/>
              <w:rPr>
                <w:sz w:val="20"/>
                <w:szCs w:val="20"/>
                <w:color w:val="auto"/>
              </w:rPr>
            </w:pPr>
            <w:r>
              <w:rPr>
                <w:rFonts w:ascii="Arial" w:cs="Arial" w:eastAsia="Arial" w:hAnsi="Arial"/>
                <w:sz w:val="20"/>
                <w:szCs w:val="20"/>
                <w:color w:val="auto"/>
                <w:w w:val="90"/>
              </w:rPr>
              <w:t>By: /s/ Allison Green_______________</w:t>
            </w:r>
          </w:p>
        </w:tc>
      </w:tr>
      <w:tr>
        <w:trPr>
          <w:trHeight w:val="20"/>
        </w:trPr>
        <w:tc>
          <w:tcPr>
            <w:tcW w:w="1400" w:type="dxa"/>
            <w:vAlign w:val="bottom"/>
            <w:shd w:val="clear" w:color="auto" w:fill="000000"/>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bl>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Mark D. Klein</w:t>
      </w:r>
    </w:p>
    <w:p>
      <w:pPr>
        <w:spacing w:after="0" w:line="15" w:lineRule="exact"/>
        <w:rPr>
          <w:sz w:val="20"/>
          <w:szCs w:val="20"/>
          <w:color w:val="auto"/>
        </w:rPr>
      </w:pPr>
    </w:p>
    <w:p>
      <w:pPr>
        <w:ind w:left="1600"/>
        <w:spacing w:after="0"/>
        <w:rPr>
          <w:sz w:val="20"/>
          <w:szCs w:val="20"/>
          <w:color w:val="auto"/>
        </w:rPr>
      </w:pPr>
      <w:r>
        <w:rPr>
          <w:rFonts w:ascii="Arial" w:cs="Arial" w:eastAsia="Arial" w:hAnsi="Arial"/>
          <w:sz w:val="20"/>
          <w:szCs w:val="20"/>
          <w:color w:val="auto"/>
        </w:rPr>
        <w:t xml:space="preserve">Name: </w:t>
      </w:r>
      <w:r>
        <w:rPr>
          <w:rFonts w:ascii="Arial" w:cs="Arial" w:eastAsia="Arial" w:hAnsi="Arial"/>
          <w:sz w:val="20"/>
          <w:szCs w:val="20"/>
          <w:u w:val="single" w:color="auto"/>
          <w:color w:val="auto"/>
        </w:rPr>
        <w:t>Allison Green</w:t>
      </w:r>
    </w:p>
    <w:p>
      <w:pPr>
        <w:jc w:val="both"/>
        <w:ind w:left="5200"/>
        <w:spacing w:after="0"/>
        <w:tabs>
          <w:tab w:leader="none" w:pos="592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20"/>
          <w:szCs w:val="20"/>
          <w:u w:val="single" w:color="auto"/>
          <w:color w:val="auto"/>
        </w:rPr>
        <w:t>Chief Financial Officer, Chief Compliance Officer, Treasurer and</w:t>
      </w:r>
    </w:p>
    <w:p>
      <w:pPr>
        <w:ind w:left="5760"/>
        <w:spacing w:after="0"/>
        <w:rPr>
          <w:sz w:val="20"/>
          <w:szCs w:val="20"/>
          <w:color w:val="auto"/>
        </w:rPr>
      </w:pPr>
      <w:r>
        <w:rPr>
          <w:rFonts w:ascii="Arial" w:cs="Arial" w:eastAsia="Arial" w:hAnsi="Arial"/>
          <w:sz w:val="20"/>
          <w:szCs w:val="20"/>
          <w:u w:val="single" w:color="auto"/>
          <w:color w:val="auto"/>
        </w:rPr>
        <w:t>Corporate Secretary</w:t>
      </w:r>
    </w:p>
    <w:p>
      <w:pPr>
        <w:sectPr>
          <w:pgSz w:w="11900" w:h="16838" w:orient="portrait"/>
          <w:cols w:equalWidth="0" w:num="1">
            <w:col w:w="11240"/>
          </w:cols>
          <w:pgMar w:left="320" w:top="1419" w:right="339" w:bottom="1440" w:gutter="0" w:footer="0" w:header="0"/>
        </w:sectPr>
      </w:pPr>
    </w:p>
    <w:bookmarkStart w:id="90" w:name="page91"/>
    <w:bookmarkEnd w:id="90"/>
    <w:p>
      <w:pPr>
        <w:jc w:val="center"/>
        <w:ind w:right="-19"/>
        <w:spacing w:after="0"/>
        <w:rPr>
          <w:sz w:val="20"/>
          <w:szCs w:val="20"/>
          <w:color w:val="auto"/>
        </w:rPr>
      </w:pPr>
      <w:r>
        <w:rPr>
          <w:rFonts w:ascii="Arial" w:cs="Arial" w:eastAsia="Arial" w:hAnsi="Arial"/>
          <w:sz w:val="22"/>
          <w:szCs w:val="22"/>
          <w:b w:val="1"/>
          <w:bCs w:val="1"/>
          <w:u w:val="single" w:color="auto"/>
          <w:color w:val="auto"/>
        </w:rPr>
        <w:t>Exhibit A</w:t>
      </w: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Permitted Activities</w:t>
      </w:r>
    </w:p>
    <w:p>
      <w:pPr>
        <w:spacing w:after="0" w:line="244" w:lineRule="exact"/>
        <w:rPr>
          <w:sz w:val="20"/>
          <w:szCs w:val="20"/>
          <w:color w:val="auto"/>
        </w:rPr>
      </w:pPr>
    </w:p>
    <w:p>
      <w:pPr>
        <w:jc w:val="both"/>
        <w:spacing w:after="0" w:line="291" w:lineRule="auto"/>
        <w:rPr>
          <w:sz w:val="20"/>
          <w:szCs w:val="20"/>
          <w:color w:val="auto"/>
        </w:rPr>
      </w:pPr>
      <w:r>
        <w:rPr>
          <w:rFonts w:ascii="Arial" w:cs="Arial" w:eastAsia="Arial" w:hAnsi="Arial"/>
          <w:sz w:val="18"/>
          <w:szCs w:val="18"/>
          <w:color w:val="auto"/>
        </w:rPr>
        <w:t>Provided that such involvement will not adversely impact in any material respect Executive’s performance of his duties and obligations to the Company under this Agreement, the Executive may engage in all activities of the Executive described in the biography of the Executive as it appears on the Company’s most recent Proxy Statement filed with the Securities and Exchange Commission.</w:t>
      </w: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w:t>
      </w:r>
    </w:p>
    <w:p>
      <w:pPr>
        <w:sectPr>
          <w:pgSz w:w="11900" w:h="16838" w:orient="portrait"/>
          <w:cols w:equalWidth="0" w:num="1">
            <w:col w:w="11240"/>
          </w:cols>
          <w:pgMar w:left="320" w:top="1422" w:right="339" w:bottom="1440" w:gutter="0" w:footer="0" w:header="0"/>
        </w:sectPr>
      </w:pPr>
    </w:p>
    <w:bookmarkStart w:id="91" w:name="page92"/>
    <w:bookmarkEnd w:id="91"/>
    <w:p>
      <w:pPr>
        <w:jc w:val="center"/>
        <w:ind w:right="-19"/>
        <w:spacing w:after="0"/>
        <w:rPr>
          <w:sz w:val="20"/>
          <w:szCs w:val="20"/>
          <w:color w:val="auto"/>
        </w:rPr>
      </w:pPr>
      <w:r>
        <w:rPr>
          <w:rFonts w:ascii="Arial" w:cs="Arial" w:eastAsia="Arial" w:hAnsi="Arial"/>
          <w:sz w:val="20"/>
          <w:szCs w:val="20"/>
          <w:b w:val="1"/>
          <w:bCs w:val="1"/>
          <w:u w:val="single" w:color="auto"/>
          <w:color w:val="auto"/>
        </w:rPr>
        <w:t>Exhibit B</w:t>
      </w: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u w:val="single" w:color="auto"/>
          <w:color w:val="auto"/>
        </w:rPr>
        <w:t>FORM RELEASE AGREEMENT</w:t>
      </w:r>
    </w:p>
    <w:p>
      <w:pPr>
        <w:spacing w:after="0" w:line="243" w:lineRule="exact"/>
        <w:rPr>
          <w:sz w:val="20"/>
          <w:szCs w:val="20"/>
          <w:color w:val="auto"/>
        </w:rPr>
      </w:pPr>
    </w:p>
    <w:p>
      <w:pPr>
        <w:jc w:val="both"/>
        <w:ind w:right="20" w:firstLine="372"/>
        <w:spacing w:after="0" w:line="323" w:lineRule="auto"/>
        <w:rPr>
          <w:sz w:val="20"/>
          <w:szCs w:val="20"/>
          <w:color w:val="auto"/>
        </w:rPr>
      </w:pPr>
      <w:r>
        <w:rPr>
          <w:rFonts w:ascii="Arial" w:cs="Arial" w:eastAsia="Arial" w:hAnsi="Arial"/>
          <w:sz w:val="18"/>
          <w:szCs w:val="18"/>
          <w:color w:val="auto"/>
        </w:rPr>
        <w:t>This Release Agreement (“</w:t>
      </w:r>
      <w:r>
        <w:rPr>
          <w:rFonts w:ascii="Arial" w:cs="Arial" w:eastAsia="Arial" w:hAnsi="Arial"/>
          <w:sz w:val="18"/>
          <w:szCs w:val="18"/>
          <w:b w:val="1"/>
          <w:bCs w:val="1"/>
          <w:color w:val="auto"/>
        </w:rPr>
        <w:t>Release</w:t>
      </w:r>
      <w:r>
        <w:rPr>
          <w:rFonts w:ascii="Arial" w:cs="Arial" w:eastAsia="Arial" w:hAnsi="Arial"/>
          <w:sz w:val="18"/>
          <w:szCs w:val="18"/>
          <w:color w:val="auto"/>
        </w:rPr>
        <w:t>”) is entered into by and between SuRo Capital Corp., together with its parents, subsidiaries, predecessors, successors and affiliates (the “</w:t>
      </w:r>
      <w:r>
        <w:rPr>
          <w:rFonts w:ascii="Arial" w:cs="Arial" w:eastAsia="Arial" w:hAnsi="Arial"/>
          <w:sz w:val="18"/>
          <w:szCs w:val="18"/>
          <w:b w:val="1"/>
          <w:bCs w:val="1"/>
          <w:color w:val="auto"/>
        </w:rPr>
        <w:t>Company</w:t>
      </w:r>
      <w:r>
        <w:rPr>
          <w:rFonts w:ascii="Arial" w:cs="Arial" w:eastAsia="Arial" w:hAnsi="Arial"/>
          <w:sz w:val="18"/>
          <w:szCs w:val="18"/>
          <w:color w:val="auto"/>
        </w:rPr>
        <w:t>”) and Mark D. Klein (the “</w:t>
      </w:r>
      <w:r>
        <w:rPr>
          <w:rFonts w:ascii="Arial" w:cs="Arial" w:eastAsia="Arial" w:hAnsi="Arial"/>
          <w:sz w:val="18"/>
          <w:szCs w:val="18"/>
          <w:b w:val="1"/>
          <w:bCs w:val="1"/>
          <w:color w:val="auto"/>
        </w:rPr>
        <w:t>Executive</w:t>
      </w:r>
      <w:r>
        <w:rPr>
          <w:rFonts w:ascii="Arial" w:cs="Arial" w:eastAsia="Arial" w:hAnsi="Arial"/>
          <w:sz w:val="18"/>
          <w:szCs w:val="18"/>
          <w:color w:val="auto"/>
        </w:rPr>
        <w:t>”) (each a “</w:t>
      </w:r>
      <w:r>
        <w:rPr>
          <w:rFonts w:ascii="Arial" w:cs="Arial" w:eastAsia="Arial" w:hAnsi="Arial"/>
          <w:sz w:val="18"/>
          <w:szCs w:val="18"/>
          <w:b w:val="1"/>
          <w:bCs w:val="1"/>
          <w:color w:val="auto"/>
        </w:rPr>
        <w:t>Party</w:t>
      </w:r>
      <w:r>
        <w:rPr>
          <w:rFonts w:ascii="Arial" w:cs="Arial" w:eastAsia="Arial" w:hAnsi="Arial"/>
          <w:sz w:val="18"/>
          <w:szCs w:val="18"/>
          <w:color w:val="auto"/>
        </w:rPr>
        <w:t>,” collectively, the “</w:t>
      </w:r>
      <w:r>
        <w:rPr>
          <w:rFonts w:ascii="Arial" w:cs="Arial" w:eastAsia="Arial" w:hAnsi="Arial"/>
          <w:sz w:val="18"/>
          <w:szCs w:val="18"/>
          <w:b w:val="1"/>
          <w:bCs w:val="1"/>
          <w:color w:val="auto"/>
        </w:rPr>
        <w:t>Parties</w:t>
      </w:r>
      <w:r>
        <w:rPr>
          <w:rFonts w:ascii="Arial" w:cs="Arial" w:eastAsia="Arial" w:hAnsi="Arial"/>
          <w:sz w:val="18"/>
          <w:szCs w:val="18"/>
          <w:color w:val="auto"/>
        </w:rPr>
        <w:t>”).</w:t>
      </w:r>
    </w:p>
    <w:p>
      <w:pPr>
        <w:spacing w:after="0" w:line="151" w:lineRule="exact"/>
        <w:rPr>
          <w:sz w:val="20"/>
          <w:szCs w:val="20"/>
          <w:color w:val="auto"/>
        </w:rPr>
      </w:pPr>
    </w:p>
    <w:p>
      <w:pPr>
        <w:ind w:left="340"/>
        <w:spacing w:after="0"/>
        <w:rPr>
          <w:sz w:val="20"/>
          <w:szCs w:val="20"/>
          <w:color w:val="auto"/>
        </w:rPr>
      </w:pPr>
      <w:r>
        <w:rPr>
          <w:rFonts w:ascii="Arial" w:cs="Arial" w:eastAsia="Arial" w:hAnsi="Arial"/>
          <w:sz w:val="20"/>
          <w:szCs w:val="20"/>
          <w:color w:val="auto"/>
        </w:rPr>
        <w:t>WHEREAS, the Executive is currently employed by the Company as the ______________ of the Company;</w:t>
      </w:r>
    </w:p>
    <w:p>
      <w:pPr>
        <w:spacing w:after="0" w:line="23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WHEREAS, the Parties have entered into that certain employment agreement effective as of </w:t>
      </w:r>
      <w:r>
        <w:rPr>
          <w:rFonts w:ascii="Arial" w:cs="Arial" w:eastAsia="Arial" w:hAnsi="Arial"/>
          <w:sz w:val="18"/>
          <w:szCs w:val="18"/>
          <w:u w:val="single" w:color="auto"/>
          <w:color w:val="auto"/>
        </w:rPr>
        <w:t>__________________</w:t>
      </w:r>
      <w:r>
        <w:rPr>
          <w:rFonts w:ascii="Arial" w:cs="Arial" w:eastAsia="Arial" w:hAnsi="Arial"/>
          <w:sz w:val="18"/>
          <w:szCs w:val="18"/>
          <w:color w:val="auto"/>
        </w:rPr>
        <w:t xml:space="preserve"> (the “</w:t>
      </w:r>
      <w:r>
        <w:rPr>
          <w:rFonts w:ascii="Arial" w:cs="Arial" w:eastAsia="Arial" w:hAnsi="Arial"/>
          <w:sz w:val="18"/>
          <w:szCs w:val="18"/>
          <w:b w:val="1"/>
          <w:bCs w:val="1"/>
          <w:color w:val="auto"/>
        </w:rPr>
        <w:t>Employment</w:t>
      </w:r>
    </w:p>
    <w:p>
      <w:pPr>
        <w:spacing w:after="0" w:line="4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Agreement</w:t>
      </w:r>
      <w:r>
        <w:rPr>
          <w:rFonts w:ascii="Arial" w:cs="Arial" w:eastAsia="Arial" w:hAnsi="Arial"/>
          <w:sz w:val="20"/>
          <w:szCs w:val="20"/>
          <w:color w:val="auto"/>
        </w:rPr>
        <w:t>”);</w:t>
      </w:r>
    </w:p>
    <w:p>
      <w:pPr>
        <w:spacing w:after="0" w:line="221" w:lineRule="exact"/>
        <w:rPr>
          <w:sz w:val="20"/>
          <w:szCs w:val="20"/>
          <w:color w:val="auto"/>
        </w:rPr>
      </w:pPr>
    </w:p>
    <w:p>
      <w:pPr>
        <w:jc w:val="both"/>
        <w:ind w:firstLine="324"/>
        <w:spacing w:after="0" w:line="248" w:lineRule="auto"/>
        <w:rPr>
          <w:sz w:val="20"/>
          <w:szCs w:val="20"/>
          <w:color w:val="auto"/>
        </w:rPr>
      </w:pPr>
      <w:r>
        <w:rPr>
          <w:rFonts w:ascii="Arial" w:cs="Arial" w:eastAsia="Arial" w:hAnsi="Arial"/>
          <w:sz w:val="20"/>
          <w:szCs w:val="20"/>
          <w:color w:val="auto"/>
        </w:rPr>
        <w:t xml:space="preserve">WHEREAS, [the Company wishes to terminate the Executive’s employment without Cause </w:t>
      </w:r>
      <w:r>
        <w:rPr>
          <w:rFonts w:ascii="Arial" w:cs="Arial" w:eastAsia="Arial" w:hAnsi="Arial"/>
          <w:sz w:val="20"/>
          <w:szCs w:val="20"/>
          <w:b w:val="1"/>
          <w:bCs w:val="1"/>
          <w:color w:val="auto"/>
        </w:rPr>
        <w:t>OR</w:t>
      </w:r>
      <w:r>
        <w:rPr>
          <w:rFonts w:ascii="Arial" w:cs="Arial" w:eastAsia="Arial" w:hAnsi="Arial"/>
          <w:sz w:val="20"/>
          <w:szCs w:val="20"/>
          <w:color w:val="auto"/>
        </w:rPr>
        <w:t xml:space="preserve"> the Executive wishes to terminate employment for Good Reason (each as defined in the Employment Agreement) </w:t>
      </w:r>
      <w:r>
        <w:rPr>
          <w:rFonts w:ascii="Arial" w:cs="Arial" w:eastAsia="Arial" w:hAnsi="Arial"/>
          <w:sz w:val="20"/>
          <w:szCs w:val="20"/>
          <w:b w:val="1"/>
          <w:bCs w:val="1"/>
          <w:color w:val="auto"/>
        </w:rPr>
        <w:t>OR</w:t>
      </w:r>
      <w:r>
        <w:rPr>
          <w:rFonts w:ascii="Arial" w:cs="Arial" w:eastAsia="Arial" w:hAnsi="Arial"/>
          <w:sz w:val="20"/>
          <w:szCs w:val="20"/>
          <w:color w:val="auto"/>
        </w:rPr>
        <w:t xml:space="preserve"> the Executive’s employment has been terminated due to Disability (as defined in the Employment Agreement) </w:t>
      </w:r>
      <w:r>
        <w:rPr>
          <w:rFonts w:ascii="Arial" w:cs="Arial" w:eastAsia="Arial" w:hAnsi="Arial"/>
          <w:sz w:val="20"/>
          <w:szCs w:val="20"/>
          <w:b w:val="1"/>
          <w:bCs w:val="1"/>
          <w:color w:val="auto"/>
        </w:rPr>
        <w:t>OR</w:t>
      </w:r>
      <w:r>
        <w:rPr>
          <w:rFonts w:ascii="Arial" w:cs="Arial" w:eastAsia="Arial" w:hAnsi="Arial"/>
          <w:sz w:val="20"/>
          <w:szCs w:val="20"/>
          <w:color w:val="auto"/>
        </w:rPr>
        <w:t xml:space="preserve"> the Executive’s employment has been terminated due to the Executive’s death]; and</w:t>
      </w:r>
    </w:p>
    <w:p>
      <w:pPr>
        <w:spacing w:after="0" w:line="216"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20"/>
          <w:szCs w:val="20"/>
          <w:color w:val="auto"/>
        </w:rPr>
        <w:t>WHEREAS, the Executive’s right to receive certain severance benefits as set forth in the Employment Agreement is conditioned on the Executive executing this Release.</w:t>
      </w:r>
    </w:p>
    <w:p>
      <w:pPr>
        <w:spacing w:after="0" w:line="204"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20"/>
          <w:szCs w:val="20"/>
          <w:color w:val="auto"/>
        </w:rPr>
        <w:t>In consideration of the mutual covenants and promises each Party has made to the other as set forth in this Release and the Employment Agreement, the Parties agree as follows:</w:t>
      </w:r>
    </w:p>
    <w:p>
      <w:pPr>
        <w:spacing w:after="0" w:line="204" w:lineRule="exact"/>
        <w:rPr>
          <w:sz w:val="20"/>
          <w:szCs w:val="20"/>
          <w:color w:val="auto"/>
        </w:rPr>
      </w:pPr>
    </w:p>
    <w:p>
      <w:pPr>
        <w:jc w:val="both"/>
        <w:ind w:left="340" w:hanging="332"/>
        <w:spacing w:after="0" w:line="260" w:lineRule="auto"/>
        <w:tabs>
          <w:tab w:leader="none" w:pos="340" w:val="left"/>
        </w:tabs>
        <w:numPr>
          <w:ilvl w:val="0"/>
          <w:numId w:val="70"/>
        </w:numPr>
        <w:rPr>
          <w:rFonts w:ascii="Arial" w:cs="Arial" w:eastAsia="Arial" w:hAnsi="Arial"/>
          <w:sz w:val="19"/>
          <w:szCs w:val="19"/>
          <w:color w:val="auto"/>
        </w:rPr>
      </w:pPr>
      <w:r>
        <w:rPr>
          <w:rFonts w:ascii="Arial" w:cs="Arial" w:eastAsia="Arial" w:hAnsi="Arial"/>
          <w:sz w:val="19"/>
          <w:szCs w:val="19"/>
          <w:u w:val="single" w:color="auto"/>
          <w:color w:val="auto"/>
        </w:rPr>
        <w:t>Separation Date</w:t>
      </w:r>
      <w:r>
        <w:rPr>
          <w:rFonts w:ascii="Arial" w:cs="Arial" w:eastAsia="Arial" w:hAnsi="Arial"/>
          <w:sz w:val="19"/>
          <w:szCs w:val="19"/>
          <w:color w:val="auto"/>
        </w:rPr>
        <w:t>. The Executive agrees that the Executive’s employment with the Company shall end as of [_____________________] (the “</w:t>
      </w:r>
      <w:r>
        <w:rPr>
          <w:rFonts w:ascii="Arial" w:cs="Arial" w:eastAsia="Arial" w:hAnsi="Arial"/>
          <w:sz w:val="19"/>
          <w:szCs w:val="19"/>
          <w:b w:val="1"/>
          <w:bCs w:val="1"/>
          <w:color w:val="auto"/>
        </w:rPr>
        <w:t>Separation Date</w:t>
      </w:r>
      <w:r>
        <w:rPr>
          <w:rFonts w:ascii="Arial" w:cs="Arial" w:eastAsia="Arial" w:hAnsi="Arial"/>
          <w:sz w:val="19"/>
          <w:szCs w:val="19"/>
          <w:color w:val="auto"/>
        </w:rPr>
        <w:t>”). As of the Separation Date, the Executive (a) shall cease to be an employee of the Company, and (b) shall no longer be authorized to bind the Company or to hold himself or herself out as an employee or agent of the Company. [During the Executive’s employment through the Separation Date, the Executive agrees that the Executive will reasonably assist in the transition of his or her duties and responsibilities as reasonably directed by the Company.]</w:t>
      </w:r>
    </w:p>
    <w:p>
      <w:pPr>
        <w:spacing w:after="0" w:line="207" w:lineRule="exact"/>
        <w:rPr>
          <w:rFonts w:ascii="Arial" w:cs="Arial" w:eastAsia="Arial" w:hAnsi="Arial"/>
          <w:sz w:val="19"/>
          <w:szCs w:val="19"/>
          <w:color w:val="auto"/>
        </w:rPr>
      </w:pPr>
    </w:p>
    <w:p>
      <w:pPr>
        <w:ind w:left="340" w:hanging="332"/>
        <w:spacing w:after="0"/>
        <w:tabs>
          <w:tab w:leader="none" w:pos="340" w:val="left"/>
        </w:tabs>
        <w:numPr>
          <w:ilvl w:val="0"/>
          <w:numId w:val="70"/>
        </w:numPr>
        <w:rPr>
          <w:rFonts w:ascii="Arial" w:cs="Arial" w:eastAsia="Arial" w:hAnsi="Arial"/>
          <w:sz w:val="20"/>
          <w:szCs w:val="20"/>
          <w:color w:val="auto"/>
        </w:rPr>
      </w:pPr>
      <w:r>
        <w:rPr>
          <w:rFonts w:ascii="Arial" w:cs="Arial" w:eastAsia="Arial" w:hAnsi="Arial"/>
          <w:sz w:val="20"/>
          <w:szCs w:val="20"/>
          <w:u w:val="single" w:color="auto"/>
          <w:color w:val="auto"/>
        </w:rPr>
        <w:t>Accrued Compensation and Benefits</w:t>
      </w:r>
      <w:r>
        <w:rPr>
          <w:rFonts w:ascii="Arial" w:cs="Arial" w:eastAsia="Arial" w:hAnsi="Arial"/>
          <w:sz w:val="20"/>
          <w:szCs w:val="20"/>
          <w:color w:val="auto"/>
        </w:rPr>
        <w:t>.</w:t>
      </w:r>
    </w:p>
    <w:p>
      <w:pPr>
        <w:spacing w:after="0" w:line="251" w:lineRule="exact"/>
        <w:rPr>
          <w:rFonts w:ascii="Arial" w:cs="Arial" w:eastAsia="Arial" w:hAnsi="Arial"/>
          <w:sz w:val="20"/>
          <w:szCs w:val="20"/>
          <w:color w:val="auto"/>
        </w:rPr>
      </w:pPr>
    </w:p>
    <w:p>
      <w:pPr>
        <w:jc w:val="both"/>
        <w:ind w:left="660" w:hanging="393"/>
        <w:spacing w:after="0" w:line="284" w:lineRule="auto"/>
        <w:tabs>
          <w:tab w:leader="none" w:pos="651" w:val="left"/>
        </w:tabs>
        <w:numPr>
          <w:ilvl w:val="1"/>
          <w:numId w:val="70"/>
        </w:numPr>
        <w:rPr>
          <w:rFonts w:ascii="Arial" w:cs="Arial" w:eastAsia="Arial" w:hAnsi="Arial"/>
          <w:sz w:val="18"/>
          <w:szCs w:val="18"/>
          <w:color w:val="auto"/>
        </w:rPr>
      </w:pPr>
      <w:r>
        <w:rPr>
          <w:rFonts w:ascii="Arial" w:cs="Arial" w:eastAsia="Arial" w:hAnsi="Arial"/>
          <w:sz w:val="18"/>
          <w:szCs w:val="18"/>
          <w:color w:val="auto"/>
        </w:rPr>
        <w:t xml:space="preserve">Even if the Executive does not sign this Agreement, (A) the Company shall pay the Executive, through the Separation Date, </w:t>
      </w:r>
      <w:r>
        <w:rPr>
          <w:rFonts w:ascii="Arial" w:cs="Arial" w:eastAsia="Arial" w:hAnsi="Arial"/>
          <w:sz w:val="19"/>
          <w:szCs w:val="19"/>
          <w:color w:val="auto"/>
        </w:rPr>
        <w:t>the</w:t>
      </w:r>
      <w:r>
        <w:rPr>
          <w:rFonts w:ascii="Arial" w:cs="Arial" w:eastAsia="Arial" w:hAnsi="Arial"/>
          <w:sz w:val="18"/>
          <w:szCs w:val="18"/>
          <w:color w:val="auto"/>
        </w:rPr>
        <w:t xml:space="preserve"> Executive’s Accrued Benefits (as defined in the Employment Agreement), and (B) (a) the Company shall offer the Executive benefits to which the Executive is entitled under the Consolidated Omnibus Budget Reconciliation Act of 1985 ("COBRA"), and (b) the Executive shall retain all benefits under the Company's 401(k) plan in accordance with terms of such plan.</w:t>
      </w:r>
    </w:p>
    <w:p>
      <w:pPr>
        <w:spacing w:after="0" w:line="185" w:lineRule="exact"/>
        <w:rPr>
          <w:rFonts w:ascii="Arial" w:cs="Arial" w:eastAsia="Arial" w:hAnsi="Arial"/>
          <w:sz w:val="18"/>
          <w:szCs w:val="18"/>
          <w:color w:val="auto"/>
        </w:rPr>
      </w:pPr>
    </w:p>
    <w:p>
      <w:pPr>
        <w:jc w:val="both"/>
        <w:ind w:left="660" w:hanging="393"/>
        <w:spacing w:after="0" w:line="250" w:lineRule="auto"/>
        <w:tabs>
          <w:tab w:leader="none" w:pos="649" w:val="left"/>
        </w:tabs>
        <w:numPr>
          <w:ilvl w:val="1"/>
          <w:numId w:val="70"/>
        </w:numPr>
        <w:rPr>
          <w:rFonts w:ascii="Arial" w:cs="Arial" w:eastAsia="Arial" w:hAnsi="Arial"/>
          <w:sz w:val="20"/>
          <w:szCs w:val="20"/>
          <w:color w:val="auto"/>
        </w:rPr>
      </w:pPr>
      <w:r>
        <w:rPr>
          <w:rFonts w:ascii="Arial" w:cs="Arial" w:eastAsia="Arial" w:hAnsi="Arial"/>
          <w:sz w:val="20"/>
          <w:szCs w:val="20"/>
          <w:color w:val="auto"/>
        </w:rPr>
        <w:t>As of the Separation Date, the Executive shall cease to be entitled to any further compensation, monies or other benefits from the Company, including coverage under any benefits plans or programs sponsored by the Company as of the Separation Date, except as otherwise expressly provided in this Release or otherwise required by law.</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w:t>
      </w:r>
    </w:p>
    <w:p>
      <w:pPr>
        <w:sectPr>
          <w:pgSz w:w="11900" w:h="16838" w:orient="portrait"/>
          <w:cols w:equalWidth="0" w:num="1">
            <w:col w:w="11240"/>
          </w:cols>
          <w:pgMar w:left="320" w:top="1413" w:right="339" w:bottom="1440" w:gutter="0" w:footer="0" w:header="0"/>
        </w:sectPr>
      </w:pPr>
    </w:p>
    <w:bookmarkStart w:id="92" w:name="page93"/>
    <w:bookmarkEnd w:id="92"/>
    <w:p>
      <w:pPr>
        <w:spacing w:after="0" w:line="222" w:lineRule="exact"/>
        <w:rPr>
          <w:sz w:val="20"/>
          <w:szCs w:val="20"/>
          <w:color w:val="auto"/>
        </w:rPr>
      </w:pPr>
    </w:p>
    <w:p>
      <w:pPr>
        <w:ind w:left="332" w:hanging="332"/>
        <w:spacing w:after="0"/>
        <w:tabs>
          <w:tab w:leader="none" w:pos="332" w:val="left"/>
        </w:tabs>
        <w:numPr>
          <w:ilvl w:val="0"/>
          <w:numId w:val="71"/>
        </w:numPr>
        <w:rPr>
          <w:rFonts w:ascii="Arial" w:cs="Arial" w:eastAsia="Arial" w:hAnsi="Arial"/>
          <w:sz w:val="20"/>
          <w:szCs w:val="20"/>
          <w:color w:val="auto"/>
        </w:rPr>
      </w:pPr>
      <w:r>
        <w:rPr>
          <w:rFonts w:ascii="Arial" w:cs="Arial" w:eastAsia="Arial" w:hAnsi="Arial"/>
          <w:sz w:val="20"/>
          <w:szCs w:val="20"/>
          <w:u w:val="single" w:color="auto"/>
          <w:color w:val="auto"/>
        </w:rPr>
        <w:t>Severance Benefits.</w:t>
      </w:r>
    </w:p>
    <w:p>
      <w:pPr>
        <w:spacing w:after="0" w:line="242" w:lineRule="exact"/>
        <w:rPr>
          <w:rFonts w:ascii="Arial" w:cs="Arial" w:eastAsia="Arial" w:hAnsi="Arial"/>
          <w:sz w:val="20"/>
          <w:szCs w:val="20"/>
          <w:color w:val="auto"/>
        </w:rPr>
      </w:pPr>
    </w:p>
    <w:p>
      <w:pPr>
        <w:jc w:val="both"/>
        <w:ind w:left="652" w:hanging="393"/>
        <w:spacing w:after="0" w:line="246" w:lineRule="auto"/>
        <w:tabs>
          <w:tab w:leader="none" w:pos="643" w:val="left"/>
        </w:tabs>
        <w:numPr>
          <w:ilvl w:val="2"/>
          <w:numId w:val="71"/>
        </w:numPr>
        <w:rPr>
          <w:rFonts w:ascii="Arial" w:cs="Arial" w:eastAsia="Arial" w:hAnsi="Arial"/>
          <w:sz w:val="20"/>
          <w:szCs w:val="20"/>
          <w:color w:val="auto"/>
        </w:rPr>
      </w:pPr>
      <w:r>
        <w:rPr>
          <w:rFonts w:ascii="Arial" w:cs="Arial" w:eastAsia="Arial" w:hAnsi="Arial"/>
          <w:sz w:val="20"/>
          <w:szCs w:val="20"/>
          <w:color w:val="auto"/>
        </w:rPr>
        <w:t xml:space="preserve">Subject to the execution [and non-revocation] of this Release, and following the Effective Date of this Release (as defined below), the Company will pay the Executive the [(Severance Benefits as defined in, and in the accordance with the terms set forth in, the Employment Agreement) </w:t>
      </w:r>
      <w:r>
        <w:rPr>
          <w:rFonts w:ascii="Arial" w:cs="Arial" w:eastAsia="Arial" w:hAnsi="Arial"/>
          <w:sz w:val="20"/>
          <w:szCs w:val="20"/>
          <w:b w:val="1"/>
          <w:bCs w:val="1"/>
          <w:color w:val="auto"/>
        </w:rPr>
        <w:t>OR</w:t>
      </w:r>
      <w:r>
        <w:rPr>
          <w:rFonts w:ascii="Arial" w:cs="Arial" w:eastAsia="Arial" w:hAnsi="Arial"/>
          <w:sz w:val="20"/>
          <w:szCs w:val="20"/>
          <w:color w:val="auto"/>
        </w:rPr>
        <w:t xml:space="preserve"> (the Annual Bonus, Pro-Rated Bonus, and accelerated vesting of equity as set forth in Section 8(a) OR Section 8(b) of the Employment Agreement (“Severance Payment”)].</w:t>
      </w:r>
    </w:p>
    <w:p>
      <w:pPr>
        <w:spacing w:after="0" w:line="212" w:lineRule="exact"/>
        <w:rPr>
          <w:rFonts w:ascii="Arial" w:cs="Arial" w:eastAsia="Arial" w:hAnsi="Arial"/>
          <w:sz w:val="20"/>
          <w:szCs w:val="20"/>
          <w:color w:val="auto"/>
        </w:rPr>
      </w:pPr>
    </w:p>
    <w:p>
      <w:pPr>
        <w:jc w:val="both"/>
        <w:ind w:left="652" w:hanging="393"/>
        <w:spacing w:after="0" w:line="259" w:lineRule="auto"/>
        <w:tabs>
          <w:tab w:leader="none" w:pos="641" w:val="left"/>
        </w:tabs>
        <w:numPr>
          <w:ilvl w:val="2"/>
          <w:numId w:val="71"/>
        </w:numPr>
        <w:rPr>
          <w:rFonts w:ascii="Arial" w:cs="Arial" w:eastAsia="Arial" w:hAnsi="Arial"/>
          <w:sz w:val="19"/>
          <w:szCs w:val="19"/>
          <w:color w:val="auto"/>
        </w:rPr>
      </w:pPr>
      <w:r>
        <w:rPr>
          <w:rFonts w:ascii="Arial" w:cs="Arial" w:eastAsia="Arial" w:hAnsi="Arial"/>
          <w:sz w:val="19"/>
          <w:szCs w:val="19"/>
          <w:color w:val="auto"/>
        </w:rPr>
        <w:t xml:space="preserve">The Executive acknowledges and agrees that the [Severance Benefits </w:t>
      </w:r>
      <w:r>
        <w:rPr>
          <w:rFonts w:ascii="Arial" w:cs="Arial" w:eastAsia="Arial" w:hAnsi="Arial"/>
          <w:sz w:val="19"/>
          <w:szCs w:val="19"/>
          <w:b w:val="1"/>
          <w:bCs w:val="1"/>
          <w:color w:val="auto"/>
        </w:rPr>
        <w:t>OR</w:t>
      </w:r>
      <w:r>
        <w:rPr>
          <w:rFonts w:ascii="Arial" w:cs="Arial" w:eastAsia="Arial" w:hAnsi="Arial"/>
          <w:sz w:val="19"/>
          <w:szCs w:val="19"/>
          <w:color w:val="auto"/>
        </w:rPr>
        <w:t xml:space="preserve"> Severance Payment] (except the payments set forth in Section 2(a) hereof) are in lieu of any other compensation due or payable to the Executive in connection with his or her termination of employment, including, without limitation, any severance, bonus, pay in lieu of notice, short or long-term incentive or any other compensation or remuneration of any type. The Executive further acknowledges and agrees that the compensation set forth in this Section is sufficient consideration for the releases set forth herein, and that the Executive is not otherwise entitled to this consideration. In the event that the Executive does not sign[, or revokes,] this Release, the Executive shall not be entitled to any portion of the [Severance Benefits </w:t>
      </w:r>
      <w:r>
        <w:rPr>
          <w:rFonts w:ascii="Arial" w:cs="Arial" w:eastAsia="Arial" w:hAnsi="Arial"/>
          <w:sz w:val="19"/>
          <w:szCs w:val="19"/>
          <w:b w:val="1"/>
          <w:bCs w:val="1"/>
          <w:color w:val="auto"/>
        </w:rPr>
        <w:t>OR</w:t>
      </w:r>
      <w:r>
        <w:rPr>
          <w:rFonts w:ascii="Arial" w:cs="Arial" w:eastAsia="Arial" w:hAnsi="Arial"/>
          <w:sz w:val="19"/>
          <w:szCs w:val="19"/>
          <w:color w:val="auto"/>
        </w:rPr>
        <w:t xml:space="preserve"> Severance Payment].</w:t>
      </w:r>
    </w:p>
    <w:p>
      <w:pPr>
        <w:spacing w:after="0" w:line="205" w:lineRule="exact"/>
        <w:rPr>
          <w:rFonts w:ascii="Arial" w:cs="Arial" w:eastAsia="Arial" w:hAnsi="Arial"/>
          <w:sz w:val="19"/>
          <w:szCs w:val="19"/>
          <w:color w:val="auto"/>
        </w:rPr>
      </w:pPr>
    </w:p>
    <w:p>
      <w:pPr>
        <w:jc w:val="both"/>
        <w:ind w:left="332" w:hanging="332"/>
        <w:spacing w:after="0" w:line="268" w:lineRule="auto"/>
        <w:tabs>
          <w:tab w:leader="none" w:pos="332" w:val="left"/>
        </w:tabs>
        <w:numPr>
          <w:ilvl w:val="0"/>
          <w:numId w:val="71"/>
        </w:numPr>
        <w:rPr>
          <w:rFonts w:ascii="Arial" w:cs="Arial" w:eastAsia="Arial" w:hAnsi="Arial"/>
          <w:sz w:val="18"/>
          <w:szCs w:val="18"/>
          <w:color w:val="auto"/>
        </w:rPr>
      </w:pPr>
      <w:r>
        <w:rPr>
          <w:rFonts w:ascii="Arial" w:cs="Arial" w:eastAsia="Arial" w:hAnsi="Arial"/>
          <w:sz w:val="18"/>
          <w:szCs w:val="18"/>
          <w:u w:val="single" w:color="auto"/>
          <w:color w:val="auto"/>
        </w:rPr>
        <w:t>Release of Claims</w:t>
      </w:r>
      <w:r>
        <w:rPr>
          <w:rFonts w:ascii="Arial" w:cs="Arial" w:eastAsia="Arial" w:hAnsi="Arial"/>
          <w:sz w:val="18"/>
          <w:szCs w:val="18"/>
          <w:color w:val="auto"/>
        </w:rPr>
        <w:t>. In exchange for the consideration provided in this Release, the Executive, on behalf of the Executive and the Executive’s heirs, executors, representatives, agents, insurers, administrators, successors and assigns, irrevocably and unconditionally fully and forever waives, releases and discharges the Company and its current and former parent companies, subsidiaries and any affiliated companies as well as any of their respective current and former insurers, directors, officers, agents, shareholders, and employees, or any of their predecessors, successors or assigns (collectively, the “</w:t>
      </w:r>
      <w:r>
        <w:rPr>
          <w:rFonts w:ascii="Arial" w:cs="Arial" w:eastAsia="Arial" w:hAnsi="Arial"/>
          <w:sz w:val="18"/>
          <w:szCs w:val="18"/>
          <w:b w:val="1"/>
          <w:bCs w:val="1"/>
          <w:color w:val="auto"/>
        </w:rPr>
        <w:t>Released Parties</w:t>
      </w:r>
      <w:r>
        <w:rPr>
          <w:rFonts w:ascii="Arial" w:cs="Arial" w:eastAsia="Arial" w:hAnsi="Arial"/>
          <w:sz w:val="18"/>
          <w:szCs w:val="18"/>
          <w:color w:val="auto"/>
        </w:rPr>
        <w:t>”) from any and all claims, demands, actions, causes of actions, obligations, judgments, rights, fees, damages, debts, obligations, liabilities and expenses (inclusive of attorneys’ fees) of any kind whatsoever (collectively, “</w:t>
      </w:r>
      <w:r>
        <w:rPr>
          <w:rFonts w:ascii="Arial" w:cs="Arial" w:eastAsia="Arial" w:hAnsi="Arial"/>
          <w:sz w:val="18"/>
          <w:szCs w:val="18"/>
          <w:b w:val="1"/>
          <w:bCs w:val="1"/>
          <w:color w:val="auto"/>
        </w:rPr>
        <w:t>Claims</w:t>
      </w:r>
      <w:r>
        <w:rPr>
          <w:rFonts w:ascii="Arial" w:cs="Arial" w:eastAsia="Arial" w:hAnsi="Arial"/>
          <w:sz w:val="18"/>
          <w:szCs w:val="18"/>
          <w:color w:val="auto"/>
        </w:rPr>
        <w:t>”), whether known or unknown, from the beginning of time to the date of the Executive’s execution of this Release, including, without limitation, any claims under any federal, state, local or foreign law, that the Executive may have, have ever had or may in the future have arising out of, or in any way related to, including but not limited to, (i) the Executive’s hire, benefits, employment, termination or separation from employment with the Company and any actual or alleged act, omission, transaction, practice, conduct, occurrence or other matter; (ii) any and all claims for compensation of any type whatsoever, including but not limited to claims for salary, wages, bonuses, commissions, incentive compensation, vacation and/or severance (excluding claims under any tax-qualified retirement plan or fully-insured welfare benefit plan); and (iii) any and all claims arising under tort, contract and/or quasi-contract law, including but not limited to claims of breach of an expressed or implied contract, tortious interference with contract or prospective business advantage, breach of the covenant of good faith and fair dealing, promissory estoppel, detrimental reliance, invasion of privacy, nonphysical injury, personal injury or sickness or any other harm, wrongful or retaliatory discharge, fraud, defamation, slander, libel, false imprisonment, negligent or intentional infliction of emotional distress. The Executive acknowledges and agrees that the Executive is releasing the Released Parties from all claims relating to or arising from the Executive’s employment with the Company to the fullest extent permitted by law. The Executive further acknowledges and agrees that this release provision includes, but is not limited to, rights and claims arising under Title VII of the Civil Rights Act, the Age Discrimination in Employment Act, the Older Workers Benefit Protection Act, the Americans with Disabilities Act, the Genetic Information Nondiscrimination Act, the Family and Medical Leave Act, and any state,</w:t>
      </w:r>
    </w:p>
    <w:p>
      <w:pPr>
        <w:spacing w:after="0" w:line="200" w:lineRule="exact"/>
        <w:rPr>
          <w:rFonts w:ascii="Arial" w:cs="Arial" w:eastAsia="Arial" w:hAnsi="Arial"/>
          <w:sz w:val="18"/>
          <w:szCs w:val="18"/>
          <w:color w:val="auto"/>
        </w:rPr>
      </w:pPr>
    </w:p>
    <w:p>
      <w:pPr>
        <w:spacing w:after="0" w:line="326" w:lineRule="exact"/>
        <w:rPr>
          <w:rFonts w:ascii="Arial" w:cs="Arial" w:eastAsia="Arial" w:hAnsi="Arial"/>
          <w:sz w:val="18"/>
          <w:szCs w:val="18"/>
          <w:color w:val="auto"/>
        </w:rPr>
      </w:pPr>
    </w:p>
    <w:p>
      <w:pPr>
        <w:ind w:left="352" w:hanging="136"/>
        <w:spacing w:after="0"/>
        <w:tabs>
          <w:tab w:leader="none" w:pos="352" w:val="left"/>
        </w:tabs>
        <w:numPr>
          <w:ilvl w:val="1"/>
          <w:numId w:val="71"/>
        </w:numPr>
        <w:rPr>
          <w:rFonts w:ascii="Arial" w:cs="Arial" w:eastAsia="Arial" w:hAnsi="Arial"/>
          <w:sz w:val="22"/>
          <w:szCs w:val="22"/>
          <w:color w:val="auto"/>
        </w:rPr>
      </w:pPr>
      <w:r>
        <w:rPr>
          <w:rFonts w:ascii="Arial" w:cs="Arial" w:eastAsia="Arial" w:hAnsi="Arial"/>
          <w:sz w:val="22"/>
          <w:szCs w:val="22"/>
          <w:color w:val="auto"/>
        </w:rPr>
        <w:t>2 -</w:t>
      </w:r>
    </w:p>
    <w:p>
      <w:pPr>
        <w:sectPr>
          <w:pgSz w:w="11900" w:h="16838" w:orient="portrait"/>
          <w:cols w:equalWidth="0" w:num="1">
            <w:col w:w="11232"/>
          </w:cols>
          <w:pgMar w:left="328" w:top="1440" w:right="339" w:bottom="1440" w:gutter="0" w:footer="0" w:header="0"/>
        </w:sectPr>
      </w:pPr>
    </w:p>
    <w:bookmarkStart w:id="93" w:name="page94"/>
    <w:bookmarkEnd w:id="93"/>
    <w:p>
      <w:pPr>
        <w:ind w:left="332"/>
        <w:spacing w:after="0"/>
        <w:rPr>
          <w:sz w:val="20"/>
          <w:szCs w:val="20"/>
          <w:color w:val="auto"/>
        </w:rPr>
      </w:pPr>
      <w:r>
        <w:rPr>
          <w:rFonts w:ascii="Arial" w:cs="Arial" w:eastAsia="Arial" w:hAnsi="Arial"/>
          <w:sz w:val="18"/>
          <w:szCs w:val="18"/>
          <w:color w:val="auto"/>
        </w:rPr>
        <w:t>municipal, or local statute, law, regulation or ordinance relating to employment, disputed wages, discrimination, retaliation, or leave.</w:t>
      </w:r>
    </w:p>
    <w:p>
      <w:pPr>
        <w:spacing w:after="0" w:line="266" w:lineRule="exact"/>
        <w:rPr>
          <w:sz w:val="20"/>
          <w:szCs w:val="20"/>
          <w:color w:val="auto"/>
        </w:rPr>
      </w:pPr>
    </w:p>
    <w:p>
      <w:pPr>
        <w:jc w:val="both"/>
        <w:ind w:left="332" w:hanging="332"/>
        <w:spacing w:after="0" w:line="273" w:lineRule="auto"/>
        <w:tabs>
          <w:tab w:leader="none" w:pos="332" w:val="left"/>
        </w:tabs>
        <w:numPr>
          <w:ilvl w:val="0"/>
          <w:numId w:val="72"/>
        </w:numPr>
        <w:rPr>
          <w:rFonts w:ascii="Arial" w:cs="Arial" w:eastAsia="Arial" w:hAnsi="Arial"/>
          <w:sz w:val="18"/>
          <w:szCs w:val="18"/>
          <w:color w:val="auto"/>
        </w:rPr>
      </w:pPr>
      <w:r>
        <w:rPr>
          <w:rFonts w:ascii="Arial" w:cs="Arial" w:eastAsia="Arial" w:hAnsi="Arial"/>
          <w:sz w:val="18"/>
          <w:szCs w:val="18"/>
          <w:u w:val="single" w:color="auto"/>
          <w:color w:val="auto"/>
        </w:rPr>
        <w:t>Release of Unknown Claims</w:t>
      </w:r>
      <w:r>
        <w:rPr>
          <w:rFonts w:ascii="Arial" w:cs="Arial" w:eastAsia="Arial" w:hAnsi="Arial"/>
          <w:sz w:val="18"/>
          <w:szCs w:val="18"/>
          <w:color w:val="auto"/>
        </w:rPr>
        <w:t>. For the purpose of implementing a full and complete release, the Executive expressly acknowledges that the release in this Release is intended to include in its effect, without limitation, claims that the Executive did not know or suspect to exist in his or her favor at the time of the execution of this Release, regardless of whether the knowledge of such claims, or the facts upon which they might be based, would materially have affected this Release, and that the consideration given under this Release was also for the release of those claims and contemplates the extinguishment of any such unknown claims. The Executive does hereby specifically assume such risk and agrees that this Release and, except as otherwise set forth in the Release, the releases contained herein shall and do apply to all unknown or unanticipated results of any and all matters caused by or connected with his or her employment with and separation from the Company, as well as those currently known or anticipated.</w:t>
      </w:r>
    </w:p>
    <w:p>
      <w:pPr>
        <w:spacing w:after="0" w:line="195" w:lineRule="exact"/>
        <w:rPr>
          <w:rFonts w:ascii="Arial" w:cs="Arial" w:eastAsia="Arial" w:hAnsi="Arial"/>
          <w:sz w:val="18"/>
          <w:szCs w:val="18"/>
          <w:color w:val="auto"/>
        </w:rPr>
      </w:pPr>
    </w:p>
    <w:p>
      <w:pPr>
        <w:ind w:left="332" w:hanging="332"/>
        <w:spacing w:after="0"/>
        <w:tabs>
          <w:tab w:leader="none" w:pos="332" w:val="left"/>
        </w:tabs>
        <w:numPr>
          <w:ilvl w:val="0"/>
          <w:numId w:val="72"/>
        </w:numPr>
        <w:rPr>
          <w:rFonts w:ascii="Arial" w:cs="Arial" w:eastAsia="Arial" w:hAnsi="Arial"/>
          <w:sz w:val="20"/>
          <w:szCs w:val="20"/>
          <w:color w:val="auto"/>
        </w:rPr>
      </w:pPr>
      <w:r>
        <w:rPr>
          <w:rFonts w:ascii="Arial" w:cs="Arial" w:eastAsia="Arial" w:hAnsi="Arial"/>
          <w:sz w:val="20"/>
          <w:szCs w:val="20"/>
          <w:u w:val="single" w:color="auto"/>
          <w:color w:val="auto"/>
        </w:rPr>
        <w:t>Waiver of Rights and Excluded Claims</w:t>
      </w:r>
      <w:r>
        <w:rPr>
          <w:rFonts w:ascii="Arial" w:cs="Arial" w:eastAsia="Arial" w:hAnsi="Arial"/>
          <w:sz w:val="20"/>
          <w:szCs w:val="20"/>
          <w:color w:val="auto"/>
        </w:rPr>
        <w:t>.</w:t>
      </w:r>
    </w:p>
    <w:p>
      <w:pPr>
        <w:spacing w:after="0" w:line="242" w:lineRule="exact"/>
        <w:rPr>
          <w:rFonts w:ascii="Arial" w:cs="Arial" w:eastAsia="Arial" w:hAnsi="Arial"/>
          <w:sz w:val="20"/>
          <w:szCs w:val="20"/>
          <w:color w:val="auto"/>
        </w:rPr>
      </w:pPr>
    </w:p>
    <w:p>
      <w:pPr>
        <w:jc w:val="both"/>
        <w:ind w:left="652" w:hanging="393"/>
        <w:spacing w:after="0" w:line="243" w:lineRule="auto"/>
        <w:tabs>
          <w:tab w:leader="none" w:pos="643" w:val="left"/>
        </w:tabs>
        <w:numPr>
          <w:ilvl w:val="2"/>
          <w:numId w:val="72"/>
        </w:numPr>
        <w:rPr>
          <w:rFonts w:ascii="Arial" w:cs="Arial" w:eastAsia="Arial" w:hAnsi="Arial"/>
          <w:sz w:val="20"/>
          <w:szCs w:val="20"/>
          <w:color w:val="auto"/>
        </w:rPr>
      </w:pPr>
      <w:r>
        <w:rPr>
          <w:rFonts w:ascii="Arial" w:cs="Arial" w:eastAsia="Arial" w:hAnsi="Arial"/>
          <w:sz w:val="20"/>
          <w:szCs w:val="20"/>
          <w:color w:val="auto"/>
        </w:rPr>
        <w:t>The Executive waives any right to recover in a civil suit or proceeding brought by any governmental agency or other individual on the Executive’s behalf against the Company based on any act or omission arising or occurring prior to the date of the execution of this Release, whether known or unknown at the time of execution, or to participate in any such action brought by another individual. The Executive acknowledges and agrees that under no circumstances will the Executive be entitled to recover money damages or any other monies from the Company other than those described in this Release. The Executive waives all rights to monetary damages or individual relief resulting from any such charge or complaint brought before the EEOC or equivalent state or local employment rights agency.</w:t>
      </w:r>
    </w:p>
    <w:p>
      <w:pPr>
        <w:spacing w:after="0" w:line="219" w:lineRule="exact"/>
        <w:rPr>
          <w:rFonts w:ascii="Arial" w:cs="Arial" w:eastAsia="Arial" w:hAnsi="Arial"/>
          <w:sz w:val="20"/>
          <w:szCs w:val="20"/>
          <w:color w:val="auto"/>
        </w:rPr>
      </w:pPr>
    </w:p>
    <w:p>
      <w:pPr>
        <w:jc w:val="both"/>
        <w:ind w:left="652" w:hanging="393"/>
        <w:spacing w:after="0" w:line="246" w:lineRule="auto"/>
        <w:tabs>
          <w:tab w:leader="none" w:pos="641" w:val="left"/>
        </w:tabs>
        <w:numPr>
          <w:ilvl w:val="2"/>
          <w:numId w:val="72"/>
        </w:numPr>
        <w:rPr>
          <w:rFonts w:ascii="Arial" w:cs="Arial" w:eastAsia="Arial" w:hAnsi="Arial"/>
          <w:sz w:val="20"/>
          <w:szCs w:val="20"/>
          <w:color w:val="auto"/>
        </w:rPr>
      </w:pPr>
      <w:r>
        <w:rPr>
          <w:rFonts w:ascii="Arial" w:cs="Arial" w:eastAsia="Arial" w:hAnsi="Arial"/>
          <w:sz w:val="20"/>
          <w:szCs w:val="20"/>
          <w:color w:val="auto"/>
        </w:rPr>
        <w:t>Notwithstanding the foregoing or anything to the contrary in this Release, nothing contained in this Release (A) waives or releases the Executive’s right to (i) file a charge or complaint, participate in proceedings conducted by, or communicate with a government agency, (ii) to bring future claims arising after the Separation Date, and/or (B) limits the Executive’s right to enforce the terms of this Release.</w:t>
      </w:r>
    </w:p>
    <w:p>
      <w:pPr>
        <w:spacing w:after="0" w:line="218" w:lineRule="exact"/>
        <w:rPr>
          <w:rFonts w:ascii="Arial" w:cs="Arial" w:eastAsia="Arial" w:hAnsi="Arial"/>
          <w:sz w:val="20"/>
          <w:szCs w:val="20"/>
          <w:color w:val="auto"/>
        </w:rPr>
      </w:pPr>
    </w:p>
    <w:p>
      <w:pPr>
        <w:jc w:val="both"/>
        <w:ind w:left="332" w:hanging="332"/>
        <w:spacing w:after="0" w:line="246" w:lineRule="auto"/>
        <w:tabs>
          <w:tab w:leader="none" w:pos="332" w:val="left"/>
        </w:tabs>
        <w:numPr>
          <w:ilvl w:val="0"/>
          <w:numId w:val="72"/>
        </w:numPr>
        <w:rPr>
          <w:rFonts w:ascii="Arial" w:cs="Arial" w:eastAsia="Arial" w:hAnsi="Arial"/>
          <w:sz w:val="20"/>
          <w:szCs w:val="20"/>
          <w:color w:val="auto"/>
        </w:rPr>
      </w:pPr>
      <w:r>
        <w:rPr>
          <w:rFonts w:ascii="Arial" w:cs="Arial" w:eastAsia="Arial" w:hAnsi="Arial"/>
          <w:sz w:val="20"/>
          <w:szCs w:val="20"/>
          <w:u w:val="single" w:color="auto"/>
          <w:color w:val="auto"/>
        </w:rPr>
        <w:t>Return of Property</w:t>
      </w:r>
      <w:r>
        <w:rPr>
          <w:rFonts w:ascii="Arial" w:cs="Arial" w:eastAsia="Arial" w:hAnsi="Arial"/>
          <w:sz w:val="20"/>
          <w:szCs w:val="20"/>
          <w:color w:val="auto"/>
        </w:rPr>
        <w:t>. By signing this Release, the Executive represents that the Executive has returned all Company property, including car, identification cards or badges, access codes or devices, keys, laptops, computers, telephones, mobile phones, hand-held electronic devices, credit cards, electronically stored documents or files, physical files and any other Company property previously in the Executive’s possession.</w:t>
      </w:r>
    </w:p>
    <w:p>
      <w:pPr>
        <w:spacing w:after="0" w:line="218" w:lineRule="exact"/>
        <w:rPr>
          <w:rFonts w:ascii="Arial" w:cs="Arial" w:eastAsia="Arial" w:hAnsi="Arial"/>
          <w:sz w:val="20"/>
          <w:szCs w:val="20"/>
          <w:color w:val="auto"/>
        </w:rPr>
      </w:pPr>
    </w:p>
    <w:p>
      <w:pPr>
        <w:jc w:val="both"/>
        <w:ind w:left="332" w:hanging="332"/>
        <w:spacing w:after="0" w:line="244" w:lineRule="auto"/>
        <w:tabs>
          <w:tab w:leader="none" w:pos="332" w:val="left"/>
        </w:tabs>
        <w:numPr>
          <w:ilvl w:val="0"/>
          <w:numId w:val="72"/>
        </w:numPr>
        <w:rPr>
          <w:rFonts w:ascii="Arial" w:cs="Arial" w:eastAsia="Arial" w:hAnsi="Arial"/>
          <w:sz w:val="20"/>
          <w:szCs w:val="20"/>
          <w:color w:val="auto"/>
        </w:rPr>
      </w:pPr>
      <w:r>
        <w:rPr>
          <w:rFonts w:ascii="Arial" w:cs="Arial" w:eastAsia="Arial" w:hAnsi="Arial"/>
          <w:sz w:val="20"/>
          <w:szCs w:val="20"/>
          <w:u w:val="single" w:color="auto"/>
          <w:color w:val="auto"/>
        </w:rPr>
        <w:t>Representations</w:t>
      </w:r>
      <w:r>
        <w:rPr>
          <w:rFonts w:ascii="Arial" w:cs="Arial" w:eastAsia="Arial" w:hAnsi="Arial"/>
          <w:sz w:val="20"/>
          <w:szCs w:val="20"/>
          <w:color w:val="auto"/>
        </w:rPr>
        <w:t>. The Executive represents that the Executive is the only person able to assert any right or claim arising out of the Executive’s employment with or separation from the Company. The Executive represents that the Executive has not: (i) brought a charge or suit against the Company in connection with any of the Claims, including, but not limited to, any claim or charge before the EEOC, or (ii) assigned or transferred or purported to assign or transfer, to any person or entity, any Claim or any portion thereof or interest therein which the Executive may have against the Company.</w:t>
      </w:r>
    </w:p>
    <w:p>
      <w:pPr>
        <w:spacing w:after="0" w:line="221" w:lineRule="exact"/>
        <w:rPr>
          <w:rFonts w:ascii="Arial" w:cs="Arial" w:eastAsia="Arial" w:hAnsi="Arial"/>
          <w:sz w:val="20"/>
          <w:szCs w:val="20"/>
          <w:color w:val="auto"/>
        </w:rPr>
      </w:pPr>
    </w:p>
    <w:p>
      <w:pPr>
        <w:ind w:left="332" w:hanging="332"/>
        <w:spacing w:after="0"/>
        <w:tabs>
          <w:tab w:leader="none" w:pos="332" w:val="left"/>
        </w:tabs>
        <w:numPr>
          <w:ilvl w:val="0"/>
          <w:numId w:val="72"/>
        </w:numPr>
        <w:rPr>
          <w:rFonts w:ascii="Arial" w:cs="Arial" w:eastAsia="Arial" w:hAnsi="Arial"/>
          <w:sz w:val="20"/>
          <w:szCs w:val="20"/>
          <w:color w:val="auto"/>
        </w:rPr>
      </w:pPr>
      <w:r>
        <w:rPr>
          <w:rFonts w:ascii="Arial" w:cs="Arial" w:eastAsia="Arial" w:hAnsi="Arial"/>
          <w:sz w:val="20"/>
          <w:szCs w:val="20"/>
          <w:u w:val="single" w:color="auto"/>
          <w:color w:val="auto"/>
        </w:rPr>
        <w:t>Notice and Revocation</w:t>
      </w:r>
      <w:r>
        <w:rPr>
          <w:rFonts w:ascii="Arial" w:cs="Arial" w:eastAsia="Arial" w:hAnsi="Arial"/>
          <w:sz w:val="20"/>
          <w:szCs w:val="20"/>
          <w:color w:val="auto"/>
        </w:rPr>
        <w:t>.</w:t>
      </w: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04" w:lineRule="exact"/>
        <w:rPr>
          <w:rFonts w:ascii="Arial" w:cs="Arial" w:eastAsia="Arial" w:hAnsi="Arial"/>
          <w:sz w:val="20"/>
          <w:szCs w:val="20"/>
          <w:color w:val="auto"/>
        </w:rPr>
      </w:pPr>
    </w:p>
    <w:p>
      <w:pPr>
        <w:ind w:left="352" w:hanging="136"/>
        <w:spacing w:after="0"/>
        <w:tabs>
          <w:tab w:leader="none" w:pos="352" w:val="left"/>
        </w:tabs>
        <w:numPr>
          <w:ilvl w:val="1"/>
          <w:numId w:val="72"/>
        </w:numPr>
        <w:rPr>
          <w:rFonts w:ascii="Arial" w:cs="Arial" w:eastAsia="Arial" w:hAnsi="Arial"/>
          <w:sz w:val="22"/>
          <w:szCs w:val="22"/>
          <w:color w:val="auto"/>
        </w:rPr>
      </w:pPr>
      <w:r>
        <w:rPr>
          <w:rFonts w:ascii="Arial" w:cs="Arial" w:eastAsia="Arial" w:hAnsi="Arial"/>
          <w:sz w:val="22"/>
          <w:szCs w:val="22"/>
          <w:color w:val="auto"/>
        </w:rPr>
        <w:t>3 -</w:t>
      </w:r>
    </w:p>
    <w:p>
      <w:pPr>
        <w:sectPr>
          <w:pgSz w:w="11900" w:h="16838" w:orient="portrait"/>
          <w:cols w:equalWidth="0" w:num="1">
            <w:col w:w="11232"/>
          </w:cols>
          <w:pgMar w:left="328" w:top="1419" w:right="339" w:bottom="1440" w:gutter="0" w:footer="0" w:header="0"/>
        </w:sectPr>
      </w:pPr>
    </w:p>
    <w:bookmarkStart w:id="94" w:name="page95"/>
    <w:bookmarkEnd w:id="94"/>
    <w:p>
      <w:pPr>
        <w:jc w:val="both"/>
        <w:ind w:left="652" w:hanging="497"/>
        <w:spacing w:after="0" w:line="281" w:lineRule="auto"/>
        <w:tabs>
          <w:tab w:leader="none" w:pos="641" w:val="left"/>
        </w:tabs>
        <w:numPr>
          <w:ilvl w:val="1"/>
          <w:numId w:val="73"/>
        </w:numPr>
        <w:rPr>
          <w:rFonts w:ascii="Arial" w:cs="Arial" w:eastAsia="Arial" w:hAnsi="Arial"/>
          <w:sz w:val="18"/>
          <w:szCs w:val="18"/>
          <w:color w:val="auto"/>
        </w:rPr>
      </w:pPr>
      <w:r>
        <w:rPr>
          <w:rFonts w:ascii="Arial" w:cs="Arial" w:eastAsia="Arial" w:hAnsi="Arial"/>
          <w:sz w:val="18"/>
          <w:szCs w:val="18"/>
          <w:color w:val="auto"/>
        </w:rPr>
        <w:t xml:space="preserve">The Executive acknowledges that the Executive was given at least [twenty-one (21) </w:t>
      </w:r>
      <w:r>
        <w:rPr>
          <w:rFonts w:ascii="Arial" w:cs="Arial" w:eastAsia="Arial" w:hAnsi="Arial"/>
          <w:sz w:val="18"/>
          <w:szCs w:val="18"/>
          <w:b w:val="1"/>
          <w:bCs w:val="1"/>
          <w:color w:val="auto"/>
        </w:rPr>
        <w:t>OR</w:t>
      </w:r>
      <w:r>
        <w:rPr>
          <w:rFonts w:ascii="Arial" w:cs="Arial" w:eastAsia="Arial" w:hAnsi="Arial"/>
          <w:sz w:val="18"/>
          <w:szCs w:val="18"/>
          <w:color w:val="auto"/>
        </w:rPr>
        <w:t xml:space="preserve"> forty-five (45)] days to consider the terms of this Release and consult with an attorney of the Executive’s choice. To the extent that the Executive elects to enter into this Release prior to the expiration of such period, the Executive acknowledges that the Executive has done so voluntarily and has knowingly waived the balance of such consideration period. </w:t>
      </w:r>
      <w:r>
        <w:rPr>
          <w:rFonts w:ascii="Arial" w:cs="Arial" w:eastAsia="Arial" w:hAnsi="Arial"/>
          <w:sz w:val="18"/>
          <w:szCs w:val="18"/>
          <w:b w:val="1"/>
          <w:bCs w:val="1"/>
          <w:color w:val="auto"/>
        </w:rPr>
        <w:t>The Executive understands that, to be eligible for the [Severance Benefits OR</w:t>
      </w:r>
      <w:r>
        <w:rPr>
          <w:rFonts w:ascii="Arial" w:cs="Arial" w:eastAsia="Arial" w:hAnsi="Arial"/>
          <w:sz w:val="18"/>
          <w:szCs w:val="18"/>
          <w:color w:val="auto"/>
        </w:rPr>
        <w:t xml:space="preserve"> </w:t>
      </w:r>
      <w:r>
        <w:rPr>
          <w:rFonts w:ascii="Arial" w:cs="Arial" w:eastAsia="Arial" w:hAnsi="Arial"/>
          <w:sz w:val="18"/>
          <w:szCs w:val="18"/>
          <w:b w:val="1"/>
          <w:bCs w:val="1"/>
          <w:color w:val="auto"/>
        </w:rPr>
        <w:t>Severance Payment</w:t>
      </w:r>
      <w:r>
        <w:rPr>
          <w:rFonts w:ascii="Arial" w:cs="Arial" w:eastAsia="Arial" w:hAnsi="Arial"/>
          <w:sz w:val="18"/>
          <w:szCs w:val="18"/>
          <w:color w:val="auto"/>
        </w:rPr>
        <w:t>]</w:t>
      </w:r>
      <w:r>
        <w:rPr>
          <w:rFonts w:ascii="Arial" w:cs="Arial" w:eastAsia="Arial" w:hAnsi="Arial"/>
          <w:sz w:val="18"/>
          <w:szCs w:val="18"/>
          <w:b w:val="1"/>
          <w:bCs w:val="1"/>
          <w:color w:val="auto"/>
        </w:rPr>
        <w:t>, the Executive must return this Release, signed and dated, no later than 11:59pm ET on the [twenty-first (21</w:t>
      </w:r>
      <w:r>
        <w:rPr>
          <w:rFonts w:ascii="Arial" w:cs="Arial" w:eastAsia="Arial" w:hAnsi="Arial"/>
          <w:sz w:val="23"/>
          <w:szCs w:val="23"/>
          <w:b w:val="1"/>
          <w:bCs w:val="1"/>
          <w:color w:val="auto"/>
          <w:vertAlign w:val="superscript"/>
        </w:rPr>
        <w:t>st</w:t>
      </w:r>
      <w:r>
        <w:rPr>
          <w:rFonts w:ascii="Arial" w:cs="Arial" w:eastAsia="Arial" w:hAnsi="Arial"/>
          <w:sz w:val="18"/>
          <w:szCs w:val="18"/>
          <w:b w:val="1"/>
          <w:bCs w:val="1"/>
          <w:color w:val="auto"/>
        </w:rPr>
        <w:t>) OR forty-fifth (45</w:t>
      </w:r>
      <w:r>
        <w:rPr>
          <w:rFonts w:ascii="Arial" w:cs="Arial" w:eastAsia="Arial" w:hAnsi="Arial"/>
          <w:sz w:val="23"/>
          <w:szCs w:val="23"/>
          <w:b w:val="1"/>
          <w:bCs w:val="1"/>
          <w:color w:val="auto"/>
          <w:vertAlign w:val="superscript"/>
        </w:rPr>
        <w:t>th</w:t>
      </w:r>
      <w:r>
        <w:rPr>
          <w:rFonts w:ascii="Arial" w:cs="Arial" w:eastAsia="Arial" w:hAnsi="Arial"/>
          <w:sz w:val="18"/>
          <w:szCs w:val="18"/>
          <w:b w:val="1"/>
          <w:bCs w:val="1"/>
          <w:color w:val="auto"/>
        </w:rPr>
        <w:t>)] day after Executive receives this Release, to the Company at: [ADDRESS].</w:t>
      </w:r>
    </w:p>
    <w:p>
      <w:pPr>
        <w:spacing w:after="0" w:line="98" w:lineRule="exact"/>
        <w:rPr>
          <w:rFonts w:ascii="Arial" w:cs="Arial" w:eastAsia="Arial" w:hAnsi="Arial"/>
          <w:sz w:val="18"/>
          <w:szCs w:val="18"/>
          <w:color w:val="auto"/>
        </w:rPr>
      </w:pPr>
    </w:p>
    <w:p>
      <w:pPr>
        <w:jc w:val="both"/>
        <w:ind w:left="652" w:hanging="552"/>
        <w:spacing w:after="0" w:line="232" w:lineRule="auto"/>
        <w:tabs>
          <w:tab w:leader="none" w:pos="641" w:val="left"/>
        </w:tabs>
        <w:numPr>
          <w:ilvl w:val="1"/>
          <w:numId w:val="73"/>
        </w:numPr>
        <w:rPr>
          <w:rFonts w:ascii="Arial" w:cs="Arial" w:eastAsia="Arial" w:hAnsi="Arial"/>
          <w:sz w:val="20"/>
          <w:szCs w:val="20"/>
          <w:color w:val="auto"/>
        </w:rPr>
      </w:pPr>
      <w:r>
        <w:rPr>
          <w:rFonts w:ascii="Arial" w:cs="Arial" w:eastAsia="Arial" w:hAnsi="Arial"/>
          <w:sz w:val="20"/>
          <w:szCs w:val="20"/>
          <w:b w:val="1"/>
          <w:bCs w:val="1"/>
          <w:color w:val="auto"/>
        </w:rPr>
        <w:t xml:space="preserve">The Executive understands that Executive has seven (7) days from the date the Executive signs this Release to revoke the Release by delivering notice of revocation by 11:59pm ET to [ADDRESS] before the end of such seven-day period, </w:t>
      </w:r>
      <w:r>
        <w:rPr>
          <w:rFonts w:ascii="Arial" w:cs="Arial" w:eastAsia="Arial" w:hAnsi="Arial"/>
          <w:sz w:val="20"/>
          <w:szCs w:val="20"/>
          <w:color w:val="auto"/>
        </w:rPr>
        <w:t>and that</w:t>
      </w:r>
      <w:r>
        <w:rPr>
          <w:rFonts w:ascii="Arial" w:cs="Arial" w:eastAsia="Arial" w:hAnsi="Arial"/>
          <w:sz w:val="20"/>
          <w:szCs w:val="20"/>
          <w:b w:val="1"/>
          <w:bCs w:val="1"/>
          <w:color w:val="auto"/>
        </w:rPr>
        <w:t xml:space="preserve"> </w:t>
      </w:r>
      <w:r>
        <w:rPr>
          <w:rFonts w:ascii="Arial" w:cs="Arial" w:eastAsia="Arial" w:hAnsi="Arial"/>
          <w:sz w:val="20"/>
          <w:szCs w:val="20"/>
          <w:color w:val="auto"/>
        </w:rPr>
        <w:t>this Release will not become effective until the eighth (8</w:t>
      </w:r>
      <w:r>
        <w:rPr>
          <w:rFonts w:ascii="Arial" w:cs="Arial" w:eastAsia="Arial" w:hAnsi="Arial"/>
          <w:sz w:val="25"/>
          <w:szCs w:val="25"/>
          <w:color w:val="auto"/>
          <w:vertAlign w:val="superscript"/>
        </w:rPr>
        <w:t>th</w:t>
      </w:r>
      <w:r>
        <w:rPr>
          <w:rFonts w:ascii="Arial" w:cs="Arial" w:eastAsia="Arial" w:hAnsi="Arial"/>
          <w:sz w:val="20"/>
          <w:szCs w:val="20"/>
          <w:color w:val="auto"/>
        </w:rPr>
        <w:t>) day after the Executive has delivered this Release, signed and dated, to the Company without revoking the Release (“</w:t>
      </w:r>
      <w:r>
        <w:rPr>
          <w:rFonts w:ascii="Arial" w:cs="Arial" w:eastAsia="Arial" w:hAnsi="Arial"/>
          <w:sz w:val="20"/>
          <w:szCs w:val="20"/>
          <w:b w:val="1"/>
          <w:bCs w:val="1"/>
          <w:color w:val="auto"/>
        </w:rPr>
        <w:t>Effective Date</w:t>
      </w:r>
      <w:r>
        <w:rPr>
          <w:rFonts w:ascii="Arial" w:cs="Arial" w:eastAsia="Arial" w:hAnsi="Arial"/>
          <w:sz w:val="20"/>
          <w:szCs w:val="20"/>
          <w:color w:val="auto"/>
        </w:rPr>
        <w:t>”).</w:t>
      </w:r>
    </w:p>
    <w:p>
      <w:pPr>
        <w:spacing w:after="0" w:line="216" w:lineRule="exact"/>
        <w:rPr>
          <w:rFonts w:ascii="Arial" w:cs="Arial" w:eastAsia="Arial" w:hAnsi="Arial"/>
          <w:sz w:val="20"/>
          <w:szCs w:val="20"/>
          <w:color w:val="auto"/>
        </w:rPr>
      </w:pPr>
    </w:p>
    <w:p>
      <w:pPr>
        <w:jc w:val="both"/>
        <w:ind w:left="332" w:hanging="332"/>
        <w:spacing w:after="0" w:line="272" w:lineRule="auto"/>
        <w:tabs>
          <w:tab w:leader="none" w:pos="323" w:val="left"/>
        </w:tabs>
        <w:numPr>
          <w:ilvl w:val="0"/>
          <w:numId w:val="74"/>
        </w:numPr>
        <w:rPr>
          <w:rFonts w:ascii="Arial" w:cs="Arial" w:eastAsia="Arial" w:hAnsi="Arial"/>
          <w:sz w:val="19"/>
          <w:szCs w:val="19"/>
          <w:color w:val="auto"/>
        </w:rPr>
      </w:pPr>
      <w:r>
        <w:rPr>
          <w:rFonts w:ascii="Arial" w:cs="Arial" w:eastAsia="Arial" w:hAnsi="Arial"/>
          <w:sz w:val="19"/>
          <w:szCs w:val="19"/>
          <w:u w:val="single" w:color="auto"/>
          <w:color w:val="auto"/>
        </w:rPr>
        <w:t>Restrictive Covenants</w:t>
      </w:r>
      <w:r>
        <w:rPr>
          <w:rFonts w:ascii="Arial" w:cs="Arial" w:eastAsia="Arial" w:hAnsi="Arial"/>
          <w:sz w:val="19"/>
          <w:szCs w:val="19"/>
          <w:color w:val="auto"/>
        </w:rPr>
        <w:t xml:space="preserve">. The Executive acknowledges that, as a condition of receipt of the [Severance Benefits </w:t>
      </w:r>
      <w:r>
        <w:rPr>
          <w:rFonts w:ascii="Arial" w:cs="Arial" w:eastAsia="Arial" w:hAnsi="Arial"/>
          <w:sz w:val="19"/>
          <w:szCs w:val="19"/>
          <w:b w:val="1"/>
          <w:bCs w:val="1"/>
          <w:color w:val="auto"/>
        </w:rPr>
        <w:t>OR</w:t>
      </w:r>
      <w:r>
        <w:rPr>
          <w:rFonts w:ascii="Arial" w:cs="Arial" w:eastAsia="Arial" w:hAnsi="Arial"/>
          <w:sz w:val="19"/>
          <w:szCs w:val="19"/>
          <w:color w:val="auto"/>
        </w:rPr>
        <w:t xml:space="preserve"> Severance Payment], the Executive shall continue to be bound by the covenants and obligations in the Employment Agreement, to the extent that such covenants and obligations are meant to survive the termination of the Executive’s employment.</w:t>
      </w:r>
    </w:p>
    <w:p>
      <w:pPr>
        <w:spacing w:after="0" w:line="194" w:lineRule="exact"/>
        <w:rPr>
          <w:rFonts w:ascii="Arial" w:cs="Arial" w:eastAsia="Arial" w:hAnsi="Arial"/>
          <w:sz w:val="19"/>
          <w:szCs w:val="19"/>
          <w:color w:val="auto"/>
        </w:rPr>
      </w:pPr>
    </w:p>
    <w:p>
      <w:pPr>
        <w:jc w:val="both"/>
        <w:ind w:left="332" w:hanging="332"/>
        <w:spacing w:after="0" w:line="250" w:lineRule="auto"/>
        <w:tabs>
          <w:tab w:leader="none" w:pos="315" w:val="left"/>
        </w:tabs>
        <w:numPr>
          <w:ilvl w:val="0"/>
          <w:numId w:val="74"/>
        </w:numPr>
        <w:rPr>
          <w:rFonts w:ascii="Arial" w:cs="Arial" w:eastAsia="Arial" w:hAnsi="Arial"/>
          <w:sz w:val="20"/>
          <w:szCs w:val="20"/>
          <w:color w:val="auto"/>
        </w:rPr>
      </w:pPr>
      <w:r>
        <w:rPr>
          <w:rFonts w:ascii="Arial" w:cs="Arial" w:eastAsia="Arial" w:hAnsi="Arial"/>
          <w:sz w:val="20"/>
          <w:szCs w:val="20"/>
          <w:u w:val="single" w:color="auto"/>
          <w:color w:val="auto"/>
        </w:rPr>
        <w:t>Confidentiality of Release</w:t>
      </w:r>
      <w:r>
        <w:rPr>
          <w:rFonts w:ascii="Arial" w:cs="Arial" w:eastAsia="Arial" w:hAnsi="Arial"/>
          <w:sz w:val="20"/>
          <w:szCs w:val="20"/>
          <w:color w:val="auto"/>
        </w:rPr>
        <w:t>. The Executive understands and agrees that the terms of this Release are strictly confidential and shall not be disclosed to any third party (other than the Executive’s immediate family, the Company, or legal advisors or as required by law) without the prior written consent of the Company.</w:t>
      </w:r>
    </w:p>
    <w:p>
      <w:pPr>
        <w:spacing w:after="0" w:line="212" w:lineRule="exact"/>
        <w:rPr>
          <w:rFonts w:ascii="Arial" w:cs="Arial" w:eastAsia="Arial" w:hAnsi="Arial"/>
          <w:sz w:val="20"/>
          <w:szCs w:val="20"/>
          <w:color w:val="auto"/>
        </w:rPr>
      </w:pPr>
    </w:p>
    <w:p>
      <w:pPr>
        <w:jc w:val="both"/>
        <w:ind w:left="332" w:hanging="332"/>
        <w:spacing w:after="0" w:line="246" w:lineRule="auto"/>
        <w:tabs>
          <w:tab w:leader="none" w:pos="323" w:val="left"/>
        </w:tabs>
        <w:numPr>
          <w:ilvl w:val="0"/>
          <w:numId w:val="74"/>
        </w:numPr>
        <w:rPr>
          <w:rFonts w:ascii="Arial" w:cs="Arial" w:eastAsia="Arial" w:hAnsi="Arial"/>
          <w:sz w:val="20"/>
          <w:szCs w:val="20"/>
          <w:color w:val="auto"/>
        </w:rPr>
      </w:pPr>
      <w:r>
        <w:rPr>
          <w:rFonts w:ascii="Arial" w:cs="Arial" w:eastAsia="Arial" w:hAnsi="Arial"/>
          <w:sz w:val="20"/>
          <w:szCs w:val="20"/>
          <w:u w:val="single" w:color="auto"/>
          <w:color w:val="auto"/>
        </w:rPr>
        <w:t>No Admission of Liability.</w:t>
      </w:r>
      <w:r>
        <w:rPr>
          <w:rFonts w:ascii="Arial" w:cs="Arial" w:eastAsia="Arial" w:hAnsi="Arial"/>
          <w:sz w:val="20"/>
          <w:szCs w:val="20"/>
          <w:color w:val="auto"/>
        </w:rPr>
        <w:t xml:space="preserve"> The Executive agrees that the Company does not admit any allegations made against it in any claims, charges, complaints, actions, causes of action, suits, grievances, controversies, disputes, or demands. Nothing contained in this Release, nor any of the acts taken thereunder, will be deemed or construed as an admission of liability of any violation of any applicable law, statute, ordinance, order, regulation, or constitution of any kind.</w:t>
      </w:r>
    </w:p>
    <w:p>
      <w:pPr>
        <w:spacing w:after="0" w:line="218" w:lineRule="exact"/>
        <w:rPr>
          <w:rFonts w:ascii="Arial" w:cs="Arial" w:eastAsia="Arial" w:hAnsi="Arial"/>
          <w:sz w:val="20"/>
          <w:szCs w:val="20"/>
          <w:color w:val="auto"/>
        </w:rPr>
      </w:pPr>
    </w:p>
    <w:p>
      <w:pPr>
        <w:jc w:val="both"/>
        <w:ind w:left="332" w:hanging="332"/>
        <w:spacing w:after="0" w:line="291" w:lineRule="auto"/>
        <w:tabs>
          <w:tab w:leader="none" w:pos="323" w:val="left"/>
        </w:tabs>
        <w:numPr>
          <w:ilvl w:val="0"/>
          <w:numId w:val="74"/>
        </w:numPr>
        <w:rPr>
          <w:rFonts w:ascii="Arial" w:cs="Arial" w:eastAsia="Arial" w:hAnsi="Arial"/>
          <w:sz w:val="18"/>
          <w:szCs w:val="18"/>
          <w:color w:val="auto"/>
        </w:rPr>
      </w:pPr>
      <w:r>
        <w:rPr>
          <w:rFonts w:ascii="Arial" w:cs="Arial" w:eastAsia="Arial" w:hAnsi="Arial"/>
          <w:sz w:val="18"/>
          <w:szCs w:val="18"/>
          <w:u w:val="single" w:color="auto"/>
          <w:color w:val="auto"/>
        </w:rPr>
        <w:t>Reimbursement of Costs</w:t>
      </w:r>
      <w:r>
        <w:rPr>
          <w:rFonts w:ascii="Arial" w:cs="Arial" w:eastAsia="Arial" w:hAnsi="Arial"/>
          <w:sz w:val="18"/>
          <w:szCs w:val="18"/>
          <w:color w:val="auto"/>
        </w:rPr>
        <w:t>. The Executive agrees that, if the Executive violates the terms of this release or brings suit against the Company based on events occurring prior to the Executive signing this Release (other than to enforce the terms of this Release), the Executive will reimburse the Company for any attorney fees, costs, or other damages arising from the Executive’s breach of the release.</w:t>
      </w:r>
    </w:p>
    <w:p>
      <w:pPr>
        <w:spacing w:after="0" w:line="178" w:lineRule="exact"/>
        <w:rPr>
          <w:rFonts w:ascii="Arial" w:cs="Arial" w:eastAsia="Arial" w:hAnsi="Arial"/>
          <w:sz w:val="18"/>
          <w:szCs w:val="18"/>
          <w:color w:val="auto"/>
        </w:rPr>
      </w:pPr>
    </w:p>
    <w:p>
      <w:pPr>
        <w:jc w:val="both"/>
        <w:ind w:left="332" w:hanging="332"/>
        <w:spacing w:after="0" w:line="272" w:lineRule="auto"/>
        <w:tabs>
          <w:tab w:leader="none" w:pos="323" w:val="left"/>
        </w:tabs>
        <w:numPr>
          <w:ilvl w:val="0"/>
          <w:numId w:val="74"/>
        </w:numPr>
        <w:rPr>
          <w:rFonts w:ascii="Arial" w:cs="Arial" w:eastAsia="Arial" w:hAnsi="Arial"/>
          <w:sz w:val="18"/>
          <w:szCs w:val="18"/>
          <w:color w:val="auto"/>
        </w:rPr>
      </w:pPr>
      <w:r>
        <w:rPr>
          <w:rFonts w:ascii="Arial" w:cs="Arial" w:eastAsia="Arial" w:hAnsi="Arial"/>
          <w:sz w:val="18"/>
          <w:szCs w:val="18"/>
          <w:u w:val="single" w:color="auto"/>
          <w:color w:val="auto"/>
        </w:rPr>
        <w:t>Governing Law, Arbitration, and Forum</w:t>
      </w:r>
      <w:r>
        <w:rPr>
          <w:rFonts w:ascii="Arial" w:cs="Arial" w:eastAsia="Arial" w:hAnsi="Arial"/>
          <w:sz w:val="18"/>
          <w:szCs w:val="18"/>
          <w:color w:val="auto"/>
        </w:rPr>
        <w:t>. This Release will be governed and construed and enforced in accordance with the laws of the State of California without regard to its conflicts of law rules. Any controversy, dispute or claim arising out of this Release shall first be settled through good faith negotiation. If the parties are unsuccessful at resolving the dispute through negotiation, except for injunctive or other equitable relief or as otherwise provided in this Release, any and all legal proceedings arising out of or relating to this Release shall be resolved through a confidential arbitration administered by Judicial Arbitration &amp; Mediation Services, Inc. (“</w:t>
      </w:r>
      <w:r>
        <w:rPr>
          <w:rFonts w:ascii="Arial" w:cs="Arial" w:eastAsia="Arial" w:hAnsi="Arial"/>
          <w:sz w:val="18"/>
          <w:szCs w:val="18"/>
          <w:u w:val="single" w:color="auto"/>
          <w:color w:val="auto"/>
        </w:rPr>
        <w:t>JAMS</w:t>
      </w:r>
      <w:r>
        <w:rPr>
          <w:rFonts w:ascii="Arial" w:cs="Arial" w:eastAsia="Arial" w:hAnsi="Arial"/>
          <w:sz w:val="18"/>
          <w:szCs w:val="18"/>
          <w:color w:val="auto"/>
        </w:rPr>
        <w:t xml:space="preserve">”) pursuant to the JAMS Employment Arbitration Rules and Procedures, or successor rules then in effect and to the extent permitted by law. The rules and further information are available at </w:t>
      </w:r>
      <w:r>
        <w:rPr>
          <w:rFonts w:ascii="Arial" w:cs="Arial" w:eastAsia="Arial" w:hAnsi="Arial"/>
          <w:sz w:val="18"/>
          <w:szCs w:val="18"/>
          <w:u w:val="single" w:color="auto"/>
          <w:color w:val="auto"/>
        </w:rPr>
        <w:t>www.jamsadr.com</w:t>
      </w:r>
      <w:r>
        <w:rPr>
          <w:rFonts w:ascii="Arial" w:cs="Arial" w:eastAsia="Arial" w:hAnsi="Arial"/>
          <w:sz w:val="18"/>
          <w:szCs w:val="18"/>
          <w:color w:val="auto"/>
        </w:rPr>
        <w:t>. The Federal Arbitration Act, as then in effect, shall govern the interpretation and enforcement of such arbitration proceeding. The arbitrator shall apply California State law to the merits of any dispute or claim, without reference to rules of conflict of law. Any determination or decision by the arbitrator</w:t>
      </w:r>
    </w:p>
    <w:p>
      <w:pPr>
        <w:spacing w:after="0" w:line="200" w:lineRule="exact"/>
        <w:rPr>
          <w:rFonts w:ascii="Arial" w:cs="Arial" w:eastAsia="Arial" w:hAnsi="Arial"/>
          <w:sz w:val="18"/>
          <w:szCs w:val="18"/>
          <w:color w:val="auto"/>
        </w:rPr>
      </w:pPr>
    </w:p>
    <w:p>
      <w:pPr>
        <w:spacing w:after="0" w:line="316" w:lineRule="exact"/>
        <w:rPr>
          <w:rFonts w:ascii="Arial" w:cs="Arial" w:eastAsia="Arial" w:hAnsi="Arial"/>
          <w:sz w:val="18"/>
          <w:szCs w:val="18"/>
          <w:color w:val="auto"/>
        </w:rPr>
      </w:pPr>
    </w:p>
    <w:p>
      <w:pPr>
        <w:ind w:left="352" w:hanging="136"/>
        <w:spacing w:after="0"/>
        <w:tabs>
          <w:tab w:leader="none" w:pos="352" w:val="left"/>
        </w:tabs>
        <w:numPr>
          <w:ilvl w:val="2"/>
          <w:numId w:val="74"/>
        </w:numPr>
        <w:rPr>
          <w:rFonts w:ascii="Arial" w:cs="Arial" w:eastAsia="Arial" w:hAnsi="Arial"/>
          <w:sz w:val="22"/>
          <w:szCs w:val="22"/>
          <w:color w:val="auto"/>
        </w:rPr>
      </w:pPr>
      <w:r>
        <w:rPr>
          <w:rFonts w:ascii="Arial" w:cs="Arial" w:eastAsia="Arial" w:hAnsi="Arial"/>
          <w:sz w:val="22"/>
          <w:szCs w:val="22"/>
          <w:color w:val="auto"/>
        </w:rPr>
        <w:t>4 -</w:t>
      </w:r>
    </w:p>
    <w:p>
      <w:pPr>
        <w:sectPr>
          <w:pgSz w:w="11900" w:h="16838" w:orient="portrait"/>
          <w:cols w:equalWidth="0" w:num="1">
            <w:col w:w="11232"/>
          </w:cols>
          <w:pgMar w:left="328" w:top="1413" w:right="339" w:bottom="1440" w:gutter="0" w:footer="0" w:header="0"/>
        </w:sectPr>
      </w:pPr>
    </w:p>
    <w:bookmarkStart w:id="95" w:name="page96"/>
    <w:bookmarkEnd w:id="95"/>
    <w:p>
      <w:pPr>
        <w:jc w:val="both"/>
        <w:ind w:left="340"/>
        <w:spacing w:after="0" w:line="278" w:lineRule="auto"/>
        <w:rPr>
          <w:sz w:val="20"/>
          <w:szCs w:val="20"/>
          <w:color w:val="auto"/>
        </w:rPr>
      </w:pPr>
      <w:r>
        <w:rPr>
          <w:rFonts w:ascii="Arial" w:cs="Arial" w:eastAsia="Arial" w:hAnsi="Arial"/>
          <w:sz w:val="18"/>
          <w:szCs w:val="18"/>
          <w:color w:val="auto"/>
        </w:rPr>
        <w:t>will be final and binding upon the parties and may be enforced in any court of law. The parties agree that any arbitration will take place on an individual, and not on a class, basis. Subject to the provisions of this Section regarding arbitration, the Executive and the Company hereby submit to the exclusive jurisdiction and venue of the federal and state courts located in California for the resolution of any and all claims, causes of action or disputes arising out of, related to the enforcement, if necessary, of any arbitral award made pursuant to the provisions of this Section, and the Executive agrees to waive any claim relating to forum non conveniens.</w:t>
      </w:r>
    </w:p>
    <w:p>
      <w:pPr>
        <w:spacing w:after="0" w:line="186" w:lineRule="exact"/>
        <w:rPr>
          <w:sz w:val="20"/>
          <w:szCs w:val="20"/>
          <w:color w:val="auto"/>
        </w:rPr>
      </w:pPr>
    </w:p>
    <w:p>
      <w:pPr>
        <w:spacing w:after="0"/>
        <w:tabs>
          <w:tab w:leader="none" w:pos="1900" w:val="left"/>
        </w:tabs>
        <w:rPr>
          <w:sz w:val="20"/>
          <w:szCs w:val="20"/>
          <w:color w:val="auto"/>
        </w:rPr>
      </w:pPr>
      <w:r>
        <w:rPr>
          <w:rFonts w:ascii="Arial" w:cs="Arial" w:eastAsia="Arial" w:hAnsi="Arial"/>
          <w:sz w:val="20"/>
          <w:szCs w:val="20"/>
          <w:b w:val="1"/>
          <w:bCs w:val="1"/>
          <w:color w:val="auto"/>
        </w:rPr>
        <w:t>Executive Initials</w:t>
      </w:r>
      <w:r>
        <w:rPr>
          <w:sz w:val="20"/>
          <w:szCs w:val="20"/>
          <w:color w:val="auto"/>
        </w:rPr>
        <w:tab/>
      </w:r>
      <w:r>
        <w:rPr>
          <w:rFonts w:ascii="Arial" w:cs="Arial" w:eastAsia="Arial" w:hAnsi="Arial"/>
          <w:sz w:val="16"/>
          <w:szCs w:val="16"/>
          <w:b w:val="1"/>
          <w:bCs w:val="1"/>
          <w:color w:val="auto"/>
        </w:rPr>
        <w:t>Company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968375</wp:posOffset>
            </wp:positionH>
            <wp:positionV relativeFrom="paragraph">
              <wp:posOffset>-10795</wp:posOffset>
            </wp:positionV>
            <wp:extent cx="12573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7">
                      <a:extLst>
                        <a:ext uri="{28A0092B-C50C-407E-A947-70E740481C1C}"/>
                      </a:extLst>
                    </a:blip>
                    <a:srcRect/>
                    <a:stretch>
                      <a:fillRect/>
                    </a:stretch>
                  </pic:blipFill>
                  <pic:spPr bwMode="auto">
                    <a:xfrm>
                      <a:off x="0" y="0"/>
                      <a:ext cx="125730" cy="8890"/>
                    </a:xfrm>
                    <a:prstGeom prst="rect">
                      <a:avLst/>
                    </a:prstGeom>
                    <a:noFill/>
                  </pic:spPr>
                </pic:pic>
              </a:graphicData>
            </a:graphic>
          </wp:anchor>
        </w:drawing>
        <w:drawing>
          <wp:anchor simplePos="0" relativeHeight="251657728" behindDoc="1" locked="0" layoutInCell="0" allowOverlap="1">
            <wp:simplePos x="0" y="0"/>
            <wp:positionH relativeFrom="column">
              <wp:posOffset>2606040</wp:posOffset>
            </wp:positionH>
            <wp:positionV relativeFrom="paragraph">
              <wp:posOffset>-10795</wp:posOffset>
            </wp:positionV>
            <wp:extent cx="12573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8">
                      <a:extLst>
                        <a:ext uri="{28A0092B-C50C-407E-A947-70E740481C1C}"/>
                      </a:extLst>
                    </a:blip>
                    <a:srcRect/>
                    <a:stretch>
                      <a:fillRect/>
                    </a:stretch>
                  </pic:blipFill>
                  <pic:spPr bwMode="auto">
                    <a:xfrm>
                      <a:off x="0" y="0"/>
                      <a:ext cx="125730" cy="8890"/>
                    </a:xfrm>
                    <a:prstGeom prst="rect">
                      <a:avLst/>
                    </a:prstGeom>
                    <a:noFill/>
                  </pic:spPr>
                </pic:pic>
              </a:graphicData>
            </a:graphic>
          </wp:anchor>
        </w:drawing>
      </w:r>
    </w:p>
    <w:p>
      <w:pPr>
        <w:spacing w:after="0" w:line="269" w:lineRule="exact"/>
        <w:rPr>
          <w:sz w:val="20"/>
          <w:szCs w:val="20"/>
          <w:color w:val="auto"/>
        </w:rPr>
      </w:pPr>
    </w:p>
    <w:p>
      <w:pPr>
        <w:jc w:val="both"/>
        <w:ind w:left="340" w:hanging="332"/>
        <w:spacing w:after="0" w:line="244" w:lineRule="auto"/>
        <w:tabs>
          <w:tab w:leader="none" w:pos="331" w:val="left"/>
        </w:tabs>
        <w:numPr>
          <w:ilvl w:val="0"/>
          <w:numId w:val="75"/>
        </w:numPr>
        <w:rPr>
          <w:rFonts w:ascii="Arial" w:cs="Arial" w:eastAsia="Arial" w:hAnsi="Arial"/>
          <w:sz w:val="20"/>
          <w:szCs w:val="20"/>
          <w:color w:val="auto"/>
        </w:rPr>
      </w:pPr>
      <w:r>
        <w:rPr>
          <w:rFonts w:ascii="Arial" w:cs="Arial" w:eastAsia="Arial" w:hAnsi="Arial"/>
          <w:sz w:val="20"/>
          <w:szCs w:val="20"/>
          <w:u w:val="single" w:color="auto"/>
          <w:color w:val="auto"/>
        </w:rPr>
        <w:t>Severability</w:t>
      </w:r>
      <w:r>
        <w:rPr>
          <w:rFonts w:ascii="Arial" w:cs="Arial" w:eastAsia="Arial" w:hAnsi="Arial"/>
          <w:sz w:val="20"/>
          <w:szCs w:val="20"/>
          <w:color w:val="auto"/>
        </w:rPr>
        <w:t>. Any term or provision of this Release that is determined to be invalid or unenforceable by any court of competent jurisdiction in any jurisdiction shall, as to such jurisdiction, be ineffective to the extent of such invalidity or unenforceability without rendering invalid or unenforceable the remaining terms and provisions of this Release or affecting the validity or enforceability of any of the terms or provisions of this Release in any other jurisdiction, and such invalid or unenforceable provision shall be modified by such court so that it is enforceable to the extent permitted by applicable law.</w:t>
      </w:r>
    </w:p>
    <w:p>
      <w:pPr>
        <w:spacing w:after="0" w:line="221" w:lineRule="exact"/>
        <w:rPr>
          <w:rFonts w:ascii="Arial" w:cs="Arial" w:eastAsia="Arial" w:hAnsi="Arial"/>
          <w:sz w:val="20"/>
          <w:szCs w:val="20"/>
          <w:color w:val="auto"/>
        </w:rPr>
      </w:pPr>
    </w:p>
    <w:p>
      <w:pPr>
        <w:jc w:val="both"/>
        <w:ind w:left="340" w:hanging="332"/>
        <w:spacing w:after="0" w:line="244" w:lineRule="auto"/>
        <w:tabs>
          <w:tab w:leader="none" w:pos="331" w:val="left"/>
        </w:tabs>
        <w:numPr>
          <w:ilvl w:val="0"/>
          <w:numId w:val="75"/>
        </w:numPr>
        <w:rPr>
          <w:rFonts w:ascii="Arial" w:cs="Arial" w:eastAsia="Arial" w:hAnsi="Arial"/>
          <w:sz w:val="20"/>
          <w:szCs w:val="20"/>
          <w:color w:val="auto"/>
        </w:rPr>
      </w:pPr>
      <w:r>
        <w:rPr>
          <w:rFonts w:ascii="Arial" w:cs="Arial" w:eastAsia="Arial" w:hAnsi="Arial"/>
          <w:sz w:val="20"/>
          <w:szCs w:val="20"/>
          <w:u w:val="single" w:color="auto"/>
          <w:color w:val="auto"/>
        </w:rPr>
        <w:t>Counterpart</w:t>
      </w:r>
      <w:r>
        <w:rPr>
          <w:rFonts w:ascii="Arial" w:cs="Arial" w:eastAsia="Arial" w:hAnsi="Arial"/>
          <w:sz w:val="20"/>
          <w:szCs w:val="20"/>
          <w:color w:val="auto"/>
        </w:rPr>
        <w:t>s. This Release may be executed in one or more counterparts, each of which shall be deemed an original but all of which shall together be one and the same agreement. The Parties agree that signatures transmitted by facsimile or electronic mail will be deemed originals and that a facsimile, photocopy, or scanned image of this Release, including without limitation counterparts and any signature(s) or other marks thereon, shall be admissible in any legal, administrative, or other proceeding related to this Release with the same weight and binding effect as an original.</w:t>
      </w:r>
    </w:p>
    <w:p>
      <w:pPr>
        <w:spacing w:after="0" w:line="221" w:lineRule="exact"/>
        <w:rPr>
          <w:rFonts w:ascii="Arial" w:cs="Arial" w:eastAsia="Arial" w:hAnsi="Arial"/>
          <w:sz w:val="20"/>
          <w:szCs w:val="20"/>
          <w:color w:val="auto"/>
        </w:rPr>
      </w:pPr>
    </w:p>
    <w:p>
      <w:pPr>
        <w:jc w:val="both"/>
        <w:ind w:left="340" w:hanging="332"/>
        <w:spacing w:after="0" w:line="278" w:lineRule="auto"/>
        <w:tabs>
          <w:tab w:leader="none" w:pos="331" w:val="left"/>
        </w:tabs>
        <w:numPr>
          <w:ilvl w:val="0"/>
          <w:numId w:val="75"/>
        </w:numPr>
        <w:rPr>
          <w:rFonts w:ascii="Arial" w:cs="Arial" w:eastAsia="Arial" w:hAnsi="Arial"/>
          <w:sz w:val="18"/>
          <w:szCs w:val="18"/>
          <w:color w:val="auto"/>
        </w:rPr>
      </w:pPr>
      <w:r>
        <w:rPr>
          <w:rFonts w:ascii="Arial" w:cs="Arial" w:eastAsia="Arial" w:hAnsi="Arial"/>
          <w:sz w:val="18"/>
          <w:szCs w:val="18"/>
          <w:u w:val="single" w:color="auto"/>
          <w:color w:val="auto"/>
        </w:rPr>
        <w:t>Waiver; Amendments</w:t>
      </w:r>
      <w:r>
        <w:rPr>
          <w:rFonts w:ascii="Arial" w:cs="Arial" w:eastAsia="Arial" w:hAnsi="Arial"/>
          <w:sz w:val="18"/>
          <w:szCs w:val="18"/>
          <w:color w:val="auto"/>
        </w:rPr>
        <w:t>. Any waiver by either Party of a breach of any provision of this Release will not operate as, or be construed to be, a waiver of any other breach of such provision of this Release. The failure of either Party to insist on strict adherence to any term of this Release on one or more occasions will not be considered a waiver or deprive either Party of the right thereafter to insist on strict adherence to that term or any other term of this Release. Neither this Release nor any part of it may be waived, changed, or terminated orally. Any waiver, amendment or modification must be in a writing signed by both the Executive and the Company.</w:t>
      </w:r>
    </w:p>
    <w:p>
      <w:pPr>
        <w:spacing w:after="0" w:line="191" w:lineRule="exact"/>
        <w:rPr>
          <w:rFonts w:ascii="Arial" w:cs="Arial" w:eastAsia="Arial" w:hAnsi="Arial"/>
          <w:sz w:val="18"/>
          <w:szCs w:val="18"/>
          <w:color w:val="auto"/>
        </w:rPr>
      </w:pPr>
    </w:p>
    <w:p>
      <w:pPr>
        <w:jc w:val="both"/>
        <w:ind w:left="340" w:hanging="332"/>
        <w:spacing w:after="0" w:line="282" w:lineRule="auto"/>
        <w:tabs>
          <w:tab w:leader="none" w:pos="331" w:val="left"/>
        </w:tabs>
        <w:numPr>
          <w:ilvl w:val="0"/>
          <w:numId w:val="75"/>
        </w:numPr>
        <w:rPr>
          <w:rFonts w:ascii="Arial" w:cs="Arial" w:eastAsia="Arial" w:hAnsi="Arial"/>
          <w:sz w:val="18"/>
          <w:szCs w:val="18"/>
          <w:color w:val="auto"/>
        </w:rPr>
      </w:pPr>
      <w:r>
        <w:rPr>
          <w:rFonts w:ascii="Arial" w:cs="Arial" w:eastAsia="Arial" w:hAnsi="Arial"/>
          <w:sz w:val="18"/>
          <w:szCs w:val="18"/>
          <w:u w:val="single" w:color="auto"/>
          <w:color w:val="auto"/>
        </w:rPr>
        <w:t>Entire Agreement; Construction</w:t>
      </w:r>
      <w:r>
        <w:rPr>
          <w:rFonts w:ascii="Arial" w:cs="Arial" w:eastAsia="Arial" w:hAnsi="Arial"/>
          <w:sz w:val="18"/>
          <w:szCs w:val="18"/>
          <w:color w:val="auto"/>
        </w:rPr>
        <w:t>. This Release, together with the Employment Agreement, contains the entire understanding of the Parties relating to the subject matter of this Release and supersedes all other prior written or oral agreements, understandings or arrangements between the Parties relating to the subject matter of this Release. The Executive acknowledges that, in entering into this Release, the Executive did not rely and has not relied on any statements or representations not contained in this Release.</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220"/>
        <w:spacing w:after="0"/>
        <w:rPr>
          <w:sz w:val="20"/>
          <w:szCs w:val="20"/>
          <w:color w:val="auto"/>
        </w:rPr>
      </w:pPr>
      <w:r>
        <w:rPr>
          <w:rFonts w:ascii="Arial" w:cs="Arial" w:eastAsia="Arial" w:hAnsi="Arial"/>
          <w:sz w:val="22"/>
          <w:szCs w:val="22"/>
          <w:color w:val="auto"/>
        </w:rPr>
        <w:t>- 5 -</w:t>
      </w:r>
    </w:p>
    <w:p>
      <w:pPr>
        <w:sectPr>
          <w:pgSz w:w="11900" w:h="16838" w:orient="portrait"/>
          <w:cols w:equalWidth="0" w:num="1">
            <w:col w:w="11240"/>
          </w:cols>
          <w:pgMar w:left="320" w:top="1419" w:right="339" w:bottom="1440" w:gutter="0" w:footer="0" w:header="0"/>
        </w:sectPr>
      </w:pPr>
    </w:p>
    <w:bookmarkStart w:id="96" w:name="page97"/>
    <w:bookmarkEnd w:id="96"/>
    <w:p>
      <w:pPr>
        <w:ind w:left="2880"/>
        <w:spacing w:after="0"/>
        <w:rPr>
          <w:sz w:val="20"/>
          <w:szCs w:val="20"/>
          <w:color w:val="auto"/>
        </w:rPr>
      </w:pPr>
      <w:r>
        <w:rPr>
          <w:rFonts w:ascii="Arial" w:cs="Arial" w:eastAsia="Arial" w:hAnsi="Arial"/>
          <w:sz w:val="20"/>
          <w:szCs w:val="20"/>
          <w:b w:val="1"/>
          <w:bCs w:val="1"/>
          <w:color w:val="auto"/>
        </w:rPr>
        <w:t>Executive’s Acknowledgment of Knowing and Voluntary Release</w:t>
      </w:r>
    </w:p>
    <w:p>
      <w:pPr>
        <w:spacing w:after="0" w:line="249" w:lineRule="exact"/>
        <w:rPr>
          <w:sz w:val="20"/>
          <w:szCs w:val="20"/>
          <w:color w:val="auto"/>
        </w:rPr>
      </w:pPr>
    </w:p>
    <w:p>
      <w:pPr>
        <w:spacing w:after="0"/>
        <w:rPr>
          <w:sz w:val="20"/>
          <w:szCs w:val="20"/>
          <w:color w:val="auto"/>
        </w:rPr>
      </w:pPr>
      <w:r>
        <w:rPr>
          <w:rFonts w:ascii="Arial" w:cs="Arial" w:eastAsia="Arial" w:hAnsi="Arial"/>
          <w:sz w:val="20"/>
          <w:szCs w:val="20"/>
          <w:color w:val="auto"/>
        </w:rPr>
        <w:t>BY EXECUTING THIS RELEASE, I ACKNOWLEDGE:</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I HAVE CAREFULLY READ THIS RELEASE AND I FULLY UNDERSTAND ALL OF THE PROVISIONS OF THIS RELEASE.</w:t>
      </w:r>
    </w:p>
    <w:p>
      <w:pPr>
        <w:spacing w:after="0" w:line="243"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I HAVE BEEN ENCOURAGED AND ADVISED IN WRITING TO SEEK ADVICE FROM COUNSEL OF MY CHOOSING REGARDING THIS RELEASE AND HAVE DONE SO TO THE EXTENT I DEEM APPROPRIATE.</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color w:val="auto"/>
        </w:rPr>
        <w:t>[I HAVE BEEN GIVEN ADEQUATE TIME, TWENTY ONE (21) BUSINESS DAYS, TO REVIEW THE RELEASE.]</w:t>
      </w:r>
    </w:p>
    <w:p>
      <w:pPr>
        <w:spacing w:after="0" w:line="243" w:lineRule="exact"/>
        <w:rPr>
          <w:sz w:val="20"/>
          <w:szCs w:val="20"/>
          <w:color w:val="auto"/>
        </w:rPr>
      </w:pPr>
    </w:p>
    <w:p>
      <w:pPr>
        <w:jc w:val="both"/>
        <w:spacing w:after="0" w:line="245" w:lineRule="auto"/>
        <w:rPr>
          <w:sz w:val="20"/>
          <w:szCs w:val="20"/>
          <w:color w:val="auto"/>
        </w:rPr>
      </w:pPr>
      <w:r>
        <w:rPr>
          <w:rFonts w:ascii="Arial" w:cs="Arial" w:eastAsia="Arial" w:hAnsi="Arial"/>
          <w:sz w:val="20"/>
          <w:szCs w:val="20"/>
          <w:color w:val="auto"/>
        </w:rPr>
        <w:t>IN SIGNING THIS RELEASE, I AM NOT RELYING ON ANY REPRESENTATION OR STATEMENT (WRITTEN OR ORAL) NOT SPECIFICALLY SET FORTH HEREIN BY THE EMPLOYER OR ANY OF ITS REPRESENTATIVES WITH REGARD TO THE SUBJECT MATTER, BASIS, OR EFFECT OF THIS RELEASE OR OTHERWISE.</w:t>
      </w:r>
    </w:p>
    <w:p>
      <w:pPr>
        <w:jc w:val="both"/>
        <w:ind w:right="20"/>
        <w:spacing w:after="0" w:line="244" w:lineRule="auto"/>
        <w:rPr>
          <w:sz w:val="20"/>
          <w:szCs w:val="20"/>
          <w:color w:val="auto"/>
        </w:rPr>
      </w:pPr>
      <w:r>
        <w:rPr>
          <w:rFonts w:ascii="Arial" w:cs="Arial" w:eastAsia="Arial" w:hAnsi="Arial"/>
          <w:sz w:val="20"/>
          <w:szCs w:val="20"/>
          <w:color w:val="auto"/>
        </w:rPr>
        <w:t>I WAS NOT COERCED, THREATENED, OR OTHERWISE FORCED TO SIGN THIS RELEASE. I AM VOLUNTARILY SIGNING AND DELIVERING THIS RELEASE.</w:t>
      </w:r>
    </w:p>
    <w:p>
      <w:pPr>
        <w:spacing w:after="0" w:line="218" w:lineRule="exact"/>
        <w:rPr>
          <w:sz w:val="20"/>
          <w:szCs w:val="20"/>
          <w:color w:val="auto"/>
        </w:rPr>
      </w:pPr>
    </w:p>
    <w:p>
      <w:pPr>
        <w:spacing w:after="0"/>
        <w:rPr>
          <w:sz w:val="20"/>
          <w:szCs w:val="20"/>
          <w:color w:val="auto"/>
        </w:rPr>
      </w:pPr>
      <w:r>
        <w:rPr>
          <w:rFonts w:ascii="Arial" w:cs="Arial" w:eastAsia="Arial" w:hAnsi="Arial"/>
          <w:sz w:val="20"/>
          <w:szCs w:val="20"/>
          <w:color w:val="auto"/>
        </w:rPr>
        <w:t>I UNDERSTAND THAT BY SIGNING THIS RELEASE I ACCEPT THE EMPLOYER’S OFFER.</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_________</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IN WITNESS WHEREOF, the Parties have executed this Release Agreement.</w:t>
      </w:r>
    </w:p>
    <w:p>
      <w:pPr>
        <w:spacing w:after="0" w:line="200" w:lineRule="exact"/>
        <w:rPr>
          <w:sz w:val="20"/>
          <w:szCs w:val="20"/>
          <w:color w:val="auto"/>
        </w:rPr>
      </w:pP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4560" w:type="dxa"/>
            <w:vAlign w:val="bottom"/>
          </w:tcPr>
          <w:p>
            <w:pPr>
              <w:spacing w:after="0"/>
              <w:rPr>
                <w:sz w:val="20"/>
                <w:szCs w:val="20"/>
                <w:color w:val="auto"/>
              </w:rPr>
            </w:pPr>
            <w:r>
              <w:rPr>
                <w:rFonts w:ascii="Arial" w:cs="Arial" w:eastAsia="Arial" w:hAnsi="Arial"/>
                <w:sz w:val="20"/>
                <w:szCs w:val="20"/>
                <w:b w:val="1"/>
                <w:bCs w:val="1"/>
                <w:color w:val="auto"/>
              </w:rPr>
              <w:t>AGREED TO AND ACCEPTED:</w:t>
            </w:r>
          </w:p>
        </w:tc>
        <w:tc>
          <w:tcPr>
            <w:tcW w:w="4340" w:type="dxa"/>
            <w:vAlign w:val="bottom"/>
          </w:tcPr>
          <w:p>
            <w:pPr>
              <w:spacing w:after="0"/>
              <w:rPr>
                <w:sz w:val="22"/>
                <w:szCs w:val="22"/>
                <w:color w:val="auto"/>
              </w:rPr>
            </w:pPr>
          </w:p>
        </w:tc>
      </w:tr>
      <w:tr>
        <w:trPr>
          <w:trHeight w:val="526"/>
        </w:trPr>
        <w:tc>
          <w:tcPr>
            <w:tcW w:w="4560" w:type="dxa"/>
            <w:vAlign w:val="bottom"/>
          </w:tcPr>
          <w:p>
            <w:pPr>
              <w:ind w:left="20"/>
              <w:spacing w:after="0"/>
              <w:rPr>
                <w:sz w:val="20"/>
                <w:szCs w:val="20"/>
                <w:color w:val="auto"/>
              </w:rPr>
            </w:pPr>
            <w:r>
              <w:rPr>
                <w:rFonts w:ascii="Arial" w:cs="Arial" w:eastAsia="Arial" w:hAnsi="Arial"/>
                <w:sz w:val="20"/>
                <w:szCs w:val="20"/>
                <w:b w:val="1"/>
                <w:bCs w:val="1"/>
                <w:color w:val="auto"/>
              </w:rPr>
              <w:t>By Executive:</w:t>
            </w:r>
          </w:p>
        </w:tc>
        <w:tc>
          <w:tcPr>
            <w:tcW w:w="4340" w:type="dxa"/>
            <w:vAlign w:val="bottom"/>
          </w:tcPr>
          <w:p>
            <w:pPr>
              <w:ind w:left="780"/>
              <w:spacing w:after="0"/>
              <w:rPr>
                <w:sz w:val="20"/>
                <w:szCs w:val="20"/>
                <w:color w:val="auto"/>
              </w:rPr>
            </w:pPr>
            <w:r>
              <w:rPr>
                <w:rFonts w:ascii="Arial" w:cs="Arial" w:eastAsia="Arial" w:hAnsi="Arial"/>
                <w:sz w:val="20"/>
                <w:szCs w:val="20"/>
                <w:b w:val="1"/>
                <w:bCs w:val="1"/>
                <w:color w:val="auto"/>
              </w:rPr>
              <w:t>For Company:</w:t>
            </w:r>
          </w:p>
        </w:tc>
      </w:tr>
      <w:tr>
        <w:trPr>
          <w:trHeight w:val="473"/>
        </w:trPr>
        <w:tc>
          <w:tcPr>
            <w:tcW w:w="4560" w:type="dxa"/>
            <w:vAlign w:val="bottom"/>
          </w:tcPr>
          <w:p>
            <w:pPr>
              <w:spacing w:after="0"/>
              <w:rPr>
                <w:sz w:val="24"/>
                <w:szCs w:val="24"/>
                <w:color w:val="auto"/>
              </w:rPr>
            </w:pPr>
          </w:p>
        </w:tc>
        <w:tc>
          <w:tcPr>
            <w:tcW w:w="4340" w:type="dxa"/>
            <w:vAlign w:val="bottom"/>
          </w:tcPr>
          <w:p>
            <w:pPr>
              <w:ind w:left="780"/>
              <w:spacing w:after="0"/>
              <w:rPr>
                <w:sz w:val="20"/>
                <w:szCs w:val="20"/>
                <w:color w:val="auto"/>
              </w:rPr>
            </w:pPr>
            <w:r>
              <w:rPr>
                <w:rFonts w:ascii="Arial" w:cs="Arial" w:eastAsia="Arial" w:hAnsi="Arial"/>
                <w:sz w:val="20"/>
                <w:szCs w:val="20"/>
                <w:color w:val="auto"/>
              </w:rPr>
              <w:t>By:</w:t>
            </w:r>
          </w:p>
        </w:tc>
      </w:tr>
      <w:tr>
        <w:trPr>
          <w:trHeight w:val="452"/>
        </w:trPr>
        <w:tc>
          <w:tcPr>
            <w:tcW w:w="4560" w:type="dxa"/>
            <w:vAlign w:val="bottom"/>
          </w:tcPr>
          <w:p>
            <w:pPr>
              <w:ind w:left="20"/>
              <w:spacing w:after="0"/>
              <w:rPr>
                <w:sz w:val="20"/>
                <w:szCs w:val="20"/>
                <w:color w:val="auto"/>
              </w:rPr>
            </w:pPr>
            <w:r>
              <w:rPr>
                <w:rFonts w:ascii="Arial" w:cs="Arial" w:eastAsia="Arial" w:hAnsi="Arial"/>
                <w:sz w:val="20"/>
                <w:szCs w:val="20"/>
                <w:color w:val="auto"/>
              </w:rPr>
              <w:t>______________________________________</w:t>
            </w:r>
          </w:p>
        </w:tc>
        <w:tc>
          <w:tcPr>
            <w:tcW w:w="4340" w:type="dxa"/>
            <w:vAlign w:val="bottom"/>
          </w:tcPr>
          <w:p>
            <w:pPr>
              <w:ind w:left="780"/>
              <w:spacing w:after="0"/>
              <w:rPr>
                <w:sz w:val="20"/>
                <w:szCs w:val="20"/>
                <w:color w:val="auto"/>
              </w:rPr>
            </w:pPr>
            <w:r>
              <w:rPr>
                <w:rFonts w:ascii="Arial" w:cs="Arial" w:eastAsia="Arial" w:hAnsi="Arial"/>
                <w:sz w:val="20"/>
                <w:szCs w:val="20"/>
                <w:color w:val="auto"/>
                <w:w w:val="88"/>
              </w:rPr>
              <w:t>____________________________________</w:t>
            </w:r>
          </w:p>
        </w:tc>
      </w:tr>
      <w:tr>
        <w:trPr>
          <w:trHeight w:val="264"/>
        </w:trPr>
        <w:tc>
          <w:tcPr>
            <w:tcW w:w="4560" w:type="dxa"/>
            <w:vAlign w:val="bottom"/>
          </w:tcPr>
          <w:p>
            <w:pPr>
              <w:ind w:left="20"/>
              <w:spacing w:after="0"/>
              <w:rPr>
                <w:sz w:val="20"/>
                <w:szCs w:val="20"/>
                <w:color w:val="auto"/>
              </w:rPr>
            </w:pPr>
            <w:r>
              <w:rPr>
                <w:rFonts w:ascii="Arial" w:cs="Arial" w:eastAsia="Arial" w:hAnsi="Arial"/>
                <w:sz w:val="20"/>
                <w:szCs w:val="20"/>
                <w:color w:val="auto"/>
              </w:rPr>
              <w:t>Mark. D. Klein</w:t>
            </w:r>
          </w:p>
        </w:tc>
        <w:tc>
          <w:tcPr>
            <w:tcW w:w="4340" w:type="dxa"/>
            <w:vAlign w:val="bottom"/>
          </w:tcPr>
          <w:p>
            <w:pPr>
              <w:ind w:left="780"/>
              <w:spacing w:after="0"/>
              <w:rPr>
                <w:sz w:val="20"/>
                <w:szCs w:val="20"/>
                <w:color w:val="auto"/>
              </w:rPr>
            </w:pPr>
            <w:r>
              <w:rPr>
                <w:rFonts w:ascii="Arial" w:cs="Arial" w:eastAsia="Arial" w:hAnsi="Arial"/>
                <w:sz w:val="20"/>
                <w:szCs w:val="20"/>
                <w:color w:val="auto"/>
              </w:rPr>
              <w:t>Representative’s Signature</w:t>
            </w:r>
          </w:p>
        </w:tc>
      </w:tr>
      <w:tr>
        <w:trPr>
          <w:trHeight w:val="438"/>
        </w:trPr>
        <w:tc>
          <w:tcPr>
            <w:tcW w:w="4560" w:type="dxa"/>
            <w:vAlign w:val="bottom"/>
          </w:tcPr>
          <w:p>
            <w:pPr>
              <w:spacing w:after="0"/>
              <w:rPr>
                <w:sz w:val="24"/>
                <w:szCs w:val="24"/>
                <w:color w:val="auto"/>
              </w:rPr>
            </w:pPr>
          </w:p>
        </w:tc>
        <w:tc>
          <w:tcPr>
            <w:tcW w:w="4340" w:type="dxa"/>
            <w:vAlign w:val="bottom"/>
          </w:tcPr>
          <w:p>
            <w:pPr>
              <w:ind w:left="780"/>
              <w:spacing w:after="0"/>
              <w:rPr>
                <w:sz w:val="20"/>
                <w:szCs w:val="20"/>
                <w:color w:val="auto"/>
              </w:rPr>
            </w:pPr>
            <w:r>
              <w:rPr>
                <w:rFonts w:ascii="Arial" w:cs="Arial" w:eastAsia="Arial" w:hAnsi="Arial"/>
                <w:sz w:val="20"/>
                <w:szCs w:val="20"/>
                <w:color w:val="auto"/>
                <w:w w:val="88"/>
              </w:rPr>
              <w:t>____________________________________</w:t>
            </w:r>
          </w:p>
        </w:tc>
      </w:tr>
      <w:tr>
        <w:trPr>
          <w:trHeight w:val="277"/>
        </w:trPr>
        <w:tc>
          <w:tcPr>
            <w:tcW w:w="4560" w:type="dxa"/>
            <w:vAlign w:val="bottom"/>
          </w:tcPr>
          <w:p>
            <w:pPr>
              <w:ind w:left="20"/>
              <w:spacing w:after="0"/>
              <w:rPr>
                <w:sz w:val="20"/>
                <w:szCs w:val="20"/>
                <w:color w:val="auto"/>
              </w:rPr>
            </w:pPr>
            <w:r>
              <w:rPr>
                <w:rFonts w:ascii="Arial" w:cs="Arial" w:eastAsia="Arial" w:hAnsi="Arial"/>
                <w:sz w:val="20"/>
                <w:szCs w:val="20"/>
                <w:color w:val="auto"/>
              </w:rPr>
              <w:t>DATE: _______________________________</w:t>
            </w:r>
          </w:p>
        </w:tc>
        <w:tc>
          <w:tcPr>
            <w:tcW w:w="4340" w:type="dxa"/>
            <w:vAlign w:val="bottom"/>
          </w:tcPr>
          <w:p>
            <w:pPr>
              <w:ind w:left="780"/>
              <w:spacing w:after="0"/>
              <w:rPr>
                <w:sz w:val="20"/>
                <w:szCs w:val="20"/>
                <w:color w:val="auto"/>
              </w:rPr>
            </w:pPr>
            <w:r>
              <w:rPr>
                <w:rFonts w:ascii="Arial" w:cs="Arial" w:eastAsia="Arial" w:hAnsi="Arial"/>
                <w:sz w:val="20"/>
                <w:szCs w:val="20"/>
                <w:color w:val="auto"/>
              </w:rPr>
              <w:t>Name, Title</w:t>
            </w:r>
          </w:p>
        </w:tc>
      </w:tr>
      <w:tr>
        <w:trPr>
          <w:trHeight w:val="675"/>
        </w:trPr>
        <w:tc>
          <w:tcPr>
            <w:tcW w:w="4560" w:type="dxa"/>
            <w:vAlign w:val="bottom"/>
          </w:tcPr>
          <w:p>
            <w:pPr>
              <w:spacing w:after="0"/>
              <w:rPr>
                <w:sz w:val="24"/>
                <w:szCs w:val="24"/>
                <w:color w:val="auto"/>
              </w:rPr>
            </w:pPr>
          </w:p>
        </w:tc>
        <w:tc>
          <w:tcPr>
            <w:tcW w:w="4340" w:type="dxa"/>
            <w:vAlign w:val="bottom"/>
          </w:tcPr>
          <w:p>
            <w:pPr>
              <w:ind w:left="780"/>
              <w:spacing w:after="0"/>
              <w:rPr>
                <w:sz w:val="20"/>
                <w:szCs w:val="20"/>
                <w:color w:val="auto"/>
              </w:rPr>
            </w:pPr>
            <w:r>
              <w:rPr>
                <w:rFonts w:ascii="Arial" w:cs="Arial" w:eastAsia="Arial" w:hAnsi="Arial"/>
                <w:sz w:val="20"/>
                <w:szCs w:val="20"/>
                <w:color w:val="auto"/>
                <w:w w:val="91"/>
              </w:rPr>
              <w:t>DATE: _____________________________</w:t>
            </w:r>
          </w:p>
        </w:tc>
      </w:tr>
    </w:tbl>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220"/>
        <w:spacing w:after="0"/>
        <w:rPr>
          <w:sz w:val="20"/>
          <w:szCs w:val="20"/>
          <w:color w:val="auto"/>
        </w:rPr>
      </w:pPr>
      <w:r>
        <w:rPr>
          <w:rFonts w:ascii="Arial" w:cs="Arial" w:eastAsia="Arial" w:hAnsi="Arial"/>
          <w:sz w:val="22"/>
          <w:szCs w:val="22"/>
          <w:color w:val="auto"/>
        </w:rPr>
        <w:t>- 6 -</w:t>
      </w:r>
    </w:p>
    <w:p>
      <w:pPr>
        <w:sectPr>
          <w:pgSz w:w="11900" w:h="16838" w:orient="portrait"/>
          <w:cols w:equalWidth="0" w:num="1">
            <w:col w:w="11240"/>
          </w:cols>
          <w:pgMar w:left="320" w:top="1413" w:right="339" w:bottom="1440" w:gutter="0" w:footer="0" w:header="0"/>
        </w:sectPr>
      </w:pPr>
    </w:p>
    <w:bookmarkStart w:id="97" w:name="page98"/>
    <w:bookmarkEnd w:id="97"/>
    <w:p>
      <w:pPr>
        <w:jc w:val="right"/>
        <w:spacing w:after="0"/>
        <w:rPr>
          <w:sz w:val="20"/>
          <w:szCs w:val="20"/>
          <w:color w:val="auto"/>
        </w:rPr>
      </w:pPr>
      <w:r>
        <w:rPr>
          <w:rFonts w:ascii="Arial" w:cs="Arial" w:eastAsia="Arial" w:hAnsi="Arial"/>
          <w:sz w:val="22"/>
          <w:szCs w:val="22"/>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SECOND AMENDED AND RESTATED EMPLOYMENT AGREEMENT</w:t>
      </w:r>
    </w:p>
    <w:p>
      <w:pPr>
        <w:spacing w:after="0" w:line="249" w:lineRule="exact"/>
        <w:rPr>
          <w:sz w:val="20"/>
          <w:szCs w:val="20"/>
          <w:color w:val="auto"/>
        </w:rPr>
      </w:pPr>
    </w:p>
    <w:p>
      <w:pPr>
        <w:jc w:val="both"/>
        <w:ind w:firstLine="648"/>
        <w:spacing w:after="0" w:line="227" w:lineRule="auto"/>
        <w:rPr>
          <w:sz w:val="20"/>
          <w:szCs w:val="20"/>
          <w:color w:val="auto"/>
        </w:rPr>
      </w:pPr>
      <w:r>
        <w:rPr>
          <w:rFonts w:ascii="Arial" w:cs="Arial" w:eastAsia="Arial" w:hAnsi="Arial"/>
          <w:sz w:val="20"/>
          <w:szCs w:val="20"/>
          <w:color w:val="auto"/>
        </w:rPr>
        <w:t>This SECOND AMENDED AND RESTATED EMPLOYMENT AGREEMENT is made and entered into this 26</w:t>
      </w:r>
      <w:r>
        <w:rPr>
          <w:rFonts w:ascii="Arial" w:cs="Arial" w:eastAsia="Arial" w:hAnsi="Arial"/>
          <w:sz w:val="25"/>
          <w:szCs w:val="25"/>
          <w:color w:val="auto"/>
          <w:vertAlign w:val="superscript"/>
        </w:rPr>
        <w:t>th</w:t>
      </w:r>
      <w:r>
        <w:rPr>
          <w:rFonts w:ascii="Arial" w:cs="Arial" w:eastAsia="Arial" w:hAnsi="Arial"/>
          <w:sz w:val="20"/>
          <w:szCs w:val="20"/>
          <w:color w:val="auto"/>
        </w:rPr>
        <w:t xml:space="preserve"> day of April, 2021 (this “</w:t>
      </w:r>
      <w:r>
        <w:rPr>
          <w:rFonts w:ascii="Arial" w:cs="Arial" w:eastAsia="Arial" w:hAnsi="Arial"/>
          <w:sz w:val="20"/>
          <w:szCs w:val="20"/>
          <w:u w:val="single" w:color="auto"/>
          <w:color w:val="auto"/>
        </w:rPr>
        <w:t>Agreement</w:t>
      </w:r>
      <w:r>
        <w:rPr>
          <w:rFonts w:ascii="Arial" w:cs="Arial" w:eastAsia="Arial" w:hAnsi="Arial"/>
          <w:sz w:val="20"/>
          <w:szCs w:val="20"/>
          <w:color w:val="auto"/>
        </w:rPr>
        <w:t>”) by and between SuRo Capital Corp., a Maryland corporation (the “</w:t>
      </w:r>
      <w:r>
        <w:rPr>
          <w:rFonts w:ascii="Arial" w:cs="Arial" w:eastAsia="Arial" w:hAnsi="Arial"/>
          <w:sz w:val="20"/>
          <w:szCs w:val="20"/>
          <w:u w:val="single" w:color="auto"/>
          <w:color w:val="auto"/>
        </w:rPr>
        <w:t>Company</w:t>
      </w:r>
      <w:r>
        <w:rPr>
          <w:rFonts w:ascii="Arial" w:cs="Arial" w:eastAsia="Arial" w:hAnsi="Arial"/>
          <w:sz w:val="20"/>
          <w:szCs w:val="20"/>
          <w:color w:val="auto"/>
        </w:rPr>
        <w:t>”), and Allison Green (the “</w:t>
      </w:r>
      <w:r>
        <w:rPr>
          <w:rFonts w:ascii="Arial" w:cs="Arial" w:eastAsia="Arial" w:hAnsi="Arial"/>
          <w:sz w:val="20"/>
          <w:szCs w:val="20"/>
          <w:u w:val="single" w:color="auto"/>
          <w:color w:val="auto"/>
        </w:rPr>
        <w:t>Executive</w:t>
      </w:r>
      <w:r>
        <w:rPr>
          <w:rFonts w:ascii="Arial" w:cs="Arial" w:eastAsia="Arial" w:hAnsi="Arial"/>
          <w:sz w:val="20"/>
          <w:szCs w:val="20"/>
          <w:color w:val="auto"/>
        </w:rPr>
        <w:t>”).</w:t>
      </w:r>
    </w:p>
    <w:p>
      <w:pPr>
        <w:spacing w:after="0" w:line="225"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WHEREAS, the Company is an internally managed, closed-end management investment company that has elected to be treated as a business development company under the Investment Company Act of 1940;</w:t>
      </w:r>
    </w:p>
    <w:p>
      <w:pPr>
        <w:spacing w:after="0" w:line="204"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WHEREAS, the Company and the Executive previously entered into an employment agreement, dated April 23, 2019, which was amended and restated as of April 28, 2020 (the “</w:t>
      </w:r>
      <w:r>
        <w:rPr>
          <w:rFonts w:ascii="Arial" w:cs="Arial" w:eastAsia="Arial" w:hAnsi="Arial"/>
          <w:sz w:val="20"/>
          <w:szCs w:val="20"/>
          <w:u w:val="single" w:color="auto"/>
          <w:color w:val="auto"/>
        </w:rPr>
        <w:t>Prior Employment Agreement</w:t>
      </w:r>
      <w:r>
        <w:rPr>
          <w:rFonts w:ascii="Arial" w:cs="Arial" w:eastAsia="Arial" w:hAnsi="Arial"/>
          <w:sz w:val="20"/>
          <w:szCs w:val="20"/>
          <w:color w:val="auto"/>
        </w:rPr>
        <w:t>”); and</w:t>
      </w:r>
    </w:p>
    <w:p>
      <w:pPr>
        <w:spacing w:after="0" w:line="17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WHEREAS, the parties desire to amend and restate the Prior Employment Agreement in its entirety to secure the Executive’s employment during the Term (as hereinafter defined), on the terms and conditions set forth herein.</w:t>
      </w:r>
    </w:p>
    <w:p>
      <w:pPr>
        <w:spacing w:after="0" w:line="17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NOW, THEREFORE, in consideration of the mutual covenants and agreements set forth herein, and for other good and valuable consideration, the receipt and sufficiency of which are hereby acknowledged, the parties agree as follows:</w:t>
      </w:r>
    </w:p>
    <w:p>
      <w:pPr>
        <w:spacing w:after="0" w:line="171" w:lineRule="exact"/>
        <w:rPr>
          <w:sz w:val="20"/>
          <w:szCs w:val="20"/>
          <w:color w:val="auto"/>
        </w:rPr>
      </w:pPr>
    </w:p>
    <w:p>
      <w:pPr>
        <w:jc w:val="both"/>
        <w:ind w:left="340" w:hanging="332"/>
        <w:spacing w:after="0" w:line="248" w:lineRule="auto"/>
        <w:tabs>
          <w:tab w:leader="none" w:pos="340" w:val="left"/>
        </w:tabs>
        <w:numPr>
          <w:ilvl w:val="0"/>
          <w:numId w:val="76"/>
        </w:numPr>
        <w:rPr>
          <w:rFonts w:ascii="Arial" w:cs="Arial" w:eastAsia="Arial" w:hAnsi="Arial"/>
          <w:sz w:val="20"/>
          <w:szCs w:val="20"/>
          <w:color w:val="auto"/>
        </w:rPr>
      </w:pPr>
      <w:r>
        <w:rPr>
          <w:rFonts w:ascii="Arial" w:cs="Arial" w:eastAsia="Arial" w:hAnsi="Arial"/>
          <w:sz w:val="20"/>
          <w:szCs w:val="20"/>
          <w:b w:val="1"/>
          <w:bCs w:val="1"/>
          <w:color w:val="auto"/>
        </w:rPr>
        <w:t>Position</w:t>
      </w:r>
      <w:r>
        <w:rPr>
          <w:rFonts w:ascii="Arial" w:cs="Arial" w:eastAsia="Arial" w:hAnsi="Arial"/>
          <w:sz w:val="20"/>
          <w:szCs w:val="20"/>
          <w:color w:val="auto"/>
        </w:rPr>
        <w:t>. The Company hereby reaffirms its employment of the Executive and the Executive agrees to continue to serve the Company as</w:t>
      </w:r>
      <w:r>
        <w:rPr>
          <w:rFonts w:ascii="Arial" w:cs="Arial" w:eastAsia="Arial" w:hAnsi="Arial"/>
          <w:sz w:val="20"/>
          <w:szCs w:val="20"/>
          <w:b w:val="1"/>
          <w:bCs w:val="1"/>
          <w:color w:val="auto"/>
        </w:rPr>
        <w:t xml:space="preserve"> </w:t>
      </w:r>
      <w:r>
        <w:rPr>
          <w:rFonts w:ascii="Arial" w:cs="Arial" w:eastAsia="Arial" w:hAnsi="Arial"/>
          <w:sz w:val="20"/>
          <w:szCs w:val="20"/>
          <w:color w:val="auto"/>
        </w:rPr>
        <w:t>Chief Financial Officer, Treasurer, and Secretary on the terms and conditions set forth in this Agreement. During the Term, the parties agree that the Executive shall report to the Chief Executive Officer. The Executive also agrees to serve as a voting member of the Company’s Investment Committee.</w:t>
      </w:r>
    </w:p>
    <w:p>
      <w:pPr>
        <w:spacing w:after="0" w:line="183" w:lineRule="exact"/>
        <w:rPr>
          <w:rFonts w:ascii="Arial" w:cs="Arial" w:eastAsia="Arial" w:hAnsi="Arial"/>
          <w:sz w:val="20"/>
          <w:szCs w:val="20"/>
          <w:color w:val="auto"/>
        </w:rPr>
      </w:pPr>
    </w:p>
    <w:p>
      <w:pPr>
        <w:jc w:val="both"/>
        <w:ind w:left="340" w:hanging="332"/>
        <w:spacing w:after="0" w:line="242" w:lineRule="auto"/>
        <w:tabs>
          <w:tab w:leader="none" w:pos="340" w:val="left"/>
        </w:tabs>
        <w:numPr>
          <w:ilvl w:val="0"/>
          <w:numId w:val="76"/>
        </w:numPr>
        <w:rPr>
          <w:rFonts w:ascii="Arial" w:cs="Arial" w:eastAsia="Arial" w:hAnsi="Arial"/>
          <w:sz w:val="20"/>
          <w:szCs w:val="20"/>
          <w:color w:val="auto"/>
        </w:rPr>
      </w:pPr>
      <w:r>
        <w:rPr>
          <w:rFonts w:ascii="Arial" w:cs="Arial" w:eastAsia="Arial" w:hAnsi="Arial"/>
          <w:sz w:val="20"/>
          <w:szCs w:val="20"/>
          <w:b w:val="1"/>
          <w:bCs w:val="1"/>
          <w:color w:val="auto"/>
        </w:rPr>
        <w:t>Employment Term</w:t>
      </w:r>
      <w:r>
        <w:rPr>
          <w:rFonts w:ascii="Arial" w:cs="Arial" w:eastAsia="Arial" w:hAnsi="Arial"/>
          <w:sz w:val="20"/>
          <w:szCs w:val="20"/>
          <w:color w:val="auto"/>
        </w:rPr>
        <w:t>. Subject to the provisions of</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auto"/>
        </w:rPr>
        <w:t>Section 8</w:t>
      </w:r>
      <w:r>
        <w:rPr>
          <w:rFonts w:ascii="Arial" w:cs="Arial" w:eastAsia="Arial" w:hAnsi="Arial"/>
          <w:sz w:val="20"/>
          <w:szCs w:val="20"/>
          <w:color w:val="auto"/>
        </w:rPr>
        <w:t>, the Executive’s employment by the Company under this Agreement</w:t>
      </w:r>
      <w:r>
        <w:rPr>
          <w:rFonts w:ascii="Arial" w:cs="Arial" w:eastAsia="Arial" w:hAnsi="Arial"/>
          <w:sz w:val="20"/>
          <w:szCs w:val="20"/>
          <w:b w:val="1"/>
          <w:bCs w:val="1"/>
          <w:color w:val="auto"/>
        </w:rPr>
        <w:t xml:space="preserve"> </w:t>
      </w:r>
      <w:r>
        <w:rPr>
          <w:rFonts w:ascii="Arial" w:cs="Arial" w:eastAsia="Arial" w:hAnsi="Arial"/>
          <w:sz w:val="20"/>
          <w:szCs w:val="20"/>
          <w:color w:val="auto"/>
        </w:rPr>
        <w:t>commenced on March 12, 2019, (the “</w:t>
      </w:r>
      <w:r>
        <w:rPr>
          <w:rFonts w:ascii="Arial" w:cs="Arial" w:eastAsia="Arial" w:hAnsi="Arial"/>
          <w:sz w:val="20"/>
          <w:szCs w:val="20"/>
          <w:u w:val="single" w:color="auto"/>
          <w:color w:val="auto"/>
        </w:rPr>
        <w:t>Effective Date</w:t>
      </w:r>
      <w:r>
        <w:rPr>
          <w:rFonts w:ascii="Arial" w:cs="Arial" w:eastAsia="Arial" w:hAnsi="Arial"/>
          <w:sz w:val="20"/>
          <w:szCs w:val="20"/>
          <w:color w:val="auto"/>
        </w:rPr>
        <w:t>”) and shall end on December 31, 2024 (the “</w:t>
      </w:r>
      <w:r>
        <w:rPr>
          <w:rFonts w:ascii="Arial" w:cs="Arial" w:eastAsia="Arial" w:hAnsi="Arial"/>
          <w:sz w:val="20"/>
          <w:szCs w:val="20"/>
          <w:u w:val="single" w:color="auto"/>
          <w:color w:val="auto"/>
        </w:rPr>
        <w:t>Term</w:t>
      </w:r>
      <w:r>
        <w:rPr>
          <w:rFonts w:ascii="Arial" w:cs="Arial" w:eastAsia="Arial" w:hAnsi="Arial"/>
          <w:sz w:val="20"/>
          <w:szCs w:val="20"/>
          <w:color w:val="auto"/>
        </w:rPr>
        <w:t xml:space="preserve">”). Unless terminated earlier pursuant to </w:t>
      </w:r>
      <w:r>
        <w:rPr>
          <w:rFonts w:ascii="Arial" w:cs="Arial" w:eastAsia="Arial" w:hAnsi="Arial"/>
          <w:sz w:val="20"/>
          <w:szCs w:val="20"/>
          <w:u w:val="single" w:color="auto"/>
          <w:color w:val="auto"/>
        </w:rPr>
        <w:t>Section 8</w:t>
      </w:r>
      <w:r>
        <w:rPr>
          <w:rFonts w:ascii="Arial" w:cs="Arial" w:eastAsia="Arial" w:hAnsi="Arial"/>
          <w:sz w:val="20"/>
          <w:szCs w:val="20"/>
          <w:color w:val="auto"/>
        </w:rPr>
        <w:t xml:space="preserve">, the Term shall be automatically extended for one year on December 31, 2024, and then on each succeeding anniversary of December 31, 2024, unless either party elects, in writing, to terminate this Agreement at least thirty (30) days prior to the expiration of the then current Term. In the event that the Company declines to extend the Term of this Agreement and the Executive’s employment is terminated, the Executive’s termination shall be treated as a termination Without Cause and the Executive shall receive Accrued Benefits through the date of the Executive’s termination and Severance Benefits in accordance with the terms of </w:t>
      </w:r>
      <w:r>
        <w:rPr>
          <w:rFonts w:ascii="Arial" w:cs="Arial" w:eastAsia="Arial" w:hAnsi="Arial"/>
          <w:sz w:val="20"/>
          <w:szCs w:val="20"/>
          <w:u w:val="single" w:color="auto"/>
          <w:color w:val="auto"/>
        </w:rPr>
        <w:t>Section 8(f)</w:t>
      </w:r>
      <w:r>
        <w:rPr>
          <w:rFonts w:ascii="Arial" w:cs="Arial" w:eastAsia="Arial" w:hAnsi="Arial"/>
          <w:sz w:val="20"/>
          <w:szCs w:val="20"/>
          <w:color w:val="auto"/>
        </w:rPr>
        <w:t>, provided, however, that the Executive is willing and able to execute such extension and to continue performing services under this Agreement.</w:t>
      </w:r>
    </w:p>
    <w:p>
      <w:pPr>
        <w:spacing w:after="0" w:line="194" w:lineRule="exact"/>
        <w:rPr>
          <w:rFonts w:ascii="Arial" w:cs="Arial" w:eastAsia="Arial" w:hAnsi="Arial"/>
          <w:sz w:val="20"/>
          <w:szCs w:val="20"/>
          <w:color w:val="auto"/>
        </w:rPr>
      </w:pPr>
    </w:p>
    <w:p>
      <w:pPr>
        <w:jc w:val="both"/>
        <w:ind w:left="340" w:hanging="332"/>
        <w:spacing w:after="0" w:line="259" w:lineRule="auto"/>
        <w:tabs>
          <w:tab w:leader="none" w:pos="340" w:val="left"/>
        </w:tabs>
        <w:numPr>
          <w:ilvl w:val="0"/>
          <w:numId w:val="76"/>
        </w:numPr>
        <w:rPr>
          <w:rFonts w:ascii="Arial" w:cs="Arial" w:eastAsia="Arial" w:hAnsi="Arial"/>
          <w:sz w:val="19"/>
          <w:szCs w:val="19"/>
          <w:color w:val="auto"/>
        </w:rPr>
      </w:pPr>
      <w:r>
        <w:rPr>
          <w:rFonts w:ascii="Arial" w:cs="Arial" w:eastAsia="Arial" w:hAnsi="Arial"/>
          <w:sz w:val="19"/>
          <w:szCs w:val="19"/>
          <w:b w:val="1"/>
          <w:bCs w:val="1"/>
          <w:color w:val="auto"/>
        </w:rPr>
        <w:t>Duties</w:t>
      </w:r>
      <w:r>
        <w:rPr>
          <w:rFonts w:ascii="Arial" w:cs="Arial" w:eastAsia="Arial" w:hAnsi="Arial"/>
          <w:sz w:val="19"/>
          <w:szCs w:val="19"/>
          <w:color w:val="auto"/>
        </w:rPr>
        <w:t>. During the Executive’s employment, the Executive shall have all the power, authority and responsibilities customarily related to</w:t>
      </w:r>
      <w:r>
        <w:rPr>
          <w:rFonts w:ascii="Arial" w:cs="Arial" w:eastAsia="Arial" w:hAnsi="Arial"/>
          <w:sz w:val="19"/>
          <w:szCs w:val="19"/>
          <w:b w:val="1"/>
          <w:bCs w:val="1"/>
          <w:color w:val="auto"/>
        </w:rPr>
        <w:t xml:space="preserve"> </w:t>
      </w:r>
      <w:r>
        <w:rPr>
          <w:rFonts w:ascii="Arial" w:cs="Arial" w:eastAsia="Arial" w:hAnsi="Arial"/>
          <w:sz w:val="19"/>
          <w:szCs w:val="19"/>
          <w:color w:val="auto"/>
        </w:rPr>
        <w:t>the Executive’s position as Chief Financial Officer of the Company and as may be assigned by and under the direction and control of the Board of Directors of the Company (the “</w:t>
      </w:r>
      <w:r>
        <w:rPr>
          <w:rFonts w:ascii="Arial" w:cs="Arial" w:eastAsia="Arial" w:hAnsi="Arial"/>
          <w:sz w:val="19"/>
          <w:szCs w:val="19"/>
          <w:u w:val="single" w:color="auto"/>
          <w:color w:val="auto"/>
        </w:rPr>
        <w:t>Board</w:t>
      </w:r>
      <w:r>
        <w:rPr>
          <w:rFonts w:ascii="Arial" w:cs="Arial" w:eastAsia="Arial" w:hAnsi="Arial"/>
          <w:sz w:val="19"/>
          <w:szCs w:val="19"/>
          <w:color w:val="auto"/>
        </w:rPr>
        <w:t>”). During the Term, the Executive shall not engage in any other business activity that would materially interfere with the Executive’s responsibilities or performance of duties under this Agreement, unless approved by the Board. Notwithstanding the foregoing, nothing herein shall prohibit the Executive from (i) subject to prior approval of the Board, accepting directorships unrelated to the Company that do not give rise to any conflicts of interest with the Company or its Affiliates, (ii) engaging in charitable and civic activities, so long as such outside interests do not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240"/>
          </w:cols>
          <w:pgMar w:left="320" w:top="126" w:right="339" w:bottom="1440" w:gutter="0" w:footer="0" w:header="0"/>
        </w:sectPr>
      </w:pPr>
    </w:p>
    <w:bookmarkStart w:id="98" w:name="page99"/>
    <w:bookmarkEnd w:id="98"/>
    <w:p>
      <w:pPr>
        <w:jc w:val="center"/>
        <w:ind w:right="20"/>
        <w:spacing w:after="0"/>
        <w:rPr>
          <w:sz w:val="20"/>
          <w:szCs w:val="20"/>
          <w:color w:val="auto"/>
        </w:rPr>
      </w:pPr>
      <w:r>
        <w:rPr>
          <w:rFonts w:ascii="Arial" w:cs="Arial" w:eastAsia="Arial" w:hAnsi="Arial"/>
          <w:sz w:val="19"/>
          <w:szCs w:val="19"/>
          <w:color w:val="auto"/>
        </w:rPr>
        <w:t xml:space="preserve">interfere with the performance of Executive’s duties hereunder, or (iii) engaging in activities expressly permitted by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hereto.</w:t>
      </w:r>
    </w:p>
    <w:p>
      <w:pPr>
        <w:spacing w:after="0" w:line="221" w:lineRule="exact"/>
        <w:rPr>
          <w:sz w:val="20"/>
          <w:szCs w:val="20"/>
          <w:color w:val="auto"/>
        </w:rPr>
      </w:pPr>
    </w:p>
    <w:p>
      <w:pPr>
        <w:ind w:left="340" w:hanging="332"/>
        <w:spacing w:after="0"/>
        <w:tabs>
          <w:tab w:leader="none" w:pos="340" w:val="left"/>
        </w:tabs>
        <w:numPr>
          <w:ilvl w:val="0"/>
          <w:numId w:val="77"/>
        </w:numPr>
        <w:rPr>
          <w:rFonts w:ascii="Arial" w:cs="Arial" w:eastAsia="Arial" w:hAnsi="Arial"/>
          <w:sz w:val="20"/>
          <w:szCs w:val="20"/>
          <w:color w:val="auto"/>
        </w:rPr>
      </w:pPr>
      <w:r>
        <w:rPr>
          <w:rFonts w:ascii="Arial" w:cs="Arial" w:eastAsia="Arial" w:hAnsi="Arial"/>
          <w:sz w:val="20"/>
          <w:szCs w:val="20"/>
          <w:b w:val="1"/>
          <w:bCs w:val="1"/>
          <w:color w:val="auto"/>
        </w:rPr>
        <w:t>Compensation</w:t>
      </w:r>
      <w:r>
        <w:rPr>
          <w:rFonts w:ascii="Arial" w:cs="Arial" w:eastAsia="Arial" w:hAnsi="Arial"/>
          <w:sz w:val="20"/>
          <w:szCs w:val="20"/>
          <w:color w:val="auto"/>
        </w:rPr>
        <w:t>.</w:t>
      </w:r>
    </w:p>
    <w:p>
      <w:pPr>
        <w:spacing w:after="0" w:line="221" w:lineRule="exact"/>
        <w:rPr>
          <w:rFonts w:ascii="Arial" w:cs="Arial" w:eastAsia="Arial" w:hAnsi="Arial"/>
          <w:sz w:val="20"/>
          <w:szCs w:val="20"/>
          <w:color w:val="auto"/>
        </w:rPr>
      </w:pPr>
    </w:p>
    <w:p>
      <w:pPr>
        <w:jc w:val="both"/>
        <w:ind w:left="660" w:hanging="393"/>
        <w:spacing w:after="0" w:line="243" w:lineRule="auto"/>
        <w:tabs>
          <w:tab w:leader="none" w:pos="651" w:val="left"/>
        </w:tabs>
        <w:numPr>
          <w:ilvl w:val="2"/>
          <w:numId w:val="77"/>
        </w:numPr>
        <w:rPr>
          <w:rFonts w:ascii="Arial" w:cs="Arial" w:eastAsia="Arial" w:hAnsi="Arial"/>
          <w:sz w:val="20"/>
          <w:szCs w:val="20"/>
          <w:color w:val="auto"/>
        </w:rPr>
      </w:pPr>
      <w:r>
        <w:rPr>
          <w:rFonts w:ascii="Arial" w:cs="Arial" w:eastAsia="Arial" w:hAnsi="Arial"/>
          <w:sz w:val="20"/>
          <w:szCs w:val="20"/>
          <w:u w:val="single" w:color="auto"/>
          <w:color w:val="auto"/>
        </w:rPr>
        <w:t>Base Salary</w:t>
      </w:r>
      <w:r>
        <w:rPr>
          <w:rFonts w:ascii="Arial" w:cs="Arial" w:eastAsia="Arial" w:hAnsi="Arial"/>
          <w:sz w:val="20"/>
          <w:szCs w:val="20"/>
          <w:color w:val="auto"/>
        </w:rPr>
        <w:t>. During the Term, the Executive shall be compensated for the Executive’s services at an initial annual rate of base salary of four hundred fifty thousand dollars ($450,000), which may be reviewed and increased (but not decreased) on an annual basis by the Board in its sole discretion, payable in accordance with the Company’s regular payroll schedule (the “</w:t>
      </w:r>
      <w:r>
        <w:rPr>
          <w:rFonts w:ascii="Arial" w:cs="Arial" w:eastAsia="Arial" w:hAnsi="Arial"/>
          <w:sz w:val="20"/>
          <w:szCs w:val="20"/>
          <w:u w:val="single" w:color="auto"/>
          <w:color w:val="auto"/>
        </w:rPr>
        <w:t>Base Salary</w:t>
      </w:r>
      <w:r>
        <w:rPr>
          <w:rFonts w:ascii="Arial" w:cs="Arial" w:eastAsia="Arial" w:hAnsi="Arial"/>
          <w:sz w:val="20"/>
          <w:szCs w:val="20"/>
          <w:color w:val="auto"/>
        </w:rPr>
        <w:t>”). All payments made to or on behalf of the Executive under the terms of this Agreement, including all payments of Base Salary and any bonuses, shall be subject to all withholding required by law (such as income and payroll taxes) and such additional withholding as may be agreed upon by the Executive.</w:t>
      </w:r>
    </w:p>
    <w:p>
      <w:pPr>
        <w:spacing w:after="0" w:line="195" w:lineRule="exact"/>
        <w:rPr>
          <w:rFonts w:ascii="Arial" w:cs="Arial" w:eastAsia="Arial" w:hAnsi="Arial"/>
          <w:sz w:val="20"/>
          <w:szCs w:val="20"/>
          <w:color w:val="auto"/>
        </w:rPr>
      </w:pPr>
    </w:p>
    <w:p>
      <w:pPr>
        <w:jc w:val="both"/>
        <w:ind w:left="660" w:hanging="393"/>
        <w:spacing w:after="0" w:line="257" w:lineRule="auto"/>
        <w:tabs>
          <w:tab w:leader="none" w:pos="649" w:val="left"/>
        </w:tabs>
        <w:numPr>
          <w:ilvl w:val="2"/>
          <w:numId w:val="77"/>
        </w:numPr>
        <w:rPr>
          <w:rFonts w:ascii="Arial" w:cs="Arial" w:eastAsia="Arial" w:hAnsi="Arial"/>
          <w:sz w:val="19"/>
          <w:szCs w:val="19"/>
          <w:color w:val="auto"/>
        </w:rPr>
      </w:pPr>
      <w:r>
        <w:rPr>
          <w:rFonts w:ascii="Arial" w:cs="Arial" w:eastAsia="Arial" w:hAnsi="Arial"/>
          <w:sz w:val="19"/>
          <w:szCs w:val="19"/>
          <w:u w:val="single" w:color="auto"/>
          <w:color w:val="auto"/>
        </w:rPr>
        <w:t>Annual Bonus Arrangements</w:t>
      </w:r>
      <w:r>
        <w:rPr>
          <w:rFonts w:ascii="Arial" w:cs="Arial" w:eastAsia="Arial" w:hAnsi="Arial"/>
          <w:sz w:val="19"/>
          <w:szCs w:val="19"/>
          <w:color w:val="auto"/>
        </w:rPr>
        <w:t>. The Executive will be eligible to receive annual bonus payments up to seventy percent (70%) of the Executive’s then-effective Base Salary, payable in amounts and at such times as determined in good faith by the Board, based on meeting Company performance objectives, performance goals, and other objectives as mutually agreed upon by the Board and the Executive, and as may be amended from time to time (the “</w:t>
      </w:r>
      <w:r>
        <w:rPr>
          <w:rFonts w:ascii="Arial" w:cs="Arial" w:eastAsia="Arial" w:hAnsi="Arial"/>
          <w:sz w:val="19"/>
          <w:szCs w:val="19"/>
          <w:u w:val="single" w:color="auto"/>
          <w:color w:val="auto"/>
        </w:rPr>
        <w:t>Annual Bonus</w:t>
      </w:r>
      <w:r>
        <w:rPr>
          <w:rFonts w:ascii="Arial" w:cs="Arial" w:eastAsia="Arial" w:hAnsi="Arial"/>
          <w:sz w:val="19"/>
          <w:szCs w:val="19"/>
          <w:color w:val="auto"/>
        </w:rPr>
        <w:t>”). The Executive must remain employed by the Company through the date on which the Annual Bonus is earned, which is December 31 of each year, whether or not the Executive remains employed by the Company on the date the bonus is actually payable. Notwithstanding the foregoing, in the event that the Executive is terminated for Cause (as defined below) prior to the payment of any Annual Bonus, the Executive shall not be entitled to the payment of such Annual Bonus.</w:t>
      </w:r>
    </w:p>
    <w:p>
      <w:pPr>
        <w:spacing w:after="0" w:line="180" w:lineRule="exact"/>
        <w:rPr>
          <w:rFonts w:ascii="Arial" w:cs="Arial" w:eastAsia="Arial" w:hAnsi="Arial"/>
          <w:sz w:val="19"/>
          <w:szCs w:val="19"/>
          <w:color w:val="auto"/>
        </w:rPr>
      </w:pPr>
    </w:p>
    <w:p>
      <w:pPr>
        <w:jc w:val="both"/>
        <w:ind w:left="660" w:hanging="409"/>
        <w:spacing w:after="0" w:line="243" w:lineRule="auto"/>
        <w:tabs>
          <w:tab w:leader="none" w:pos="649" w:val="left"/>
        </w:tabs>
        <w:numPr>
          <w:ilvl w:val="1"/>
          <w:numId w:val="77"/>
        </w:numPr>
        <w:rPr>
          <w:rFonts w:ascii="Arial" w:cs="Arial" w:eastAsia="Arial" w:hAnsi="Arial"/>
          <w:sz w:val="20"/>
          <w:szCs w:val="20"/>
          <w:color w:val="auto"/>
        </w:rPr>
      </w:pPr>
      <w:r>
        <w:rPr>
          <w:rFonts w:ascii="Arial" w:cs="Arial" w:eastAsia="Arial" w:hAnsi="Arial"/>
          <w:sz w:val="20"/>
          <w:szCs w:val="20"/>
          <w:u w:val="single" w:color="auto"/>
          <w:color w:val="auto"/>
        </w:rPr>
        <w:t>Additional Bonus</w:t>
      </w:r>
      <w:r>
        <w:rPr>
          <w:rFonts w:ascii="Arial" w:cs="Arial" w:eastAsia="Arial" w:hAnsi="Arial"/>
          <w:sz w:val="20"/>
          <w:szCs w:val="20"/>
          <w:color w:val="auto"/>
        </w:rPr>
        <w:t>. The Executive will be eligible to receive an additional bonus in excess of the Annual Bonus (the “</w:t>
      </w:r>
      <w:r>
        <w:rPr>
          <w:rFonts w:ascii="Arial" w:cs="Arial" w:eastAsia="Arial" w:hAnsi="Arial"/>
          <w:sz w:val="20"/>
          <w:szCs w:val="20"/>
          <w:u w:val="single" w:color="auto"/>
          <w:color w:val="auto"/>
        </w:rPr>
        <w:t>Additional</w:t>
      </w:r>
      <w:r>
        <w:rPr>
          <w:rFonts w:ascii="Arial" w:cs="Arial" w:eastAsia="Arial" w:hAnsi="Arial"/>
          <w:sz w:val="20"/>
          <w:szCs w:val="20"/>
          <w:color w:val="auto"/>
        </w:rPr>
        <w:t xml:space="preserve"> </w:t>
      </w:r>
      <w:r>
        <w:rPr>
          <w:rFonts w:ascii="Arial" w:cs="Arial" w:eastAsia="Arial" w:hAnsi="Arial"/>
          <w:sz w:val="20"/>
          <w:szCs w:val="20"/>
          <w:u w:val="single" w:color="auto"/>
          <w:color w:val="auto"/>
        </w:rPr>
        <w:t>Bonus</w:t>
      </w:r>
      <w:r>
        <w:rPr>
          <w:rFonts w:ascii="Arial" w:cs="Arial" w:eastAsia="Arial" w:hAnsi="Arial"/>
          <w:sz w:val="20"/>
          <w:szCs w:val="20"/>
          <w:color w:val="auto"/>
        </w:rPr>
        <w:t>”) as determined by the Compensation Committee of the Board in its sole discretion, provided that the Executive will use one hundred percent (100%) of the Net Amount (defined below) to purchase shares of common stock of the Company in accordance with Company policies and procedures and applicable law. The “</w:t>
      </w:r>
      <w:r>
        <w:rPr>
          <w:rFonts w:ascii="Arial" w:cs="Arial" w:eastAsia="Arial" w:hAnsi="Arial"/>
          <w:sz w:val="20"/>
          <w:szCs w:val="20"/>
          <w:u w:val="single" w:color="auto"/>
          <w:color w:val="auto"/>
        </w:rPr>
        <w:t>Net Amount</w:t>
      </w:r>
      <w:r>
        <w:rPr>
          <w:rFonts w:ascii="Arial" w:cs="Arial" w:eastAsia="Arial" w:hAnsi="Arial"/>
          <w:sz w:val="20"/>
          <w:szCs w:val="20"/>
          <w:color w:val="auto"/>
        </w:rPr>
        <w:t>” means the gross amount of the Additional Bonus less all withholding required by law (such as income and payroll taxes) and such additional withholding as may be agreed upon by the Executive.</w:t>
      </w:r>
    </w:p>
    <w:p>
      <w:pPr>
        <w:spacing w:after="0" w:line="222" w:lineRule="exact"/>
        <w:rPr>
          <w:rFonts w:ascii="Arial" w:cs="Arial" w:eastAsia="Arial" w:hAnsi="Arial"/>
          <w:sz w:val="20"/>
          <w:szCs w:val="20"/>
          <w:color w:val="auto"/>
        </w:rPr>
      </w:pPr>
    </w:p>
    <w:p>
      <w:pPr>
        <w:ind w:left="660" w:hanging="393"/>
        <w:spacing w:after="0" w:line="260" w:lineRule="auto"/>
        <w:tabs>
          <w:tab w:leader="none" w:pos="649" w:val="left"/>
        </w:tabs>
        <w:numPr>
          <w:ilvl w:val="2"/>
          <w:numId w:val="78"/>
        </w:numPr>
        <w:rPr>
          <w:rFonts w:ascii="Arial" w:cs="Arial" w:eastAsia="Arial" w:hAnsi="Arial"/>
          <w:sz w:val="20"/>
          <w:szCs w:val="20"/>
          <w:color w:val="auto"/>
        </w:rPr>
      </w:pPr>
      <w:r>
        <w:rPr>
          <w:rFonts w:ascii="Arial" w:cs="Arial" w:eastAsia="Arial" w:hAnsi="Arial"/>
          <w:sz w:val="20"/>
          <w:szCs w:val="20"/>
          <w:u w:val="single" w:color="auto"/>
          <w:color w:val="auto"/>
        </w:rPr>
        <w:t>Equity</w:t>
      </w:r>
      <w:r>
        <w:rPr>
          <w:rFonts w:ascii="Arial" w:cs="Arial" w:eastAsia="Arial" w:hAnsi="Arial"/>
          <w:sz w:val="20"/>
          <w:szCs w:val="20"/>
          <w:color w:val="auto"/>
        </w:rPr>
        <w:t>. The Executive shall, in the Company’s sole discretion, be eligible to receive awards of equity in accordance with the terms and conditions set forth in the applicable equity incentive plan and equity award agreement.</w:t>
      </w:r>
    </w:p>
    <w:p>
      <w:pPr>
        <w:spacing w:after="0" w:line="203" w:lineRule="exact"/>
        <w:rPr>
          <w:rFonts w:ascii="Arial" w:cs="Arial" w:eastAsia="Arial" w:hAnsi="Arial"/>
          <w:sz w:val="20"/>
          <w:szCs w:val="20"/>
          <w:color w:val="auto"/>
        </w:rPr>
      </w:pPr>
    </w:p>
    <w:p>
      <w:pPr>
        <w:jc w:val="both"/>
        <w:ind w:left="660" w:hanging="393"/>
        <w:spacing w:after="0" w:line="238" w:lineRule="auto"/>
        <w:tabs>
          <w:tab w:leader="none" w:pos="651" w:val="left"/>
        </w:tabs>
        <w:numPr>
          <w:ilvl w:val="2"/>
          <w:numId w:val="78"/>
        </w:numPr>
        <w:rPr>
          <w:rFonts w:ascii="Arial" w:cs="Arial" w:eastAsia="Arial" w:hAnsi="Arial"/>
          <w:sz w:val="22"/>
          <w:szCs w:val="22"/>
          <w:color w:val="auto"/>
        </w:rPr>
      </w:pPr>
      <w:r>
        <w:rPr>
          <w:rFonts w:ascii="Arial" w:cs="Arial" w:eastAsia="Arial" w:hAnsi="Arial"/>
          <w:sz w:val="20"/>
          <w:szCs w:val="20"/>
          <w:u w:val="single" w:color="auto"/>
          <w:color w:val="auto"/>
        </w:rPr>
        <w:t>Sign-On Bonus</w:t>
      </w:r>
      <w:r>
        <w:rPr>
          <w:rFonts w:ascii="Arial" w:cs="Arial" w:eastAsia="Arial" w:hAnsi="Arial"/>
          <w:sz w:val="20"/>
          <w:szCs w:val="20"/>
          <w:color w:val="auto"/>
        </w:rPr>
        <w:t>. The Executive acknowledges that the Executive received a sign-on bonus equal to one hundred thousand dollars ($100,000) under the Prior Employment Agreement (the “</w:t>
      </w:r>
      <w:r>
        <w:rPr>
          <w:rFonts w:ascii="Arial" w:cs="Arial" w:eastAsia="Arial" w:hAnsi="Arial"/>
          <w:sz w:val="20"/>
          <w:szCs w:val="20"/>
          <w:u w:val="single" w:color="auto"/>
          <w:color w:val="auto"/>
        </w:rPr>
        <w:t>Sign-On Bonus</w:t>
      </w:r>
      <w:r>
        <w:rPr>
          <w:rFonts w:ascii="Arial" w:cs="Arial" w:eastAsia="Arial" w:hAnsi="Arial"/>
          <w:sz w:val="20"/>
          <w:szCs w:val="20"/>
          <w:color w:val="auto"/>
        </w:rPr>
        <w:t>”) and agrees that no further payment of the Sign-On Bonus is owed to the Executive.</w:t>
      </w:r>
    </w:p>
    <w:p>
      <w:pPr>
        <w:spacing w:after="0" w:line="192" w:lineRule="exact"/>
        <w:rPr>
          <w:sz w:val="20"/>
          <w:szCs w:val="20"/>
          <w:color w:val="auto"/>
        </w:rPr>
      </w:pPr>
    </w:p>
    <w:p>
      <w:pPr>
        <w:ind w:left="340" w:hanging="332"/>
        <w:spacing w:after="0"/>
        <w:tabs>
          <w:tab w:leader="none" w:pos="340" w:val="left"/>
        </w:tabs>
        <w:numPr>
          <w:ilvl w:val="0"/>
          <w:numId w:val="79"/>
        </w:numPr>
        <w:rPr>
          <w:rFonts w:ascii="Arial" w:cs="Arial" w:eastAsia="Arial" w:hAnsi="Arial"/>
          <w:sz w:val="20"/>
          <w:szCs w:val="20"/>
          <w:color w:val="auto"/>
        </w:rPr>
      </w:pPr>
      <w:r>
        <w:rPr>
          <w:rFonts w:ascii="Arial" w:cs="Arial" w:eastAsia="Arial" w:hAnsi="Arial"/>
          <w:sz w:val="20"/>
          <w:szCs w:val="20"/>
          <w:b w:val="1"/>
          <w:bCs w:val="1"/>
          <w:color w:val="auto"/>
        </w:rPr>
        <w:t>Benefits.</w:t>
      </w:r>
    </w:p>
    <w:p>
      <w:pPr>
        <w:spacing w:after="0" w:line="221" w:lineRule="exact"/>
        <w:rPr>
          <w:rFonts w:ascii="Arial" w:cs="Arial" w:eastAsia="Arial" w:hAnsi="Arial"/>
          <w:sz w:val="20"/>
          <w:szCs w:val="20"/>
          <w:color w:val="auto"/>
        </w:rPr>
      </w:pPr>
    </w:p>
    <w:p>
      <w:pPr>
        <w:jc w:val="both"/>
        <w:ind w:left="660" w:hanging="393"/>
        <w:spacing w:after="0" w:line="291" w:lineRule="auto"/>
        <w:tabs>
          <w:tab w:leader="none" w:pos="651" w:val="left"/>
        </w:tabs>
        <w:numPr>
          <w:ilvl w:val="1"/>
          <w:numId w:val="79"/>
        </w:numPr>
        <w:rPr>
          <w:rFonts w:ascii="Arial" w:cs="Arial" w:eastAsia="Arial" w:hAnsi="Arial"/>
          <w:sz w:val="18"/>
          <w:szCs w:val="18"/>
          <w:color w:val="auto"/>
        </w:rPr>
      </w:pPr>
      <w:r>
        <w:rPr>
          <w:rFonts w:ascii="Arial" w:cs="Arial" w:eastAsia="Arial" w:hAnsi="Arial"/>
          <w:sz w:val="18"/>
          <w:szCs w:val="18"/>
          <w:u w:val="single" w:color="auto"/>
          <w:color w:val="auto"/>
        </w:rPr>
        <w:t>Employee Benefits</w:t>
      </w:r>
      <w:r>
        <w:rPr>
          <w:rFonts w:ascii="Arial" w:cs="Arial" w:eastAsia="Arial" w:hAnsi="Arial"/>
          <w:sz w:val="18"/>
          <w:szCs w:val="18"/>
          <w:color w:val="auto"/>
        </w:rPr>
        <w:t>. During the Term, the Company will provide the Executive the highest level and most favored nation employee benefits coverage including life, health accident insurance and disability programs) provided by the Company. Such participation shall be subject to the terms of the applicable plan documents and policies generally applicable to Company employees,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419" w:right="339" w:bottom="1440" w:gutter="0" w:footer="0" w:header="0"/>
        </w:sectPr>
      </w:pPr>
    </w:p>
    <w:bookmarkStart w:id="99" w:name="page100"/>
    <w:bookmarkEnd w:id="99"/>
    <w:p>
      <w:pPr>
        <w:ind w:left="660"/>
        <w:spacing w:after="0"/>
        <w:rPr>
          <w:sz w:val="20"/>
          <w:szCs w:val="20"/>
          <w:color w:val="auto"/>
        </w:rPr>
      </w:pPr>
      <w:r>
        <w:rPr>
          <w:rFonts w:ascii="Arial" w:cs="Arial" w:eastAsia="Arial" w:hAnsi="Arial"/>
          <w:sz w:val="20"/>
          <w:szCs w:val="20"/>
          <w:color w:val="auto"/>
        </w:rPr>
        <w:t>including, without limitation, plan terms or policies relating to employee contributions under any such plans.</w:t>
      </w:r>
    </w:p>
    <w:p>
      <w:pPr>
        <w:spacing w:after="0" w:line="216" w:lineRule="exact"/>
        <w:rPr>
          <w:sz w:val="20"/>
          <w:szCs w:val="20"/>
          <w:color w:val="auto"/>
        </w:rPr>
      </w:pPr>
    </w:p>
    <w:p>
      <w:pPr>
        <w:jc w:val="both"/>
        <w:ind w:left="660" w:hanging="393"/>
        <w:spacing w:after="0" w:line="246" w:lineRule="auto"/>
        <w:tabs>
          <w:tab w:leader="none" w:pos="649" w:val="left"/>
        </w:tabs>
        <w:numPr>
          <w:ilvl w:val="2"/>
          <w:numId w:val="80"/>
        </w:numPr>
        <w:rPr>
          <w:rFonts w:ascii="Arial" w:cs="Arial" w:eastAsia="Arial" w:hAnsi="Arial"/>
          <w:sz w:val="20"/>
          <w:szCs w:val="20"/>
          <w:color w:val="auto"/>
        </w:rPr>
      </w:pPr>
      <w:r>
        <w:rPr>
          <w:rFonts w:ascii="Arial" w:cs="Arial" w:eastAsia="Arial" w:hAnsi="Arial"/>
          <w:sz w:val="20"/>
          <w:szCs w:val="20"/>
          <w:u w:val="single" w:color="auto"/>
          <w:color w:val="auto"/>
        </w:rPr>
        <w:t>Vacation and Sick Leave</w:t>
      </w:r>
      <w:r>
        <w:rPr>
          <w:rFonts w:ascii="Arial" w:cs="Arial" w:eastAsia="Arial" w:hAnsi="Arial"/>
          <w:sz w:val="20"/>
          <w:szCs w:val="20"/>
          <w:color w:val="auto"/>
        </w:rPr>
        <w:t>. The Executive will be entitled to five (5) weeks of paid time off in the form of vacation and sick leave (without taking into account any qualified disability leave offered pursuant to the Company’s disability benefit programs in place from time to time), subject to the terms and conditions of the Company’s policies, procedures, and practices applicable to similarly situated employees and applicable law.</w:t>
      </w:r>
    </w:p>
    <w:p>
      <w:pPr>
        <w:spacing w:after="0" w:line="185" w:lineRule="exact"/>
        <w:rPr>
          <w:rFonts w:ascii="Arial" w:cs="Arial" w:eastAsia="Arial" w:hAnsi="Arial"/>
          <w:sz w:val="20"/>
          <w:szCs w:val="20"/>
          <w:color w:val="auto"/>
        </w:rPr>
      </w:pPr>
    </w:p>
    <w:p>
      <w:pPr>
        <w:jc w:val="both"/>
        <w:ind w:left="340" w:hanging="332"/>
        <w:spacing w:after="0" w:line="253" w:lineRule="auto"/>
        <w:tabs>
          <w:tab w:leader="none" w:pos="340" w:val="left"/>
        </w:tabs>
        <w:numPr>
          <w:ilvl w:val="0"/>
          <w:numId w:val="81"/>
        </w:numPr>
        <w:rPr>
          <w:rFonts w:ascii="Arial" w:cs="Arial" w:eastAsia="Arial" w:hAnsi="Arial"/>
          <w:sz w:val="20"/>
          <w:szCs w:val="20"/>
          <w:color w:val="auto"/>
        </w:rPr>
      </w:pPr>
      <w:r>
        <w:rPr>
          <w:rFonts w:ascii="Arial" w:cs="Arial" w:eastAsia="Arial" w:hAnsi="Arial"/>
          <w:sz w:val="20"/>
          <w:szCs w:val="20"/>
          <w:b w:val="1"/>
          <w:bCs w:val="1"/>
          <w:color w:val="auto"/>
        </w:rPr>
        <w:t xml:space="preserve">Business Expenses. </w:t>
      </w:r>
      <w:r>
        <w:rPr>
          <w:rFonts w:ascii="Arial" w:cs="Arial" w:eastAsia="Arial" w:hAnsi="Arial"/>
          <w:sz w:val="20"/>
          <w:szCs w:val="20"/>
          <w:color w:val="auto"/>
        </w:rPr>
        <w:t>The Executive shall be reimbursed for all reasonable expenses (including, without limitation, travel and lodging</w:t>
      </w:r>
      <w:r>
        <w:rPr>
          <w:rFonts w:ascii="Arial" w:cs="Arial" w:eastAsia="Arial" w:hAnsi="Arial"/>
          <w:sz w:val="20"/>
          <w:szCs w:val="20"/>
          <w:b w:val="1"/>
          <w:bCs w:val="1"/>
          <w:color w:val="auto"/>
        </w:rPr>
        <w:t xml:space="preserve"> </w:t>
      </w:r>
      <w:r>
        <w:rPr>
          <w:rFonts w:ascii="Arial" w:cs="Arial" w:eastAsia="Arial" w:hAnsi="Arial"/>
          <w:sz w:val="20"/>
          <w:szCs w:val="20"/>
          <w:color w:val="auto"/>
        </w:rPr>
        <w:t>expenses) incurred by the Executive during the Term, upon presentation by the Executive of documentation, expense statements, vouchers and/or such other supporting information as the Company may reasonably request.</w:t>
      </w:r>
    </w:p>
    <w:p>
      <w:pPr>
        <w:spacing w:after="0" w:line="177" w:lineRule="exact"/>
        <w:rPr>
          <w:rFonts w:ascii="Arial" w:cs="Arial" w:eastAsia="Arial" w:hAnsi="Arial"/>
          <w:sz w:val="20"/>
          <w:szCs w:val="20"/>
          <w:color w:val="auto"/>
        </w:rPr>
      </w:pPr>
    </w:p>
    <w:p>
      <w:pPr>
        <w:jc w:val="both"/>
        <w:ind w:left="340" w:hanging="332"/>
        <w:spacing w:after="0" w:line="248" w:lineRule="auto"/>
        <w:tabs>
          <w:tab w:leader="none" w:pos="340" w:val="left"/>
        </w:tabs>
        <w:numPr>
          <w:ilvl w:val="0"/>
          <w:numId w:val="81"/>
        </w:numPr>
        <w:rPr>
          <w:rFonts w:ascii="Arial" w:cs="Arial" w:eastAsia="Arial" w:hAnsi="Arial"/>
          <w:sz w:val="20"/>
          <w:szCs w:val="20"/>
          <w:color w:val="auto"/>
        </w:rPr>
      </w:pPr>
      <w:r>
        <w:rPr>
          <w:rFonts w:ascii="Arial" w:cs="Arial" w:eastAsia="Arial" w:hAnsi="Arial"/>
          <w:sz w:val="20"/>
          <w:szCs w:val="20"/>
          <w:b w:val="1"/>
          <w:bCs w:val="1"/>
          <w:color w:val="auto"/>
        </w:rPr>
        <w:t xml:space="preserve">Freedom to Contract. </w:t>
      </w:r>
      <w:r>
        <w:rPr>
          <w:rFonts w:ascii="Arial" w:cs="Arial" w:eastAsia="Arial" w:hAnsi="Arial"/>
          <w:sz w:val="20"/>
          <w:szCs w:val="20"/>
          <w:color w:val="auto"/>
        </w:rPr>
        <w:t>The Executive represents and warrants that the Executive has the right to enter into this Agreement and that the</w:t>
      </w:r>
      <w:r>
        <w:rPr>
          <w:rFonts w:ascii="Arial" w:cs="Arial" w:eastAsia="Arial" w:hAnsi="Arial"/>
          <w:sz w:val="20"/>
          <w:szCs w:val="20"/>
          <w:b w:val="1"/>
          <w:bCs w:val="1"/>
          <w:color w:val="auto"/>
        </w:rPr>
        <w:t xml:space="preserve"> </w:t>
      </w:r>
      <w:r>
        <w:rPr>
          <w:rFonts w:ascii="Arial" w:cs="Arial" w:eastAsia="Arial" w:hAnsi="Arial"/>
          <w:sz w:val="20"/>
          <w:szCs w:val="20"/>
          <w:color w:val="auto"/>
        </w:rPr>
        <w:t>Executive is eligible for employment by the Company. The Executive further agrees to hold the Company and its Affiliates harmless from any and all liability arising out of any contractual obligations entered into by the Executive that would prevent the Executive from performing the services the Executive is required to perform under this Agreement.</w:t>
      </w:r>
    </w:p>
    <w:p>
      <w:pPr>
        <w:spacing w:after="0" w:line="183" w:lineRule="exact"/>
        <w:rPr>
          <w:rFonts w:ascii="Arial" w:cs="Arial" w:eastAsia="Arial" w:hAnsi="Arial"/>
          <w:sz w:val="20"/>
          <w:szCs w:val="20"/>
          <w:color w:val="auto"/>
        </w:rPr>
      </w:pPr>
    </w:p>
    <w:p>
      <w:pPr>
        <w:ind w:left="340" w:hanging="332"/>
        <w:spacing w:after="0" w:line="267" w:lineRule="auto"/>
        <w:tabs>
          <w:tab w:leader="none" w:pos="340" w:val="left"/>
        </w:tabs>
        <w:numPr>
          <w:ilvl w:val="0"/>
          <w:numId w:val="81"/>
        </w:numPr>
        <w:rPr>
          <w:rFonts w:ascii="Arial" w:cs="Arial" w:eastAsia="Arial" w:hAnsi="Arial"/>
          <w:sz w:val="20"/>
          <w:szCs w:val="20"/>
          <w:color w:val="auto"/>
        </w:rPr>
      </w:pPr>
      <w:r>
        <w:rPr>
          <w:rFonts w:ascii="Arial" w:cs="Arial" w:eastAsia="Arial" w:hAnsi="Arial"/>
          <w:sz w:val="20"/>
          <w:szCs w:val="20"/>
          <w:b w:val="1"/>
          <w:bCs w:val="1"/>
          <w:color w:val="auto"/>
        </w:rPr>
        <w:t xml:space="preserve">Termination. </w:t>
      </w:r>
      <w:r>
        <w:rPr>
          <w:rFonts w:ascii="Arial" w:cs="Arial" w:eastAsia="Arial" w:hAnsi="Arial"/>
          <w:sz w:val="20"/>
          <w:szCs w:val="20"/>
          <w:color w:val="auto"/>
        </w:rPr>
        <w:t>Notwithstanding the provisions of</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auto"/>
        </w:rPr>
        <w:t>Section 2</w:t>
      </w:r>
      <w:r>
        <w:rPr>
          <w:rFonts w:ascii="Arial" w:cs="Arial" w:eastAsia="Arial" w:hAnsi="Arial"/>
          <w:sz w:val="20"/>
          <w:szCs w:val="20"/>
          <w:color w:val="auto"/>
        </w:rPr>
        <w:t>, the Executive’s employment under this Agreement and the Term hereunder</w:t>
      </w:r>
      <w:r>
        <w:rPr>
          <w:rFonts w:ascii="Arial" w:cs="Arial" w:eastAsia="Arial" w:hAnsi="Arial"/>
          <w:sz w:val="20"/>
          <w:szCs w:val="20"/>
          <w:b w:val="1"/>
          <w:bCs w:val="1"/>
          <w:color w:val="auto"/>
        </w:rPr>
        <w:t xml:space="preserve"> </w:t>
      </w:r>
      <w:r>
        <w:rPr>
          <w:rFonts w:ascii="Arial" w:cs="Arial" w:eastAsia="Arial" w:hAnsi="Arial"/>
          <w:sz w:val="20"/>
          <w:szCs w:val="20"/>
          <w:color w:val="auto"/>
        </w:rPr>
        <w:t>shall terminate on the earliest of the following dates:</w:t>
      </w:r>
    </w:p>
    <w:p>
      <w:pPr>
        <w:spacing w:after="0" w:line="169" w:lineRule="exact"/>
        <w:rPr>
          <w:rFonts w:ascii="Arial" w:cs="Arial" w:eastAsia="Arial" w:hAnsi="Arial"/>
          <w:sz w:val="20"/>
          <w:szCs w:val="20"/>
          <w:color w:val="auto"/>
        </w:rPr>
      </w:pPr>
    </w:p>
    <w:p>
      <w:pPr>
        <w:jc w:val="both"/>
        <w:ind w:left="660" w:hanging="497"/>
        <w:spacing w:after="0" w:line="270" w:lineRule="auto"/>
        <w:tabs>
          <w:tab w:leader="none" w:pos="649" w:val="left"/>
        </w:tabs>
        <w:numPr>
          <w:ilvl w:val="1"/>
          <w:numId w:val="81"/>
        </w:numPr>
        <w:rPr>
          <w:rFonts w:ascii="Arial" w:cs="Arial" w:eastAsia="Arial" w:hAnsi="Arial"/>
          <w:sz w:val="18"/>
          <w:szCs w:val="18"/>
          <w:color w:val="auto"/>
        </w:rPr>
      </w:pPr>
      <w:r>
        <w:rPr>
          <w:rFonts w:ascii="Arial" w:cs="Arial" w:eastAsia="Arial" w:hAnsi="Arial"/>
          <w:sz w:val="18"/>
          <w:szCs w:val="18"/>
          <w:u w:val="single" w:color="auto"/>
          <w:color w:val="auto"/>
        </w:rPr>
        <w:t>Death</w:t>
      </w:r>
      <w:r>
        <w:rPr>
          <w:rFonts w:ascii="Arial" w:cs="Arial" w:eastAsia="Arial" w:hAnsi="Arial"/>
          <w:sz w:val="18"/>
          <w:szCs w:val="18"/>
          <w:color w:val="auto"/>
        </w:rPr>
        <w:t>. On the date of the Executive’s death. In the event of the death of the Executive, the Company shall pay to the Executive’s legal representatives or named beneficiaries (as designated in a writing delivered to the Company) (the “</w:t>
      </w:r>
      <w:r>
        <w:rPr>
          <w:rFonts w:ascii="Arial" w:cs="Arial" w:eastAsia="Arial" w:hAnsi="Arial"/>
          <w:sz w:val="18"/>
          <w:szCs w:val="18"/>
          <w:u w:val="single" w:color="auto"/>
          <w:color w:val="auto"/>
        </w:rPr>
        <w:t>Estate</w:t>
      </w:r>
      <w:r>
        <w:rPr>
          <w:rFonts w:ascii="Arial" w:cs="Arial" w:eastAsia="Arial" w:hAnsi="Arial"/>
          <w:sz w:val="18"/>
          <w:szCs w:val="18"/>
          <w:color w:val="auto"/>
        </w:rPr>
        <w:t>”) the Executive’s (i) earned but unpaid Base Salary, (ii) any accrued but unpaid paid time off or vacation payable in accordance with applicable Company policy and the terms of this Agreement, (iii) any reimbursable business expenses incurred, but not yet reimbursed to the Executive, and (iv) any benefits earned through the date of the Executive’s termination in accordance with the terms of the applicable benefit plans (collectively, the “</w:t>
      </w:r>
      <w:r>
        <w:rPr>
          <w:rFonts w:ascii="Arial" w:cs="Arial" w:eastAsia="Arial" w:hAnsi="Arial"/>
          <w:sz w:val="18"/>
          <w:szCs w:val="18"/>
          <w:u w:val="single" w:color="auto"/>
          <w:color w:val="auto"/>
        </w:rPr>
        <w:t>Accrued Benefits</w:t>
      </w:r>
      <w:r>
        <w:rPr>
          <w:rFonts w:ascii="Arial" w:cs="Arial" w:eastAsia="Arial" w:hAnsi="Arial"/>
          <w:sz w:val="18"/>
          <w:szCs w:val="18"/>
          <w:color w:val="auto"/>
        </w:rPr>
        <w:t>”). The Accrued Benefits shall be paid by the Company to the Estate within five (5) days of the receipt by the Company of documentation in connection with proof of the Executive’s death, as required by applicable law and reasonably requested by the Company. The Company shall also pay the Estate (i) any unpaid Annual Bonus for the preceding fiscal year and (ii) a pro-rated portion of the Annual Bonus for the current fiscal year based on the number of days that the Executive was employed by the Company for during the year of the Executive’s termination (“</w:t>
      </w:r>
      <w:r>
        <w:rPr>
          <w:rFonts w:ascii="Arial" w:cs="Arial" w:eastAsia="Arial" w:hAnsi="Arial"/>
          <w:sz w:val="18"/>
          <w:szCs w:val="18"/>
          <w:u w:val="single" w:color="auto"/>
          <w:color w:val="auto"/>
        </w:rPr>
        <w:t>Pro-Rated Bonus</w:t>
      </w:r>
      <w:r>
        <w:rPr>
          <w:rFonts w:ascii="Arial" w:cs="Arial" w:eastAsia="Arial" w:hAnsi="Arial"/>
          <w:sz w:val="18"/>
          <w:szCs w:val="18"/>
          <w:color w:val="auto"/>
        </w:rPr>
        <w:t xml:space="preserve">”). Furthermore, notwithstanding anything in the applicable equity incentive plan and/or equity award agreement to the contrary, any unvested portion of any equity awards held by the Executive shall vest in full and become exercisable and free from forfeiture or repurchase, as applicable, as of the effective date of the release as set forth in </w:t>
      </w:r>
      <w:r>
        <w:rPr>
          <w:rFonts w:ascii="Arial" w:cs="Arial" w:eastAsia="Arial" w:hAnsi="Arial"/>
          <w:sz w:val="18"/>
          <w:szCs w:val="18"/>
          <w:u w:val="single" w:color="auto"/>
          <w:color w:val="auto"/>
        </w:rPr>
        <w:t>Section 8(i)</w:t>
      </w:r>
      <w:r>
        <w:rPr>
          <w:rFonts w:ascii="Arial" w:cs="Arial" w:eastAsia="Arial" w:hAnsi="Arial"/>
          <w:sz w:val="18"/>
          <w:szCs w:val="18"/>
          <w:color w:val="auto"/>
        </w:rPr>
        <w:t>.</w:t>
      </w:r>
    </w:p>
    <w:p>
      <w:pPr>
        <w:spacing w:after="0" w:line="199" w:lineRule="exact"/>
        <w:rPr>
          <w:rFonts w:ascii="Arial" w:cs="Arial" w:eastAsia="Arial" w:hAnsi="Arial"/>
          <w:sz w:val="18"/>
          <w:szCs w:val="18"/>
          <w:color w:val="auto"/>
        </w:rPr>
      </w:pPr>
    </w:p>
    <w:p>
      <w:pPr>
        <w:jc w:val="both"/>
        <w:ind w:left="660" w:hanging="567"/>
        <w:spacing w:after="0" w:line="274" w:lineRule="auto"/>
        <w:tabs>
          <w:tab w:leader="none" w:pos="649" w:val="left"/>
        </w:tabs>
        <w:numPr>
          <w:ilvl w:val="1"/>
          <w:numId w:val="81"/>
        </w:numPr>
        <w:rPr>
          <w:rFonts w:ascii="Arial" w:cs="Arial" w:eastAsia="Arial" w:hAnsi="Arial"/>
          <w:sz w:val="19"/>
          <w:szCs w:val="19"/>
          <w:color w:val="auto"/>
        </w:rPr>
      </w:pPr>
      <w:r>
        <w:rPr>
          <w:rFonts w:ascii="Arial" w:cs="Arial" w:eastAsia="Arial" w:hAnsi="Arial"/>
          <w:sz w:val="18"/>
          <w:szCs w:val="18"/>
          <w:u w:val="single" w:color="auto"/>
          <w:color w:val="auto"/>
        </w:rPr>
        <w:t>Disability</w:t>
      </w:r>
      <w:r>
        <w:rPr>
          <w:rFonts w:ascii="Arial" w:cs="Arial" w:eastAsia="Arial" w:hAnsi="Arial"/>
          <w:sz w:val="18"/>
          <w:szCs w:val="18"/>
          <w:color w:val="auto"/>
        </w:rPr>
        <w:t>. On the date specified in a written notice from the Company terminating the Executive’s employment due to Disability, or in the event no date is specified in the notice, on the date on which the notice is delivered to the Executive. For the purposes of this Agreement, “Disability” shall mean that (x) the Executive shall have failed to perform the services contemplated under this Agreement due to a medically determinable physical or mental impairment that can be expected to result in death or can be expected to last for a period of 180 consecutive days, or a total of at least 240 calendar days during any 365-day period, or (y)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40"/>
          </w:cols>
          <w:pgMar w:left="320" w:top="1419" w:right="339" w:bottom="1440" w:gutter="0" w:footer="0" w:header="0"/>
        </w:sectPr>
      </w:pPr>
    </w:p>
    <w:bookmarkStart w:id="100" w:name="page101"/>
    <w:bookmarkEnd w:id="100"/>
    <w:p>
      <w:pPr>
        <w:jc w:val="both"/>
        <w:ind w:left="607"/>
        <w:spacing w:after="0" w:line="256" w:lineRule="auto"/>
        <w:rPr>
          <w:sz w:val="20"/>
          <w:szCs w:val="20"/>
          <w:color w:val="auto"/>
        </w:rPr>
      </w:pPr>
      <w:r>
        <w:rPr>
          <w:rFonts w:ascii="Arial" w:cs="Arial" w:eastAsia="Arial" w:hAnsi="Arial"/>
          <w:sz w:val="19"/>
          <w:szCs w:val="19"/>
          <w:color w:val="auto"/>
        </w:rPr>
        <w:t xml:space="preserve">determination of permanent disability shall have been made by a physician satisfactory to both the Executive and the Company, provided that if the Executive and the Company do not agree on a physician, the Executive and the Company shall each select a physician and these two together shall select a third physician whose determination as to disability shall be binding on both parties. In the event of the termination of the Executive’s employment pursuant to this </w:t>
      </w:r>
      <w:r>
        <w:rPr>
          <w:rFonts w:ascii="Arial" w:cs="Arial" w:eastAsia="Arial" w:hAnsi="Arial"/>
          <w:sz w:val="19"/>
          <w:szCs w:val="19"/>
          <w:u w:val="single" w:color="auto"/>
          <w:color w:val="auto"/>
        </w:rPr>
        <w:t>Section 8(b)</w:t>
      </w:r>
      <w:r>
        <w:rPr>
          <w:rFonts w:ascii="Arial" w:cs="Arial" w:eastAsia="Arial" w:hAnsi="Arial"/>
          <w:sz w:val="19"/>
          <w:szCs w:val="19"/>
          <w:color w:val="auto"/>
        </w:rPr>
        <w:t xml:space="preserve">, the Company shall pay to the Executive the Executive’s Accrued Benefits earned as of the date of the Executive’s termination. The Company shall also pay the Executive (i) any unpaid Annual Bonus for the preceding fiscal year and (ii) the Pro-Rated Bonus. Furthermore, notwithstanding anything in the applicable equity incentive plan and/or equity award agreement to the contrary, any unvested portion of any equity awards held by the Executive shall vest in full and become exercisable and free from forfeiture or repurchase, as applicable, as of the effective date of the release as set forth in </w:t>
      </w:r>
      <w:r>
        <w:rPr>
          <w:rFonts w:ascii="Arial" w:cs="Arial" w:eastAsia="Arial" w:hAnsi="Arial"/>
          <w:sz w:val="19"/>
          <w:szCs w:val="19"/>
          <w:u w:val="single" w:color="auto"/>
          <w:color w:val="auto"/>
        </w:rPr>
        <w:t>Section 8(i)</w:t>
      </w:r>
      <w:r>
        <w:rPr>
          <w:rFonts w:ascii="Arial" w:cs="Arial" w:eastAsia="Arial" w:hAnsi="Arial"/>
          <w:sz w:val="19"/>
          <w:szCs w:val="19"/>
          <w:color w:val="auto"/>
        </w:rPr>
        <w:t>.</w:t>
      </w:r>
    </w:p>
    <w:p>
      <w:pPr>
        <w:spacing w:after="0" w:line="184" w:lineRule="exact"/>
        <w:rPr>
          <w:sz w:val="20"/>
          <w:szCs w:val="20"/>
          <w:color w:val="auto"/>
        </w:rPr>
      </w:pPr>
    </w:p>
    <w:p>
      <w:pPr>
        <w:jc w:val="both"/>
        <w:ind w:left="607" w:hanging="607"/>
        <w:spacing w:after="0" w:line="267" w:lineRule="auto"/>
        <w:tabs>
          <w:tab w:leader="none" w:pos="596" w:val="left"/>
        </w:tabs>
        <w:numPr>
          <w:ilvl w:val="0"/>
          <w:numId w:val="82"/>
        </w:numPr>
        <w:rPr>
          <w:rFonts w:ascii="Arial" w:cs="Arial" w:eastAsia="Arial" w:hAnsi="Arial"/>
          <w:sz w:val="18"/>
          <w:szCs w:val="18"/>
          <w:color w:val="auto"/>
        </w:rPr>
      </w:pPr>
      <w:r>
        <w:rPr>
          <w:rFonts w:ascii="Arial" w:cs="Arial" w:eastAsia="Arial" w:hAnsi="Arial"/>
          <w:sz w:val="18"/>
          <w:szCs w:val="18"/>
          <w:u w:val="single" w:color="auto"/>
          <w:color w:val="auto"/>
        </w:rPr>
        <w:t>For Cause</w:t>
      </w:r>
      <w:r>
        <w:rPr>
          <w:rFonts w:ascii="Arial" w:cs="Arial" w:eastAsia="Arial" w:hAnsi="Arial"/>
          <w:sz w:val="18"/>
          <w:szCs w:val="18"/>
          <w:color w:val="auto"/>
        </w:rPr>
        <w:t xml:space="preserve">. On the date of delivery of a notice from the Company terminating the Executive’s employment for Cause. For purposes of this Agreement, the Company shall have “Cause” to terminate the Executive’s employment hereunder in the event: (i) the Executive shall have willfully failed and continued to fail substantially to perform the duties (other than due to Disability or any failure that the Company anticipated or had reason to anticipate after the issuance by the Executive of a notice of termination) for thirty (30) days after a written demand for performance is delivered to the Executive on behalf of the Company which specifically identifies the manner in which it is alleged that the Executive has not substantially performed her duties, provided that the Company's economic performance or failure to meet any specific projection shall not, in and of itself, constitute “Cause”; (ii) the Executive shall have engaged in (A) any material misappropriation of funds, properties, or assets of the Company, it being understood that “material” for these purposes shall take into account both the amount of funds, properties or assets misappropriated, and the circumstances thereof (including the intent of the Executive in connection therewith); (iii) any malicious damage or destruction of any property or assets of the Company, whether resulting from the Executive's willful actions or omissions or the Executive's gross negligence; (iv) the Executive shall (A) have been convicted of a crime involving moral turpitude or constituting a felony relating to the Company or (B) entered a plea of nolo contendere to any such crime, either of which has had a material adverse effect upon the business of the Company; (v) the Executive shall have (A) materially breached her obligations under </w:t>
      </w:r>
      <w:r>
        <w:rPr>
          <w:rFonts w:ascii="Arial" w:cs="Arial" w:eastAsia="Arial" w:hAnsi="Arial"/>
          <w:sz w:val="18"/>
          <w:szCs w:val="18"/>
          <w:u w:val="single" w:color="auto"/>
          <w:color w:val="auto"/>
        </w:rPr>
        <w:t>Sections 10, 11 and 13</w:t>
      </w:r>
      <w:r>
        <w:rPr>
          <w:rFonts w:ascii="Arial" w:cs="Arial" w:eastAsia="Arial" w:hAnsi="Arial"/>
          <w:sz w:val="18"/>
          <w:szCs w:val="18"/>
          <w:color w:val="auto"/>
        </w:rPr>
        <w:t xml:space="preserve"> hereof or (B) breached any of the other material provisions of this Agreement and such breach shall remain uncured by the Executive within 30 days following receipt of notice from the Company specifying such breach; and/or (vi) (AA) the Executive is sanctioned by a federal or state government or agency with material violations, provided that such violations are willful and knowing violations on the Executive’s part, of federal or state securities laws relating to the Company and for which the Executive is directly responsible, or</w:t>
      </w:r>
    </w:p>
    <w:p>
      <w:pPr>
        <w:spacing w:after="0" w:line="2" w:lineRule="exact"/>
        <w:rPr>
          <w:rFonts w:ascii="Arial" w:cs="Arial" w:eastAsia="Arial" w:hAnsi="Arial"/>
          <w:sz w:val="18"/>
          <w:szCs w:val="18"/>
          <w:color w:val="auto"/>
        </w:rPr>
      </w:pPr>
    </w:p>
    <w:p>
      <w:pPr>
        <w:jc w:val="both"/>
        <w:ind w:left="607" w:hanging="4"/>
        <w:spacing w:after="0"/>
        <w:tabs>
          <w:tab w:leader="none" w:pos="1067" w:val="left"/>
        </w:tabs>
        <w:numPr>
          <w:ilvl w:val="1"/>
          <w:numId w:val="82"/>
        </w:numPr>
        <w:rPr>
          <w:rFonts w:ascii="Arial" w:cs="Arial" w:eastAsia="Arial" w:hAnsi="Arial"/>
          <w:sz w:val="20"/>
          <w:szCs w:val="20"/>
          <w:color w:val="auto"/>
        </w:rPr>
      </w:pPr>
      <w:r>
        <w:rPr>
          <w:rFonts w:ascii="Arial" w:cs="Arial" w:eastAsia="Arial" w:hAnsi="Arial"/>
          <w:sz w:val="20"/>
          <w:szCs w:val="20"/>
          <w:color w:val="auto"/>
        </w:rPr>
        <w:t xml:space="preserve">the Executive is found by any court, or by any judicial or administrative process or proceeding, to have committed any such violation, provided that any such violation has had a material adverse effect upon the business of the Company. In the event of the termination of the Executive’s employment for Cause pursuant to this </w:t>
      </w:r>
      <w:r>
        <w:rPr>
          <w:rFonts w:ascii="Arial" w:cs="Arial" w:eastAsia="Arial" w:hAnsi="Arial"/>
          <w:sz w:val="20"/>
          <w:szCs w:val="20"/>
          <w:u w:val="single" w:color="auto"/>
          <w:color w:val="auto"/>
        </w:rPr>
        <w:t>Section 8(c)</w:t>
      </w:r>
      <w:r>
        <w:rPr>
          <w:rFonts w:ascii="Arial" w:cs="Arial" w:eastAsia="Arial" w:hAnsi="Arial"/>
          <w:sz w:val="20"/>
          <w:szCs w:val="20"/>
          <w:color w:val="auto"/>
        </w:rPr>
        <w:t>, the Company shall pay to the Executive Accrued Benefits that had been earned but unpaid as of the date of the termination, and the Executive shall receive no further payments of any kind.</w:t>
      </w:r>
    </w:p>
    <w:p>
      <w:pPr>
        <w:spacing w:after="0" w:line="198" w:lineRule="exact"/>
        <w:rPr>
          <w:sz w:val="20"/>
          <w:szCs w:val="20"/>
          <w:color w:val="auto"/>
        </w:rPr>
      </w:pPr>
    </w:p>
    <w:p>
      <w:pPr>
        <w:jc w:val="both"/>
        <w:ind w:left="607" w:hanging="596"/>
        <w:spacing w:after="0" w:line="250" w:lineRule="auto"/>
        <w:tabs>
          <w:tab w:leader="none" w:pos="583" w:val="left"/>
        </w:tabs>
        <w:numPr>
          <w:ilvl w:val="0"/>
          <w:numId w:val="83"/>
        </w:numPr>
        <w:rPr>
          <w:rFonts w:ascii="Arial" w:cs="Arial" w:eastAsia="Arial" w:hAnsi="Arial"/>
          <w:sz w:val="20"/>
          <w:szCs w:val="20"/>
          <w:color w:val="auto"/>
        </w:rPr>
      </w:pPr>
      <w:r>
        <w:rPr>
          <w:rFonts w:ascii="Arial" w:cs="Arial" w:eastAsia="Arial" w:hAnsi="Arial"/>
          <w:sz w:val="20"/>
          <w:szCs w:val="20"/>
          <w:u w:val="single" w:color="auto"/>
          <w:color w:val="auto"/>
        </w:rPr>
        <w:t>Without Cause</w:t>
      </w:r>
      <w:r>
        <w:rPr>
          <w:rFonts w:ascii="Arial" w:cs="Arial" w:eastAsia="Arial" w:hAnsi="Arial"/>
          <w:sz w:val="20"/>
          <w:szCs w:val="20"/>
          <w:color w:val="auto"/>
        </w:rPr>
        <w:t>. On the date specified in a written notice from the Company terminating the Executive’s employment Without Cause, or in the event no date is specified in the notice, on the date on which the notice is delivered to the Executive, provided that such termination may take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33"/>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187"/>
          </w:cols>
          <w:pgMar w:left="373" w:top="1419" w:right="339" w:bottom="1440" w:gutter="0" w:footer="0" w:header="0"/>
        </w:sectPr>
      </w:pPr>
    </w:p>
    <w:bookmarkStart w:id="101" w:name="page102"/>
    <w:bookmarkEnd w:id="101"/>
    <w:p>
      <w:pPr>
        <w:jc w:val="both"/>
        <w:ind w:left="600"/>
        <w:spacing w:after="0" w:line="243" w:lineRule="auto"/>
        <w:rPr>
          <w:sz w:val="20"/>
          <w:szCs w:val="20"/>
          <w:color w:val="auto"/>
        </w:rPr>
      </w:pPr>
      <w:r>
        <w:rPr>
          <w:rFonts w:ascii="Arial" w:cs="Arial" w:eastAsia="Arial" w:hAnsi="Arial"/>
          <w:sz w:val="20"/>
          <w:szCs w:val="20"/>
          <w:color w:val="auto"/>
        </w:rPr>
        <w:t>place no earlier than thirty (30) days after the Company has provided written notice to the Executive of the Company’s intent to terminate employment. The Company reserves the right to provide payment at the Executive’s then-current Base Salary in lieu of all or any portion of such notice period. For purposes of this Agreement, “</w:t>
      </w:r>
      <w:r>
        <w:rPr>
          <w:rFonts w:ascii="Arial" w:cs="Arial" w:eastAsia="Arial" w:hAnsi="Arial"/>
          <w:sz w:val="20"/>
          <w:szCs w:val="20"/>
          <w:u w:val="single" w:color="auto"/>
          <w:color w:val="auto"/>
        </w:rPr>
        <w:t>Without Cause</w:t>
      </w:r>
      <w:r>
        <w:rPr>
          <w:rFonts w:ascii="Arial" w:cs="Arial" w:eastAsia="Arial" w:hAnsi="Arial"/>
          <w:sz w:val="20"/>
          <w:szCs w:val="20"/>
          <w:color w:val="auto"/>
        </w:rPr>
        <w:t xml:space="preserve">” shall mean any reason for the Company’s decision to terminate the Executive’s employment other than by reason of the Executive’s death, Disability, or for Cause, as provided in subsections (a) through (c) above. In the event of the termination of the Executive’s employment Without Cause pursuant to this </w:t>
      </w:r>
      <w:r>
        <w:rPr>
          <w:rFonts w:ascii="Arial" w:cs="Arial" w:eastAsia="Arial" w:hAnsi="Arial"/>
          <w:sz w:val="20"/>
          <w:szCs w:val="20"/>
          <w:u w:val="single" w:color="auto"/>
          <w:color w:val="auto"/>
        </w:rPr>
        <w:t>Section 8(d)</w:t>
      </w:r>
      <w:r>
        <w:rPr>
          <w:rFonts w:ascii="Arial" w:cs="Arial" w:eastAsia="Arial" w:hAnsi="Arial"/>
          <w:sz w:val="20"/>
          <w:szCs w:val="20"/>
          <w:color w:val="auto"/>
        </w:rPr>
        <w:t>, the Company shall pay to the Executive all Accrued Benefits through the date of such termination, and Severance Benefits (as defined below).</w:t>
      </w:r>
    </w:p>
    <w:p>
      <w:pPr>
        <w:spacing w:after="0" w:line="193" w:lineRule="exact"/>
        <w:rPr>
          <w:sz w:val="20"/>
          <w:szCs w:val="20"/>
          <w:color w:val="auto"/>
        </w:rPr>
      </w:pPr>
    </w:p>
    <w:p>
      <w:pPr>
        <w:jc w:val="both"/>
        <w:ind w:left="600" w:hanging="541"/>
        <w:spacing w:after="0" w:line="267" w:lineRule="auto"/>
        <w:tabs>
          <w:tab w:leader="none" w:pos="576" w:val="left"/>
        </w:tabs>
        <w:numPr>
          <w:ilvl w:val="0"/>
          <w:numId w:val="84"/>
        </w:numPr>
        <w:rPr>
          <w:rFonts w:ascii="Arial" w:cs="Arial" w:eastAsia="Arial" w:hAnsi="Arial"/>
          <w:sz w:val="18"/>
          <w:szCs w:val="18"/>
          <w:color w:val="auto"/>
        </w:rPr>
      </w:pPr>
      <w:r>
        <w:rPr>
          <w:rFonts w:ascii="Arial" w:cs="Arial" w:eastAsia="Arial" w:hAnsi="Arial"/>
          <w:sz w:val="18"/>
          <w:szCs w:val="18"/>
          <w:u w:val="single" w:color="auto"/>
          <w:color w:val="auto"/>
        </w:rPr>
        <w:t>For Good Reason</w:t>
      </w:r>
      <w:r>
        <w:rPr>
          <w:rFonts w:ascii="Arial" w:cs="Arial" w:eastAsia="Arial" w:hAnsi="Arial"/>
          <w:sz w:val="18"/>
          <w:szCs w:val="18"/>
          <w:color w:val="auto"/>
        </w:rPr>
        <w:t>. By the Executive for Good Reason as set forth herein. “</w:t>
      </w:r>
      <w:r>
        <w:rPr>
          <w:rFonts w:ascii="Arial" w:cs="Arial" w:eastAsia="Arial" w:hAnsi="Arial"/>
          <w:sz w:val="18"/>
          <w:szCs w:val="18"/>
          <w:u w:val="single" w:color="auto"/>
          <w:color w:val="auto"/>
        </w:rPr>
        <w:t>Good Reason</w:t>
      </w:r>
      <w:r>
        <w:rPr>
          <w:rFonts w:ascii="Arial" w:cs="Arial" w:eastAsia="Arial" w:hAnsi="Arial"/>
          <w:sz w:val="18"/>
          <w:szCs w:val="18"/>
          <w:color w:val="auto"/>
        </w:rPr>
        <w:t xml:space="preserve">” for purposes of this Agreement shall mean the occurrence of any of the following events without the Executive’s consent: (i) any material reduction in the Executive’s then current Base Salary; (ii) the assignment to the Executive of any duties inconsistent with her status as Chief Financial Officer of the Company, her removal from the position of Chief Financial Officer of the Company, or a material diminution in the Executive’s duties, title, or reporting relationship; (iii) the relocation of the Executive’s work location to a location that is more than thirty (30) miles from the Executive’s then-current principal work location, provided, however, that travel during the ordinary course of performance of the Executive’s duties will not constitute Good Reason; and/or (iv) the Company ceasing to provide, in the aggregate, substantially the same employee benefits that are set forth in </w:t>
      </w:r>
      <w:r>
        <w:rPr>
          <w:rFonts w:ascii="Arial" w:cs="Arial" w:eastAsia="Arial" w:hAnsi="Arial"/>
          <w:sz w:val="18"/>
          <w:szCs w:val="18"/>
          <w:u w:val="single" w:color="auto"/>
          <w:color w:val="auto"/>
        </w:rPr>
        <w:t>Section 5(a)</w:t>
      </w:r>
      <w:r>
        <w:rPr>
          <w:rFonts w:ascii="Arial" w:cs="Arial" w:eastAsia="Arial" w:hAnsi="Arial"/>
          <w:sz w:val="18"/>
          <w:szCs w:val="18"/>
          <w:color w:val="auto"/>
        </w:rPr>
        <w:t xml:space="preserve"> of this Agreement or a material breach by the Company of any other provision of this Agreement; provided that, in each case, (A) within sixty (60) days of the first occurrence of such event, the Executive must give written notice to the Board stating in reasonable detail the actions or omissions purported to constitute Good Reason, (B) such event is not corrected within thirty (30) days after receiving the Executive’s written notice (the “</w:t>
      </w:r>
      <w:r>
        <w:rPr>
          <w:rFonts w:ascii="Arial" w:cs="Arial" w:eastAsia="Arial" w:hAnsi="Arial"/>
          <w:sz w:val="18"/>
          <w:szCs w:val="18"/>
          <w:u w:val="single" w:color="auto"/>
          <w:color w:val="auto"/>
        </w:rPr>
        <w:t>Cure Period</w:t>
      </w:r>
      <w:r>
        <w:rPr>
          <w:rFonts w:ascii="Arial" w:cs="Arial" w:eastAsia="Arial" w:hAnsi="Arial"/>
          <w:sz w:val="18"/>
          <w:szCs w:val="18"/>
          <w:color w:val="auto"/>
        </w:rPr>
        <w:t>”), and</w:t>
      </w:r>
    </w:p>
    <w:p>
      <w:pPr>
        <w:spacing w:after="0" w:line="7" w:lineRule="exact"/>
        <w:rPr>
          <w:rFonts w:ascii="Arial" w:cs="Arial" w:eastAsia="Arial" w:hAnsi="Arial"/>
          <w:sz w:val="18"/>
          <w:szCs w:val="18"/>
          <w:color w:val="auto"/>
        </w:rPr>
      </w:pPr>
    </w:p>
    <w:p>
      <w:pPr>
        <w:jc w:val="both"/>
        <w:ind w:left="600"/>
        <w:spacing w:after="0" w:line="241" w:lineRule="auto"/>
        <w:rPr>
          <w:rFonts w:ascii="Arial" w:cs="Arial" w:eastAsia="Arial" w:hAnsi="Arial"/>
          <w:sz w:val="18"/>
          <w:szCs w:val="18"/>
          <w:color w:val="auto"/>
        </w:rPr>
      </w:pPr>
      <w:r>
        <w:rPr>
          <w:rFonts w:ascii="Arial" w:cs="Arial" w:eastAsia="Arial" w:hAnsi="Arial"/>
          <w:sz w:val="20"/>
          <w:szCs w:val="20"/>
          <w:color w:val="auto"/>
        </w:rPr>
        <w:t xml:space="preserve">(C) the Executive terminates the Executive’s employment within thirty (30) days following the end of the Cure Period. In the event of the termination by the Executive for Good Reason pursuant to this </w:t>
      </w:r>
      <w:r>
        <w:rPr>
          <w:rFonts w:ascii="Arial" w:cs="Arial" w:eastAsia="Arial" w:hAnsi="Arial"/>
          <w:sz w:val="20"/>
          <w:szCs w:val="20"/>
          <w:u w:val="single" w:color="auto"/>
          <w:color w:val="auto"/>
        </w:rPr>
        <w:t>Section 8(e)</w:t>
      </w:r>
      <w:r>
        <w:rPr>
          <w:rFonts w:ascii="Arial" w:cs="Arial" w:eastAsia="Arial" w:hAnsi="Arial"/>
          <w:sz w:val="20"/>
          <w:szCs w:val="20"/>
          <w:color w:val="auto"/>
        </w:rPr>
        <w:t>, the Company shall pay to the Executive all Accrued Benefits through the date of such termination, and Severance Benefits.</w:t>
      </w:r>
    </w:p>
    <w:p>
      <w:pPr>
        <w:spacing w:after="0" w:line="196" w:lineRule="exact"/>
        <w:rPr>
          <w:sz w:val="20"/>
          <w:szCs w:val="20"/>
          <w:color w:val="auto"/>
        </w:rPr>
      </w:pPr>
    </w:p>
    <w:p>
      <w:pPr>
        <w:jc w:val="both"/>
        <w:ind w:left="600" w:hanging="596"/>
        <w:spacing w:after="0" w:line="250" w:lineRule="auto"/>
        <w:tabs>
          <w:tab w:leader="none" w:pos="589" w:val="left"/>
        </w:tabs>
        <w:numPr>
          <w:ilvl w:val="0"/>
          <w:numId w:val="85"/>
        </w:numPr>
        <w:rPr>
          <w:rFonts w:ascii="Arial" w:cs="Arial" w:eastAsia="Arial" w:hAnsi="Arial"/>
          <w:sz w:val="20"/>
          <w:szCs w:val="20"/>
          <w:color w:val="auto"/>
        </w:rPr>
      </w:pPr>
      <w:r>
        <w:rPr>
          <w:rFonts w:ascii="Arial" w:cs="Arial" w:eastAsia="Arial" w:hAnsi="Arial"/>
          <w:sz w:val="20"/>
          <w:szCs w:val="20"/>
          <w:u w:val="single" w:color="auto"/>
          <w:color w:val="auto"/>
        </w:rPr>
        <w:t>Severance Benefits</w:t>
      </w:r>
      <w:r>
        <w:rPr>
          <w:rFonts w:ascii="Arial" w:cs="Arial" w:eastAsia="Arial" w:hAnsi="Arial"/>
          <w:sz w:val="20"/>
          <w:szCs w:val="20"/>
          <w:color w:val="auto"/>
        </w:rPr>
        <w:t xml:space="preserve">. In the event of the termination of the Executive’s employment by the Company under </w:t>
      </w:r>
      <w:r>
        <w:rPr>
          <w:rFonts w:ascii="Arial" w:cs="Arial" w:eastAsia="Arial" w:hAnsi="Arial"/>
          <w:sz w:val="20"/>
          <w:szCs w:val="20"/>
          <w:u w:val="single" w:color="auto"/>
          <w:color w:val="auto"/>
        </w:rPr>
        <w:t>Section 8(d)</w:t>
      </w:r>
      <w:r>
        <w:rPr>
          <w:rFonts w:ascii="Arial" w:cs="Arial" w:eastAsia="Arial" w:hAnsi="Arial"/>
          <w:sz w:val="20"/>
          <w:szCs w:val="20"/>
          <w:color w:val="auto"/>
        </w:rPr>
        <w:t xml:space="preserve"> (Without Cause) and/or by the Executive under </w:t>
      </w:r>
      <w:r>
        <w:rPr>
          <w:rFonts w:ascii="Arial" w:cs="Arial" w:eastAsia="Arial" w:hAnsi="Arial"/>
          <w:sz w:val="20"/>
          <w:szCs w:val="20"/>
          <w:u w:val="single" w:color="auto"/>
          <w:color w:val="auto"/>
        </w:rPr>
        <w:t>Section 8(e)</w:t>
      </w:r>
      <w:r>
        <w:rPr>
          <w:rFonts w:ascii="Arial" w:cs="Arial" w:eastAsia="Arial" w:hAnsi="Arial"/>
          <w:sz w:val="20"/>
          <w:szCs w:val="20"/>
          <w:color w:val="auto"/>
        </w:rPr>
        <w:t xml:space="preserve"> (for Good Reason) (each, a “</w:t>
      </w:r>
      <w:r>
        <w:rPr>
          <w:rFonts w:ascii="Arial" w:cs="Arial" w:eastAsia="Arial" w:hAnsi="Arial"/>
          <w:sz w:val="20"/>
          <w:szCs w:val="20"/>
          <w:u w:val="single" w:color="auto"/>
          <w:color w:val="auto"/>
        </w:rPr>
        <w:t>Qualifying Termination</w:t>
      </w:r>
      <w:r>
        <w:rPr>
          <w:rFonts w:ascii="Arial" w:cs="Arial" w:eastAsia="Arial" w:hAnsi="Arial"/>
          <w:sz w:val="20"/>
          <w:szCs w:val="20"/>
          <w:color w:val="auto"/>
        </w:rPr>
        <w:t>”), the Company shall pay the Executive each of the following benefits (“</w:t>
      </w:r>
      <w:r>
        <w:rPr>
          <w:rFonts w:ascii="Arial" w:cs="Arial" w:eastAsia="Arial" w:hAnsi="Arial"/>
          <w:sz w:val="20"/>
          <w:szCs w:val="20"/>
          <w:u w:val="single" w:color="auto"/>
          <w:color w:val="auto"/>
        </w:rPr>
        <w:t>Severance Benefits</w:t>
      </w:r>
      <w:r>
        <w:rPr>
          <w:rFonts w:ascii="Arial" w:cs="Arial" w:eastAsia="Arial" w:hAnsi="Arial"/>
          <w:sz w:val="20"/>
          <w:szCs w:val="20"/>
          <w:color w:val="auto"/>
        </w:rPr>
        <w:t>”):</w:t>
      </w:r>
    </w:p>
    <w:p>
      <w:pPr>
        <w:spacing w:after="0" w:line="185" w:lineRule="exact"/>
        <w:rPr>
          <w:rFonts w:ascii="Arial" w:cs="Arial" w:eastAsia="Arial" w:hAnsi="Arial"/>
          <w:sz w:val="20"/>
          <w:szCs w:val="20"/>
          <w:color w:val="auto"/>
        </w:rPr>
      </w:pPr>
    </w:p>
    <w:p>
      <w:pPr>
        <w:jc w:val="both"/>
        <w:ind w:left="860" w:hanging="394"/>
        <w:spacing w:after="0" w:line="270" w:lineRule="auto"/>
        <w:tabs>
          <w:tab w:leader="none" w:pos="851" w:val="left"/>
        </w:tabs>
        <w:numPr>
          <w:ilvl w:val="1"/>
          <w:numId w:val="85"/>
        </w:numPr>
        <w:rPr>
          <w:rFonts w:ascii="Arial" w:cs="Arial" w:eastAsia="Arial" w:hAnsi="Arial"/>
          <w:sz w:val="18"/>
          <w:szCs w:val="18"/>
          <w:color w:val="auto"/>
        </w:rPr>
      </w:pPr>
      <w:r>
        <w:rPr>
          <w:rFonts w:ascii="Arial" w:cs="Arial" w:eastAsia="Arial" w:hAnsi="Arial"/>
          <w:sz w:val="18"/>
          <w:szCs w:val="18"/>
          <w:color w:val="auto"/>
        </w:rPr>
        <w:t>The Company shall pay the Executive a lump sum amount of severance equal to the product of: (A) the Multiplier; and (B) the sum of (aa) the Executive’s then-current Base Salary, and (bb) the Annual Bonus earned by the Executive for the preceding fiscal year (“</w:t>
      </w:r>
      <w:r>
        <w:rPr>
          <w:rFonts w:ascii="Arial" w:cs="Arial" w:eastAsia="Arial" w:hAnsi="Arial"/>
          <w:sz w:val="18"/>
          <w:szCs w:val="18"/>
          <w:u w:val="single" w:color="auto"/>
          <w:color w:val="auto"/>
        </w:rPr>
        <w:t>Prior Annual Bonus</w:t>
      </w:r>
      <w:r>
        <w:rPr>
          <w:rFonts w:ascii="Arial" w:cs="Arial" w:eastAsia="Arial" w:hAnsi="Arial"/>
          <w:sz w:val="18"/>
          <w:szCs w:val="18"/>
          <w:color w:val="auto"/>
        </w:rPr>
        <w:t>”). For purposes of this Agreement, the “</w:t>
      </w:r>
      <w:r>
        <w:rPr>
          <w:rFonts w:ascii="Arial" w:cs="Arial" w:eastAsia="Arial" w:hAnsi="Arial"/>
          <w:sz w:val="18"/>
          <w:szCs w:val="18"/>
          <w:u w:val="single" w:color="auto"/>
          <w:color w:val="auto"/>
        </w:rPr>
        <w:t>Multiplier</w:t>
      </w:r>
      <w:r>
        <w:rPr>
          <w:rFonts w:ascii="Arial" w:cs="Arial" w:eastAsia="Arial" w:hAnsi="Arial"/>
          <w:sz w:val="18"/>
          <w:szCs w:val="18"/>
          <w:color w:val="auto"/>
        </w:rPr>
        <w:t>” shall equal one (1), provided, however, that the Multiplier shall equal two (2) if (x) the Qualifying Termination occurs within the first anniversary of a Change in Control event,</w:t>
      </w:r>
    </w:p>
    <w:p>
      <w:pPr>
        <w:spacing w:after="0" w:line="2" w:lineRule="exact"/>
        <w:rPr>
          <w:rFonts w:ascii="Arial" w:cs="Arial" w:eastAsia="Arial" w:hAnsi="Arial"/>
          <w:sz w:val="18"/>
          <w:szCs w:val="18"/>
          <w:color w:val="auto"/>
        </w:rPr>
      </w:pPr>
    </w:p>
    <w:p>
      <w:pPr>
        <w:jc w:val="both"/>
        <w:ind w:left="860"/>
        <w:spacing w:after="0" w:line="272" w:lineRule="auto"/>
        <w:rPr>
          <w:rFonts w:ascii="Arial" w:cs="Arial" w:eastAsia="Arial" w:hAnsi="Arial"/>
          <w:sz w:val="18"/>
          <w:szCs w:val="18"/>
          <w:color w:val="auto"/>
        </w:rPr>
      </w:pPr>
      <w:r>
        <w:rPr>
          <w:rFonts w:ascii="Arial" w:cs="Arial" w:eastAsia="Arial" w:hAnsi="Arial"/>
          <w:sz w:val="18"/>
          <w:szCs w:val="18"/>
          <w:color w:val="auto"/>
        </w:rPr>
        <w:t>(y) the Executive did not vote in favor of such Change in Control, and (z) the Company’s net assets are greater than one hundred million dollars ($100,000,000) as determined by the Board in good faith. This severance amount shall be paid to the Executive within thirty (30) days following the effective date of the release as set forth in subsection (i). For the avoidance of doubt and for purposes of calculating severance under this Section, (1) if the Qualifying Termination occurs during fiscal year 2020, the Prior Annual Bonus shall equal the Executive’s then-current Base Salary; and (2) if the Qualifying Termination occurs during fiscal year 2021, the Prior Annual Bonus shall equal the annualized rate of the Annual Bonus earned for fiscal year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180"/>
          </w:cols>
          <w:pgMar w:left="380" w:top="1419" w:right="339" w:bottom="1440" w:gutter="0" w:footer="0" w:header="0"/>
        </w:sectPr>
      </w:pPr>
    </w:p>
    <w:bookmarkStart w:id="102" w:name="page103"/>
    <w:bookmarkEnd w:id="102"/>
    <w:p>
      <w:pPr>
        <w:jc w:val="both"/>
        <w:ind w:left="400" w:hanging="394"/>
        <w:spacing w:after="0" w:line="250" w:lineRule="auto"/>
        <w:tabs>
          <w:tab w:leader="none" w:pos="389" w:val="left"/>
        </w:tabs>
        <w:numPr>
          <w:ilvl w:val="0"/>
          <w:numId w:val="86"/>
        </w:numPr>
        <w:rPr>
          <w:rFonts w:ascii="Arial" w:cs="Arial" w:eastAsia="Arial" w:hAnsi="Arial"/>
          <w:sz w:val="20"/>
          <w:szCs w:val="20"/>
          <w:color w:val="auto"/>
        </w:rPr>
      </w:pPr>
      <w:r>
        <w:rPr>
          <w:rFonts w:ascii="Arial" w:cs="Arial" w:eastAsia="Arial" w:hAnsi="Arial"/>
          <w:sz w:val="20"/>
          <w:szCs w:val="20"/>
          <w:color w:val="auto"/>
        </w:rPr>
        <w:t xml:space="preserve">Notwithstanding anything in the applicable equity incentive plan and/or equity award agreement to the contrary, any unvested portion of any equity awards held by the Executive shall vest in full and become exercisable and free from forfeiture or repurchase, as applicable, as of the date of the effective date of the release as set forth in </w:t>
      </w:r>
      <w:r>
        <w:rPr>
          <w:rFonts w:ascii="Arial" w:cs="Arial" w:eastAsia="Arial" w:hAnsi="Arial"/>
          <w:sz w:val="20"/>
          <w:szCs w:val="20"/>
          <w:u w:val="single" w:color="auto"/>
          <w:color w:val="auto"/>
        </w:rPr>
        <w:t>Section 8(i)</w:t>
      </w:r>
      <w:r>
        <w:rPr>
          <w:rFonts w:ascii="Arial" w:cs="Arial" w:eastAsia="Arial" w:hAnsi="Arial"/>
          <w:sz w:val="20"/>
          <w:szCs w:val="20"/>
          <w:color w:val="auto"/>
        </w:rPr>
        <w:t>.</w:t>
      </w:r>
    </w:p>
    <w:p>
      <w:pPr>
        <w:spacing w:after="0" w:line="185" w:lineRule="exact"/>
        <w:rPr>
          <w:rFonts w:ascii="Arial" w:cs="Arial" w:eastAsia="Arial" w:hAnsi="Arial"/>
          <w:sz w:val="20"/>
          <w:szCs w:val="20"/>
          <w:color w:val="auto"/>
        </w:rPr>
      </w:pPr>
    </w:p>
    <w:p>
      <w:pPr>
        <w:jc w:val="both"/>
        <w:ind w:left="400" w:hanging="394"/>
        <w:spacing w:after="0" w:line="243" w:lineRule="auto"/>
        <w:tabs>
          <w:tab w:leader="none" w:pos="391" w:val="left"/>
        </w:tabs>
        <w:numPr>
          <w:ilvl w:val="0"/>
          <w:numId w:val="86"/>
        </w:numPr>
        <w:rPr>
          <w:rFonts w:ascii="Arial" w:cs="Arial" w:eastAsia="Arial" w:hAnsi="Arial"/>
          <w:sz w:val="20"/>
          <w:szCs w:val="20"/>
          <w:color w:val="auto"/>
        </w:rPr>
      </w:pPr>
      <w:r>
        <w:rPr>
          <w:rFonts w:ascii="Arial" w:cs="Arial" w:eastAsia="Arial" w:hAnsi="Arial"/>
          <w:sz w:val="20"/>
          <w:szCs w:val="20"/>
          <w:color w:val="auto"/>
        </w:rPr>
        <w:t>The Company shall provide, at the Company’s cost, continuation health insurance coverage under the Consolidated Omnibus Budget Reconciliation Act of 1985 (“</w:t>
      </w:r>
      <w:r>
        <w:rPr>
          <w:rFonts w:ascii="Arial" w:cs="Arial" w:eastAsia="Arial" w:hAnsi="Arial"/>
          <w:sz w:val="20"/>
          <w:szCs w:val="20"/>
          <w:u w:val="single" w:color="auto"/>
          <w:color w:val="auto"/>
        </w:rPr>
        <w:t>COBRA</w:t>
      </w:r>
      <w:r>
        <w:rPr>
          <w:rFonts w:ascii="Arial" w:cs="Arial" w:eastAsia="Arial" w:hAnsi="Arial"/>
          <w:sz w:val="20"/>
          <w:szCs w:val="20"/>
          <w:color w:val="auto"/>
        </w:rPr>
        <w:t>”) during the twelve (12) months following the date of termination (“</w:t>
      </w:r>
      <w:r>
        <w:rPr>
          <w:rFonts w:ascii="Arial" w:cs="Arial" w:eastAsia="Arial" w:hAnsi="Arial"/>
          <w:sz w:val="20"/>
          <w:szCs w:val="20"/>
          <w:u w:val="single" w:color="auto"/>
          <w:color w:val="auto"/>
        </w:rPr>
        <w:t>COBRA</w:t>
      </w:r>
      <w:r>
        <w:rPr>
          <w:rFonts w:ascii="Arial" w:cs="Arial" w:eastAsia="Arial" w:hAnsi="Arial"/>
          <w:sz w:val="20"/>
          <w:szCs w:val="20"/>
          <w:color w:val="auto"/>
        </w:rPr>
        <w:t xml:space="preserve"> </w:t>
      </w:r>
      <w:r>
        <w:rPr>
          <w:rFonts w:ascii="Arial" w:cs="Arial" w:eastAsia="Arial" w:hAnsi="Arial"/>
          <w:sz w:val="20"/>
          <w:szCs w:val="20"/>
          <w:u w:val="single" w:color="auto"/>
          <w:color w:val="auto"/>
        </w:rPr>
        <w:t>Coverage Period</w:t>
      </w:r>
      <w:r>
        <w:rPr>
          <w:rFonts w:ascii="Arial" w:cs="Arial" w:eastAsia="Arial" w:hAnsi="Arial"/>
          <w:sz w:val="20"/>
          <w:szCs w:val="20"/>
          <w:color w:val="auto"/>
        </w:rPr>
        <w:t>”), provided that, these payments for continuation coverage under COBRA shall cease prior to the end of the COBRA Coverage Period if the Executive becomes eligible for other group health insurance coverage from a new employer, and provided further that such coverage provided during the COBRA Coverage Period shall be included in (and not in addition to) the continuation period under COBRA.</w:t>
      </w:r>
    </w:p>
    <w:p>
      <w:pPr>
        <w:spacing w:after="0" w:line="195" w:lineRule="exact"/>
        <w:rPr>
          <w:rFonts w:ascii="Arial" w:cs="Arial" w:eastAsia="Arial" w:hAnsi="Arial"/>
          <w:sz w:val="20"/>
          <w:szCs w:val="20"/>
          <w:color w:val="auto"/>
        </w:rPr>
      </w:pPr>
    </w:p>
    <w:p>
      <w:pPr>
        <w:ind w:left="400" w:hanging="394"/>
        <w:spacing w:after="0" w:line="260" w:lineRule="auto"/>
        <w:tabs>
          <w:tab w:leader="none" w:pos="389" w:val="left"/>
        </w:tabs>
        <w:numPr>
          <w:ilvl w:val="0"/>
          <w:numId w:val="86"/>
        </w:numPr>
        <w:rPr>
          <w:rFonts w:ascii="Arial" w:cs="Arial" w:eastAsia="Arial" w:hAnsi="Arial"/>
          <w:sz w:val="20"/>
          <w:szCs w:val="20"/>
          <w:color w:val="auto"/>
        </w:rPr>
      </w:pPr>
      <w:r>
        <w:rPr>
          <w:rFonts w:ascii="Arial" w:cs="Arial" w:eastAsia="Arial" w:hAnsi="Arial"/>
          <w:sz w:val="20"/>
          <w:szCs w:val="20"/>
          <w:color w:val="auto"/>
        </w:rPr>
        <w:t xml:space="preserve">The Executive shall receive any unpaid Annual Bonus for the preceding fiscal year and the Pro-Rated Bonus, payable in accordance with the timing as set forth in </w:t>
      </w:r>
      <w:r>
        <w:rPr>
          <w:rFonts w:ascii="Arial" w:cs="Arial" w:eastAsia="Arial" w:hAnsi="Arial"/>
          <w:sz w:val="20"/>
          <w:szCs w:val="20"/>
          <w:u w:val="single" w:color="auto"/>
          <w:color w:val="auto"/>
        </w:rPr>
        <w:t>Section 8(h)</w:t>
      </w:r>
      <w:r>
        <w:rPr>
          <w:rFonts w:ascii="Arial" w:cs="Arial" w:eastAsia="Arial" w:hAnsi="Arial"/>
          <w:sz w:val="20"/>
          <w:szCs w:val="20"/>
          <w:color w:val="auto"/>
        </w:rPr>
        <w: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For the purposes of this Agreement, “</w:t>
      </w:r>
      <w:r>
        <w:rPr>
          <w:rFonts w:ascii="Arial" w:cs="Arial" w:eastAsia="Arial" w:hAnsi="Arial"/>
          <w:sz w:val="18"/>
          <w:szCs w:val="18"/>
          <w:u w:val="single" w:color="auto"/>
          <w:color w:val="auto"/>
        </w:rPr>
        <w:t>Change in Control</w:t>
      </w:r>
      <w:r>
        <w:rPr>
          <w:rFonts w:ascii="Arial" w:cs="Arial" w:eastAsia="Arial" w:hAnsi="Arial"/>
          <w:sz w:val="18"/>
          <w:szCs w:val="18"/>
          <w:color w:val="auto"/>
        </w:rPr>
        <w:t>” shall mean the occurrence of any of the following events during the Term:</w:t>
      </w:r>
    </w:p>
    <w:p>
      <w:pPr>
        <w:spacing w:after="0" w:line="266" w:lineRule="exact"/>
        <w:rPr>
          <w:sz w:val="20"/>
          <w:szCs w:val="20"/>
          <w:color w:val="auto"/>
        </w:rPr>
      </w:pPr>
    </w:p>
    <w:p>
      <w:pPr>
        <w:ind w:left="380" w:hanging="374"/>
        <w:spacing w:after="0"/>
        <w:tabs>
          <w:tab w:leader="none" w:pos="380" w:val="left"/>
        </w:tabs>
        <w:numPr>
          <w:ilvl w:val="0"/>
          <w:numId w:val="87"/>
        </w:numPr>
        <w:rPr>
          <w:rFonts w:ascii="Arial" w:cs="Arial" w:eastAsia="Arial" w:hAnsi="Arial"/>
          <w:sz w:val="16"/>
          <w:szCs w:val="16"/>
          <w:color w:val="auto"/>
        </w:rPr>
      </w:pPr>
      <w:r>
        <w:rPr>
          <w:rFonts w:ascii="Arial" w:cs="Arial" w:eastAsia="Arial" w:hAnsi="Arial"/>
          <w:sz w:val="20"/>
          <w:szCs w:val="20"/>
          <w:color w:val="auto"/>
        </w:rPr>
        <w:t>a majority of the Board ceases to be comprised of Incumbent Directors (as defined below); or</w:t>
      </w:r>
    </w:p>
    <w:p>
      <w:pPr>
        <w:spacing w:after="0" w:line="242" w:lineRule="exact"/>
        <w:rPr>
          <w:rFonts w:ascii="Arial" w:cs="Arial" w:eastAsia="Arial" w:hAnsi="Arial"/>
          <w:sz w:val="16"/>
          <w:szCs w:val="16"/>
          <w:color w:val="auto"/>
        </w:rPr>
      </w:pPr>
    </w:p>
    <w:p>
      <w:pPr>
        <w:ind w:left="400" w:right="200" w:hanging="394"/>
        <w:spacing w:after="0" w:line="246" w:lineRule="auto"/>
        <w:tabs>
          <w:tab w:leader="none" w:pos="398" w:val="left"/>
        </w:tabs>
        <w:numPr>
          <w:ilvl w:val="0"/>
          <w:numId w:val="87"/>
        </w:numPr>
        <w:rPr>
          <w:rFonts w:ascii="Arial" w:cs="Arial" w:eastAsia="Arial" w:hAnsi="Arial"/>
          <w:sz w:val="16"/>
          <w:szCs w:val="16"/>
          <w:color w:val="auto"/>
        </w:rPr>
      </w:pPr>
      <w:r>
        <w:rPr>
          <w:rFonts w:ascii="Arial" w:cs="Arial" w:eastAsia="Arial" w:hAnsi="Arial"/>
          <w:sz w:val="20"/>
          <w:szCs w:val="20"/>
          <w:color w:val="auto"/>
        </w:rPr>
        <w:t>any individual, entity or group (within the meaning of Section 13(d)(3) or 14(d)(2) of the Securities Exchange Act of 1934, as amended (the “</w:t>
      </w:r>
      <w:r>
        <w:rPr>
          <w:rFonts w:ascii="Arial" w:cs="Arial" w:eastAsia="Arial" w:hAnsi="Arial"/>
          <w:sz w:val="20"/>
          <w:szCs w:val="20"/>
          <w:u w:val="single" w:color="auto"/>
          <w:color w:val="auto"/>
        </w:rPr>
        <w:t>Exchange Act</w:t>
      </w:r>
      <w:r>
        <w:rPr>
          <w:rFonts w:ascii="Arial" w:cs="Arial" w:eastAsia="Arial" w:hAnsi="Arial"/>
          <w:sz w:val="20"/>
          <w:szCs w:val="20"/>
          <w:color w:val="auto"/>
        </w:rPr>
        <w:t xml:space="preserve"> (a “</w:t>
      </w:r>
      <w:r>
        <w:rPr>
          <w:rFonts w:ascii="Arial" w:cs="Arial" w:eastAsia="Arial" w:hAnsi="Arial"/>
          <w:sz w:val="20"/>
          <w:szCs w:val="20"/>
          <w:u w:val="single" w:color="auto"/>
          <w:color w:val="auto"/>
        </w:rPr>
        <w:t>Person</w:t>
      </w:r>
      <w:r>
        <w:rPr>
          <w:rFonts w:ascii="Arial" w:cs="Arial" w:eastAsia="Arial" w:hAnsi="Arial"/>
          <w:sz w:val="20"/>
          <w:szCs w:val="20"/>
          <w:color w:val="auto"/>
        </w:rPr>
        <w:t>”) is or becomes the beneficial owner (within the meaning of Rule 13d-3 promulgated under the Securities Exchange Act) of more than 25% of the combined voting power of the then-outstanding voting stock of the Company; or</w:t>
      </w:r>
    </w:p>
    <w:p>
      <w:pPr>
        <w:spacing w:after="0" w:line="110" w:lineRule="exact"/>
        <w:rPr>
          <w:rFonts w:ascii="Arial" w:cs="Arial" w:eastAsia="Arial" w:hAnsi="Arial"/>
          <w:sz w:val="16"/>
          <w:szCs w:val="16"/>
          <w:color w:val="auto"/>
        </w:rPr>
      </w:pPr>
    </w:p>
    <w:p>
      <w:pPr>
        <w:ind w:left="400" w:right="240" w:hanging="394"/>
        <w:spacing w:after="0" w:line="273" w:lineRule="auto"/>
        <w:tabs>
          <w:tab w:leader="none" w:pos="389" w:val="left"/>
        </w:tabs>
        <w:numPr>
          <w:ilvl w:val="0"/>
          <w:numId w:val="87"/>
        </w:numPr>
        <w:rPr>
          <w:rFonts w:ascii="Arial" w:cs="Arial" w:eastAsia="Arial" w:hAnsi="Arial"/>
          <w:sz w:val="14"/>
          <w:szCs w:val="14"/>
          <w:color w:val="auto"/>
        </w:rPr>
      </w:pPr>
      <w:r>
        <w:rPr>
          <w:rFonts w:ascii="Arial" w:cs="Arial" w:eastAsia="Arial" w:hAnsi="Arial"/>
          <w:sz w:val="18"/>
          <w:szCs w:val="18"/>
          <w:color w:val="auto"/>
        </w:rPr>
        <w:t>the consummation of a consolidation, merger, stock sale or similar transaction or series of related transactions (or a sale or transfer of all or substantially all of the Company's assets) (each, a "</w:t>
      </w:r>
      <w:r>
        <w:rPr>
          <w:rFonts w:ascii="Arial" w:cs="Arial" w:eastAsia="Arial" w:hAnsi="Arial"/>
          <w:sz w:val="18"/>
          <w:szCs w:val="18"/>
          <w:u w:val="single" w:color="auto"/>
          <w:color w:val="auto"/>
        </w:rPr>
        <w:t>Business Transaction</w:t>
      </w:r>
      <w:r>
        <w:rPr>
          <w:rFonts w:ascii="Arial" w:cs="Arial" w:eastAsia="Arial" w:hAnsi="Arial"/>
          <w:sz w:val="18"/>
          <w:szCs w:val="18"/>
          <w:color w:val="auto"/>
        </w:rPr>
        <w:t>"), unless, in any such case, (A) no Person (other than the Company, any entity resulting from such Business Transaction or any employee benefit plan (or related trust) sponsored or maintained by the Company, any Subsidiary or such entity resulting from such Business Transaction) beneficially owns, directly or indirectly, 25% or more of the combined voting power of the then-outstanding shares of voting stock of the entity resulting from such Business Transaction or, if it is such entity, the Company, and (B) at least one-half of the members of the Board of Directors of the entity resulting from such Business Transaction were Incumbent Directors at the time of the execution of the initial agreement providing for such Business Transaction; or</w:t>
      </w:r>
    </w:p>
    <w:p>
      <w:pPr>
        <w:spacing w:after="0" w:line="73" w:lineRule="exact"/>
        <w:rPr>
          <w:rFonts w:ascii="Arial" w:cs="Arial" w:eastAsia="Arial" w:hAnsi="Arial"/>
          <w:sz w:val="14"/>
          <w:szCs w:val="14"/>
          <w:color w:val="auto"/>
        </w:rPr>
      </w:pPr>
    </w:p>
    <w:p>
      <w:pPr>
        <w:ind w:left="380" w:hanging="374"/>
        <w:spacing w:after="0"/>
        <w:tabs>
          <w:tab w:leader="none" w:pos="380" w:val="left"/>
        </w:tabs>
        <w:numPr>
          <w:ilvl w:val="0"/>
          <w:numId w:val="87"/>
        </w:numPr>
        <w:rPr>
          <w:rFonts w:ascii="Arial" w:cs="Arial" w:eastAsia="Arial" w:hAnsi="Arial"/>
          <w:sz w:val="16"/>
          <w:szCs w:val="16"/>
          <w:color w:val="auto"/>
        </w:rPr>
      </w:pPr>
      <w:r>
        <w:rPr>
          <w:rFonts w:ascii="Arial" w:cs="Arial" w:eastAsia="Arial" w:hAnsi="Arial"/>
          <w:sz w:val="20"/>
          <w:szCs w:val="20"/>
          <w:color w:val="auto"/>
        </w:rPr>
        <w:t>the dissolution or liquidation of the Company.</w:t>
      </w:r>
    </w:p>
    <w:p>
      <w:pPr>
        <w:spacing w:after="0" w:line="216" w:lineRule="exact"/>
        <w:rPr>
          <w:sz w:val="20"/>
          <w:szCs w:val="20"/>
          <w:color w:val="auto"/>
        </w:rPr>
      </w:pPr>
    </w:p>
    <w:p>
      <w:pPr>
        <w:ind w:right="80"/>
        <w:spacing w:after="0" w:line="316" w:lineRule="auto"/>
        <w:rPr>
          <w:sz w:val="20"/>
          <w:szCs w:val="20"/>
          <w:color w:val="auto"/>
        </w:rPr>
      </w:pPr>
      <w:r>
        <w:rPr>
          <w:rFonts w:ascii="Arial" w:cs="Arial" w:eastAsia="Arial" w:hAnsi="Arial"/>
          <w:sz w:val="16"/>
          <w:szCs w:val="16"/>
          <w:color w:val="auto"/>
        </w:rPr>
        <w:t>For purposes of this Agreement, “</w:t>
      </w:r>
      <w:r>
        <w:rPr>
          <w:rFonts w:ascii="Arial" w:cs="Arial" w:eastAsia="Arial" w:hAnsi="Arial"/>
          <w:sz w:val="16"/>
          <w:szCs w:val="16"/>
          <w:u w:val="single" w:color="auto"/>
          <w:color w:val="auto"/>
        </w:rPr>
        <w:t>Incumbent Directors</w:t>
      </w:r>
      <w:r>
        <w:rPr>
          <w:rFonts w:ascii="Arial" w:cs="Arial" w:eastAsia="Arial" w:hAnsi="Arial"/>
          <w:sz w:val="16"/>
          <w:szCs w:val="16"/>
          <w:color w:val="auto"/>
        </w:rPr>
        <w:t xml:space="preserve">” shall mean individuals who, as of the date hereof, are directors of the Company and any individual becoming a director subsequent to the date hereof whose election, nomination for election by the Company's shareholders or appointment was approved by a vote of at least two-thirds of the then Incumbent Directors (either by a specific vote or by approval of the proxy statement of the Company in which such person is named as a nominee for director, without objection to such nomination); </w:t>
      </w:r>
      <w:r>
        <w:rPr>
          <w:rFonts w:ascii="Arial" w:cs="Arial" w:eastAsia="Arial" w:hAnsi="Arial"/>
          <w:sz w:val="16"/>
          <w:szCs w:val="16"/>
          <w:u w:val="single" w:color="auto"/>
          <w:color w:val="auto"/>
        </w:rPr>
        <w:t>provided however,</w:t>
      </w:r>
      <w:r>
        <w:rPr>
          <w:rFonts w:ascii="Arial" w:cs="Arial" w:eastAsia="Arial" w:hAnsi="Arial"/>
          <w:sz w:val="16"/>
          <w:szCs w:val="16"/>
          <w:color w:val="auto"/>
        </w:rPr>
        <w:t xml:space="preserve"> that an individual shall not be an Incumbent Director if such individual's election or appointment to the Board occurs as a result of an actual or threatened election contest (as described in Rule 14a-12(c) of the Exchange</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520"/>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0720"/>
          </w:cols>
          <w:pgMar w:left="840" w:top="1419" w:right="339" w:bottom="1440" w:gutter="0" w:footer="0" w:header="0"/>
        </w:sectPr>
      </w:pPr>
    </w:p>
    <w:bookmarkStart w:id="103" w:name="page104"/>
    <w:bookmarkEnd w:id="103"/>
    <w:p>
      <w:pPr>
        <w:ind w:left="566" w:right="20"/>
        <w:spacing w:after="0" w:line="260" w:lineRule="auto"/>
        <w:rPr>
          <w:sz w:val="20"/>
          <w:szCs w:val="20"/>
          <w:color w:val="auto"/>
        </w:rPr>
      </w:pPr>
      <w:r>
        <w:rPr>
          <w:rFonts w:ascii="Arial" w:cs="Arial" w:eastAsia="Arial" w:hAnsi="Arial"/>
          <w:sz w:val="20"/>
          <w:szCs w:val="20"/>
          <w:color w:val="auto"/>
        </w:rPr>
        <w:t>Act) with respect to the election or removal of Directors or other actual or threatened solicitation of proxies or consents by or on behalf of a Person other than the Board.</w:t>
      </w:r>
    </w:p>
    <w:p>
      <w:pPr>
        <w:spacing w:after="0" w:line="204" w:lineRule="exact"/>
        <w:rPr>
          <w:sz w:val="20"/>
          <w:szCs w:val="20"/>
          <w:color w:val="auto"/>
        </w:rPr>
      </w:pPr>
    </w:p>
    <w:p>
      <w:pPr>
        <w:jc w:val="both"/>
        <w:ind w:left="706" w:hanging="651"/>
        <w:spacing w:after="0" w:line="278" w:lineRule="auto"/>
        <w:tabs>
          <w:tab w:leader="none" w:pos="695" w:val="left"/>
        </w:tabs>
        <w:numPr>
          <w:ilvl w:val="1"/>
          <w:numId w:val="88"/>
        </w:numPr>
        <w:rPr>
          <w:rFonts w:ascii="Arial" w:cs="Arial" w:eastAsia="Arial" w:hAnsi="Arial"/>
          <w:sz w:val="18"/>
          <w:szCs w:val="18"/>
          <w:color w:val="auto"/>
        </w:rPr>
      </w:pPr>
      <w:r>
        <w:rPr>
          <w:rFonts w:ascii="Arial" w:cs="Arial" w:eastAsia="Arial" w:hAnsi="Arial"/>
          <w:sz w:val="18"/>
          <w:szCs w:val="18"/>
          <w:u w:val="single" w:color="auto"/>
          <w:color w:val="auto"/>
        </w:rPr>
        <w:t>By the Executive</w:t>
      </w:r>
      <w:r>
        <w:rPr>
          <w:rFonts w:ascii="Arial" w:cs="Arial" w:eastAsia="Arial" w:hAnsi="Arial"/>
          <w:sz w:val="18"/>
          <w:szCs w:val="18"/>
          <w:color w:val="auto"/>
        </w:rPr>
        <w:t xml:space="preserve">. Notwithstanding the foregoing, the Executive may terminate the Executive’s employment under this Agreement, provided that such termination may take place no earlier than thirty (30) days after the Executive has provided written notice to the Company of the Executive’s intent to terminate employment. The Company reserves the right to provide payment at the Executive’s then-current Base Salary in lieu of all or any portion of such notice period. In the event Executive terminates the Executive’s employment under this </w:t>
      </w:r>
      <w:r>
        <w:rPr>
          <w:rFonts w:ascii="Arial" w:cs="Arial" w:eastAsia="Arial" w:hAnsi="Arial"/>
          <w:sz w:val="18"/>
          <w:szCs w:val="18"/>
          <w:u w:val="single" w:color="auto"/>
          <w:color w:val="auto"/>
        </w:rPr>
        <w:t>Section 8(g)</w:t>
      </w:r>
      <w:r>
        <w:rPr>
          <w:rFonts w:ascii="Arial" w:cs="Arial" w:eastAsia="Arial" w:hAnsi="Arial"/>
          <w:sz w:val="18"/>
          <w:szCs w:val="18"/>
          <w:color w:val="auto"/>
        </w:rPr>
        <w:t>, the Executive shall receive all Accrued Benefits through the date of such termination.</w:t>
      </w:r>
    </w:p>
    <w:p>
      <w:pPr>
        <w:spacing w:after="0" w:line="164" w:lineRule="exact"/>
        <w:rPr>
          <w:rFonts w:ascii="Arial" w:cs="Arial" w:eastAsia="Arial" w:hAnsi="Arial"/>
          <w:sz w:val="18"/>
          <w:szCs w:val="18"/>
          <w:color w:val="auto"/>
        </w:rPr>
      </w:pPr>
    </w:p>
    <w:p>
      <w:pPr>
        <w:jc w:val="both"/>
        <w:ind w:left="706" w:hanging="706"/>
        <w:spacing w:after="0" w:line="274" w:lineRule="auto"/>
        <w:tabs>
          <w:tab w:leader="none" w:pos="695" w:val="left"/>
        </w:tabs>
        <w:numPr>
          <w:ilvl w:val="1"/>
          <w:numId w:val="88"/>
        </w:numPr>
        <w:rPr>
          <w:rFonts w:ascii="Arial" w:cs="Arial" w:eastAsia="Arial" w:hAnsi="Arial"/>
          <w:sz w:val="18"/>
          <w:szCs w:val="18"/>
          <w:color w:val="auto"/>
        </w:rPr>
      </w:pPr>
      <w:r>
        <w:rPr>
          <w:rFonts w:ascii="Arial" w:cs="Arial" w:eastAsia="Arial" w:hAnsi="Arial"/>
          <w:sz w:val="18"/>
          <w:szCs w:val="18"/>
          <w:u w:val="single" w:color="auto"/>
          <w:color w:val="auto"/>
        </w:rPr>
        <w:t>Bonus Payment Timing</w:t>
      </w:r>
      <w:r>
        <w:rPr>
          <w:rFonts w:ascii="Arial" w:cs="Arial" w:eastAsia="Arial" w:hAnsi="Arial"/>
          <w:sz w:val="18"/>
          <w:szCs w:val="18"/>
          <w:color w:val="auto"/>
        </w:rPr>
        <w:t xml:space="preserve">. Subject to the execution and non-revocation of a release as set forth in </w:t>
      </w:r>
      <w:r>
        <w:rPr>
          <w:rFonts w:ascii="Arial" w:cs="Arial" w:eastAsia="Arial" w:hAnsi="Arial"/>
          <w:sz w:val="18"/>
          <w:szCs w:val="18"/>
          <w:u w:val="single" w:color="auto"/>
          <w:color w:val="auto"/>
        </w:rPr>
        <w:t>Section 8(i)</w:t>
      </w:r>
      <w:r>
        <w:rPr>
          <w:rFonts w:ascii="Arial" w:cs="Arial" w:eastAsia="Arial" w:hAnsi="Arial"/>
          <w:sz w:val="18"/>
          <w:szCs w:val="18"/>
          <w:color w:val="auto"/>
        </w:rPr>
        <w:t xml:space="preserve"> and in substantially similar to the form attached hereto as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the Company shall (A) pay any unpaid Annual Bonus for the preceding fiscal year otherwise payable under this </w:t>
      </w:r>
      <w:r>
        <w:rPr>
          <w:rFonts w:ascii="Arial" w:cs="Arial" w:eastAsia="Arial" w:hAnsi="Arial"/>
          <w:sz w:val="18"/>
          <w:szCs w:val="18"/>
          <w:u w:val="single" w:color="auto"/>
          <w:color w:val="auto"/>
        </w:rPr>
        <w:t>Section 8</w:t>
      </w:r>
      <w:r>
        <w:rPr>
          <w:rFonts w:ascii="Arial" w:cs="Arial" w:eastAsia="Arial" w:hAnsi="Arial"/>
          <w:sz w:val="18"/>
          <w:szCs w:val="18"/>
          <w:color w:val="auto"/>
        </w:rPr>
        <w:t xml:space="preserve"> within thirty (30) days following the date of the effective date of such release; and (B) subject to the execution and non-revocation of an additional release of claims substantially similar to the form attached hereto as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pay the Pro-Rated Bonus otherwise payable under this </w:t>
      </w:r>
      <w:r>
        <w:rPr>
          <w:rFonts w:ascii="Arial" w:cs="Arial" w:eastAsia="Arial" w:hAnsi="Arial"/>
          <w:sz w:val="18"/>
          <w:szCs w:val="18"/>
          <w:u w:val="single" w:color="auto"/>
          <w:color w:val="auto"/>
        </w:rPr>
        <w:t>Section 8</w:t>
      </w:r>
      <w:r>
        <w:rPr>
          <w:rFonts w:ascii="Arial" w:cs="Arial" w:eastAsia="Arial" w:hAnsi="Arial"/>
          <w:sz w:val="18"/>
          <w:szCs w:val="18"/>
          <w:color w:val="auto"/>
        </w:rPr>
        <w:t xml:space="preserve"> in accordance with the Company’s regular bonus payment schedule for the Annual Bonus for that calendar year, as otherwise payable to similarly situated active employees of the Company, but no later than 2.5 months following the end of the calendar year in which it was earned.</w:t>
      </w:r>
    </w:p>
    <w:p>
      <w:pPr>
        <w:spacing w:after="0" w:line="189" w:lineRule="exact"/>
        <w:rPr>
          <w:rFonts w:ascii="Arial" w:cs="Arial" w:eastAsia="Arial" w:hAnsi="Arial"/>
          <w:sz w:val="18"/>
          <w:szCs w:val="18"/>
          <w:color w:val="auto"/>
        </w:rPr>
      </w:pPr>
    </w:p>
    <w:p>
      <w:pPr>
        <w:jc w:val="both"/>
        <w:ind w:left="706" w:hanging="615"/>
        <w:spacing w:after="0"/>
        <w:tabs>
          <w:tab w:leader="none" w:pos="695" w:val="left"/>
        </w:tabs>
        <w:numPr>
          <w:ilvl w:val="1"/>
          <w:numId w:val="88"/>
        </w:numPr>
        <w:rPr>
          <w:rFonts w:ascii="Arial" w:cs="Arial" w:eastAsia="Arial" w:hAnsi="Arial"/>
          <w:sz w:val="22"/>
          <w:szCs w:val="22"/>
          <w:color w:val="auto"/>
        </w:rPr>
      </w:pPr>
      <w:r>
        <w:rPr>
          <w:rFonts w:ascii="Arial" w:cs="Arial" w:eastAsia="Arial" w:hAnsi="Arial"/>
          <w:sz w:val="20"/>
          <w:szCs w:val="20"/>
          <w:b w:val="1"/>
          <w:bCs w:val="1"/>
          <w:u w:val="single" w:color="auto"/>
          <w:color w:val="auto"/>
        </w:rPr>
        <w:t>Release</w:t>
      </w:r>
      <w:r>
        <w:rPr>
          <w:rFonts w:ascii="Arial" w:cs="Arial" w:eastAsia="Arial" w:hAnsi="Arial"/>
          <w:sz w:val="20"/>
          <w:szCs w:val="20"/>
          <w:b w:val="1"/>
          <w:bCs w:val="1"/>
          <w:color w:val="auto"/>
        </w:rPr>
        <w:t xml:space="preserve">. As a precondition to the payment of any amounts or benefits in addition to earned but unpaid Base Salary upon termination of the Executive’s employment under this Agreement, including but not limited to each Severance Benefit, the Executive or the Estate, as applicable, shall be required to execute one or more release of any claims against the Company, Affiliates, and their employee, officers, directors, and shareholders arising out of the Executive’s employment or termination in a form attached hereto as </w:t>
      </w:r>
      <w:r>
        <w:rPr>
          <w:rFonts w:ascii="Arial" w:cs="Arial" w:eastAsia="Arial" w:hAnsi="Arial"/>
          <w:sz w:val="20"/>
          <w:szCs w:val="20"/>
          <w:b w:val="1"/>
          <w:bCs w:val="1"/>
          <w:u w:val="single" w:color="auto"/>
          <w:color w:val="auto"/>
        </w:rPr>
        <w:t>Exhibit B</w:t>
      </w:r>
      <w:r>
        <w:rPr>
          <w:rFonts w:ascii="Arial" w:cs="Arial" w:eastAsia="Arial" w:hAnsi="Arial"/>
          <w:sz w:val="20"/>
          <w:szCs w:val="20"/>
          <w:color w:val="auto"/>
        </w:rPr>
        <w:t>.</w:t>
      </w:r>
    </w:p>
    <w:p>
      <w:pPr>
        <w:spacing w:after="0" w:line="190" w:lineRule="exact"/>
        <w:rPr>
          <w:rFonts w:ascii="Arial" w:cs="Arial" w:eastAsia="Arial" w:hAnsi="Arial"/>
          <w:sz w:val="22"/>
          <w:szCs w:val="22"/>
          <w:color w:val="auto"/>
        </w:rPr>
      </w:pPr>
    </w:p>
    <w:p>
      <w:pPr>
        <w:jc w:val="both"/>
        <w:ind w:left="386" w:hanging="332"/>
        <w:spacing w:after="0" w:line="255" w:lineRule="auto"/>
        <w:tabs>
          <w:tab w:leader="none" w:pos="386" w:val="left"/>
        </w:tabs>
        <w:numPr>
          <w:ilvl w:val="0"/>
          <w:numId w:val="89"/>
        </w:numPr>
        <w:rPr>
          <w:rFonts w:ascii="Arial" w:cs="Arial" w:eastAsia="Arial" w:hAnsi="Arial"/>
          <w:sz w:val="19"/>
          <w:szCs w:val="19"/>
          <w:color w:val="auto"/>
        </w:rPr>
      </w:pPr>
      <w:r>
        <w:rPr>
          <w:rFonts w:ascii="Arial" w:cs="Arial" w:eastAsia="Arial" w:hAnsi="Arial"/>
          <w:sz w:val="19"/>
          <w:szCs w:val="19"/>
          <w:b w:val="1"/>
          <w:bCs w:val="1"/>
          <w:color w:val="auto"/>
        </w:rPr>
        <w:t xml:space="preserve">Intellectual Property. </w:t>
      </w:r>
      <w:r>
        <w:rPr>
          <w:rFonts w:ascii="Arial" w:cs="Arial" w:eastAsia="Arial" w:hAnsi="Arial"/>
          <w:sz w:val="19"/>
          <w:szCs w:val="19"/>
          <w:color w:val="auto"/>
        </w:rPr>
        <w:t>All inventions, technology, processes, innovations, ideas, improvements, developments, methods, designs,</w:t>
      </w:r>
      <w:r>
        <w:rPr>
          <w:rFonts w:ascii="Arial" w:cs="Arial" w:eastAsia="Arial" w:hAnsi="Arial"/>
          <w:sz w:val="19"/>
          <w:szCs w:val="19"/>
          <w:b w:val="1"/>
          <w:bCs w:val="1"/>
          <w:color w:val="auto"/>
        </w:rPr>
        <w:t xml:space="preserve"> </w:t>
      </w:r>
      <w:r>
        <w:rPr>
          <w:rFonts w:ascii="Arial" w:cs="Arial" w:eastAsia="Arial" w:hAnsi="Arial"/>
          <w:sz w:val="19"/>
          <w:szCs w:val="19"/>
          <w:color w:val="auto"/>
        </w:rPr>
        <w:t>analyses, trademarks, service marks, and other indicia of origin, writings, audiovisual works, concepts, drawings, reports and all similar, related, or derivative information or works (whether or not patentable or subject to copyright), including but not limited to all patents, copyrights, copyright registrations, trademarks, and trademark registrations in and to any of the foregoing, along with the right to practice, employ, exploit, use, develop, reproduce, copy, distribute copies, publish, license, or create works derivative of any of the foregoing, and the right to choose not to do or permit any of the aforementioned actions, which relate to the Company’s actual or anticipated business, research and development or existing or future products or services and which are conceived, developed or made by the Executive while employed by the Company or any of their predecessors (collectively, the “</w:t>
      </w:r>
      <w:r>
        <w:rPr>
          <w:rFonts w:ascii="Arial" w:cs="Arial" w:eastAsia="Arial" w:hAnsi="Arial"/>
          <w:sz w:val="19"/>
          <w:szCs w:val="19"/>
          <w:u w:val="single" w:color="auto"/>
          <w:color w:val="auto"/>
        </w:rPr>
        <w:t>Work Product</w:t>
      </w:r>
      <w:r>
        <w:rPr>
          <w:rFonts w:ascii="Arial" w:cs="Arial" w:eastAsia="Arial" w:hAnsi="Arial"/>
          <w:sz w:val="19"/>
          <w:szCs w:val="19"/>
          <w:color w:val="auto"/>
        </w:rPr>
        <w:t>”) belong to the Company. All Work Product created by the Executive while employed by the Company or any of its predecessors will be considered “work made for hire,” and as such, the Company is the sole owner of all rights, title, and interests therein. All other rights to any new Work Product and all rights to any existing Work Product, including but not limited to all of the Executive’s rights to any copyrights or copyright registrations related thereto, are conveyed, assigned and transferred to the Company pursuant to this Agreement. The Executive will promptly disclose and deliver such Work Product to the Company and, at the Company’s expense, perform all actions reasonably requested by the Company (whether during or after the Executive’s employment with the Company) to establish, confirm and protect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45"/>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286"/>
          </w:cols>
          <w:pgMar w:left="274" w:top="1419" w:right="339" w:bottom="1440" w:gutter="0" w:footer="0" w:header="0"/>
        </w:sectPr>
      </w:pPr>
    </w:p>
    <w:bookmarkStart w:id="104" w:name="page105"/>
    <w:bookmarkEnd w:id="104"/>
    <w:p>
      <w:pPr>
        <w:jc w:val="both"/>
        <w:ind w:left="340"/>
        <w:spacing w:after="0" w:line="260" w:lineRule="auto"/>
        <w:rPr>
          <w:sz w:val="20"/>
          <w:szCs w:val="20"/>
          <w:color w:val="auto"/>
        </w:rPr>
      </w:pPr>
      <w:r>
        <w:rPr>
          <w:rFonts w:ascii="Arial" w:cs="Arial" w:eastAsia="Arial" w:hAnsi="Arial"/>
          <w:sz w:val="20"/>
          <w:szCs w:val="20"/>
          <w:color w:val="auto"/>
        </w:rPr>
        <w:t>ownership (including, without limitation, the execution of assignments, copyright registrations, consents, licenses, powers of attorney and other instruments).</w:t>
      </w:r>
    </w:p>
    <w:p>
      <w:pPr>
        <w:spacing w:after="0" w:line="177" w:lineRule="exact"/>
        <w:rPr>
          <w:sz w:val="20"/>
          <w:szCs w:val="20"/>
          <w:color w:val="auto"/>
        </w:rPr>
      </w:pPr>
    </w:p>
    <w:p>
      <w:pPr>
        <w:jc w:val="both"/>
        <w:ind w:left="340"/>
        <w:spacing w:after="0" w:line="244" w:lineRule="auto"/>
        <w:rPr>
          <w:sz w:val="20"/>
          <w:szCs w:val="20"/>
          <w:color w:val="auto"/>
        </w:rPr>
      </w:pPr>
      <w:r>
        <w:rPr>
          <w:rFonts w:ascii="Arial" w:cs="Arial" w:eastAsia="Arial" w:hAnsi="Arial"/>
          <w:sz w:val="20"/>
          <w:szCs w:val="20"/>
          <w:color w:val="auto"/>
        </w:rPr>
        <w:t xml:space="preserve">Notwithstanding the foregoing, to the extent required under California Labor Code Sections 2870-2872, nothing in this </w:t>
      </w:r>
      <w:r>
        <w:rPr>
          <w:rFonts w:ascii="Arial" w:cs="Arial" w:eastAsia="Arial" w:hAnsi="Arial"/>
          <w:sz w:val="20"/>
          <w:szCs w:val="20"/>
          <w:u w:val="single" w:color="auto"/>
          <w:color w:val="auto"/>
        </w:rPr>
        <w:t>Section 9</w:t>
      </w:r>
      <w:r>
        <w:rPr>
          <w:rFonts w:ascii="Arial" w:cs="Arial" w:eastAsia="Arial" w:hAnsi="Arial"/>
          <w:sz w:val="20"/>
          <w:szCs w:val="20"/>
          <w:color w:val="auto"/>
        </w:rPr>
        <w:t xml:space="preserve"> shall apply to any invention that the Executive developed entirely on the Executive’s own time, without using the Company’s equipment, supplies, facilities, or trade secret information except for those inventions that either: (i) relate to the Company business at the time of conception or reduction to practice, or to actual or demonstrably anticipated research or development of the Company; or (ii) result from any work performed by the Executive for the Company.</w:t>
      </w:r>
    </w:p>
    <w:p>
      <w:pPr>
        <w:spacing w:after="0" w:line="188" w:lineRule="exact"/>
        <w:rPr>
          <w:sz w:val="20"/>
          <w:szCs w:val="20"/>
          <w:color w:val="auto"/>
        </w:rPr>
      </w:pPr>
    </w:p>
    <w:p>
      <w:pPr>
        <w:jc w:val="both"/>
        <w:ind w:left="340" w:hanging="332"/>
        <w:spacing w:after="0" w:line="272" w:lineRule="auto"/>
        <w:tabs>
          <w:tab w:leader="none" w:pos="340" w:val="left"/>
        </w:tabs>
        <w:numPr>
          <w:ilvl w:val="0"/>
          <w:numId w:val="90"/>
        </w:numPr>
        <w:rPr>
          <w:rFonts w:ascii="Arial" w:cs="Arial" w:eastAsia="Arial" w:hAnsi="Arial"/>
          <w:sz w:val="19"/>
          <w:szCs w:val="19"/>
          <w:color w:val="auto"/>
        </w:rPr>
      </w:pPr>
      <w:r>
        <w:rPr>
          <w:rFonts w:ascii="Arial" w:cs="Arial" w:eastAsia="Arial" w:hAnsi="Arial"/>
          <w:sz w:val="19"/>
          <w:szCs w:val="19"/>
          <w:b w:val="1"/>
          <w:bCs w:val="1"/>
          <w:color w:val="auto"/>
        </w:rPr>
        <w:t xml:space="preserve">Confidential Information. </w:t>
      </w:r>
      <w:r>
        <w:rPr>
          <w:rFonts w:ascii="Arial" w:cs="Arial" w:eastAsia="Arial" w:hAnsi="Arial"/>
          <w:sz w:val="19"/>
          <w:szCs w:val="19"/>
          <w:color w:val="auto"/>
        </w:rPr>
        <w:t>The Executive agrees that, during the Executive’s employment with the Company or its Affiliates and</w:t>
      </w:r>
      <w:r>
        <w:rPr>
          <w:rFonts w:ascii="Arial" w:cs="Arial" w:eastAsia="Arial" w:hAnsi="Arial"/>
          <w:sz w:val="19"/>
          <w:szCs w:val="19"/>
          <w:b w:val="1"/>
          <w:bCs w:val="1"/>
          <w:color w:val="auto"/>
        </w:rPr>
        <w:t xml:space="preserve"> </w:t>
      </w:r>
      <w:r>
        <w:rPr>
          <w:rFonts w:ascii="Arial" w:cs="Arial" w:eastAsia="Arial" w:hAnsi="Arial"/>
          <w:sz w:val="19"/>
          <w:szCs w:val="19"/>
          <w:color w:val="auto"/>
        </w:rPr>
        <w:t>following termination of the Executive’s employment, except as required by law, the Executive will not, directly or indirectly, at any time, disclose to any third person or use in any way any non-public information or Confidential Information.</w:t>
      </w:r>
    </w:p>
    <w:p>
      <w:pPr>
        <w:spacing w:after="0" w:line="167" w:lineRule="exact"/>
        <w:rPr>
          <w:rFonts w:ascii="Arial" w:cs="Arial" w:eastAsia="Arial" w:hAnsi="Arial"/>
          <w:sz w:val="19"/>
          <w:szCs w:val="19"/>
          <w:color w:val="auto"/>
        </w:rPr>
      </w:pPr>
    </w:p>
    <w:p>
      <w:pPr>
        <w:ind w:left="660" w:right="20" w:hanging="541"/>
        <w:spacing w:after="0" w:line="257" w:lineRule="auto"/>
        <w:tabs>
          <w:tab w:leader="none" w:pos="649" w:val="left"/>
        </w:tabs>
        <w:numPr>
          <w:ilvl w:val="1"/>
          <w:numId w:val="90"/>
        </w:numPr>
        <w:rPr>
          <w:rFonts w:ascii="Arial" w:cs="Arial" w:eastAsia="Arial" w:hAnsi="Arial"/>
          <w:sz w:val="19"/>
          <w:szCs w:val="19"/>
          <w:color w:val="auto"/>
        </w:rPr>
      </w:pPr>
      <w:r>
        <w:rPr>
          <w:rFonts w:ascii="Arial" w:cs="Arial" w:eastAsia="Arial" w:hAnsi="Arial"/>
          <w:sz w:val="19"/>
          <w:szCs w:val="19"/>
          <w:u w:val="single" w:color="auto"/>
          <w:color w:val="auto"/>
        </w:rPr>
        <w:t>Definition</w:t>
      </w:r>
      <w:r>
        <w:rPr>
          <w:rFonts w:ascii="Arial" w:cs="Arial" w:eastAsia="Arial" w:hAnsi="Arial"/>
          <w:sz w:val="19"/>
          <w:szCs w:val="19"/>
          <w:color w:val="auto"/>
        </w:rPr>
        <w:t>. For purposes of this Agreement, “Confidential Information” shall mean any confidential or proprietary information, including but not limited to: (a) technical, operational and financial information, data, Trade Secrets, formulae, processes, techniques, formats, specifications, manufacturing methods, treatment methods, designs, sketches, photographs, plans, drawings, specifications, samples, reports, pricing information, studies, findings, marketing plans or proposals, inventions, ideas, customer and client lists, information related to business opportunities and business development, and confidential programs or procedures; (b) any intellectual property owned or licensed by the Company or its Affiliates; (c) any information maintained by the Company or its Affiliates as confidential or proprietary information, whether or not it is marked as confidential; and (d) information received by the Company or its Affiliates from third parties under confidential conditions.</w:t>
      </w:r>
    </w:p>
    <w:p>
      <w:pPr>
        <w:spacing w:after="0" w:line="207" w:lineRule="exact"/>
        <w:rPr>
          <w:rFonts w:ascii="Arial" w:cs="Arial" w:eastAsia="Arial" w:hAnsi="Arial"/>
          <w:sz w:val="19"/>
          <w:szCs w:val="19"/>
          <w:color w:val="auto"/>
        </w:rPr>
      </w:pPr>
    </w:p>
    <w:p>
      <w:pPr>
        <w:ind w:left="660" w:right="40" w:hanging="596"/>
        <w:spacing w:after="0" w:line="276" w:lineRule="auto"/>
        <w:tabs>
          <w:tab w:leader="none" w:pos="649" w:val="left"/>
        </w:tabs>
        <w:numPr>
          <w:ilvl w:val="1"/>
          <w:numId w:val="90"/>
        </w:numPr>
        <w:rPr>
          <w:rFonts w:ascii="Arial" w:cs="Arial" w:eastAsia="Arial" w:hAnsi="Arial"/>
          <w:sz w:val="18"/>
          <w:szCs w:val="18"/>
          <w:color w:val="auto"/>
        </w:rPr>
      </w:pPr>
      <w:r>
        <w:rPr>
          <w:rFonts w:ascii="Arial" w:cs="Arial" w:eastAsia="Arial" w:hAnsi="Arial"/>
          <w:sz w:val="18"/>
          <w:szCs w:val="18"/>
          <w:color w:val="auto"/>
        </w:rPr>
        <w:t>Notwithstanding the foregoing, Confidential Information shall not include information: (i) that at the date hereof is in the public domain; (ii) that has come within the public domain through no fault or action of the Executive that has the obligation of confidentiality (provided, however, that the fact that general information may be in or become part of the public domain, in and of itself, does not exclude any specific information from the obligations of this Agreement); (iii) that after the date hereof has been obtained lawfully from any third party which was entitled to disclose such information; and/or (iv) that the Executive is compelled to disclose by any judicial or administrative order after having given prompt notice of such order to the Company.</w:t>
      </w:r>
    </w:p>
    <w:p>
      <w:pPr>
        <w:spacing w:after="0" w:line="191" w:lineRule="exact"/>
        <w:rPr>
          <w:rFonts w:ascii="Arial" w:cs="Arial" w:eastAsia="Arial" w:hAnsi="Arial"/>
          <w:sz w:val="18"/>
          <w:szCs w:val="18"/>
          <w:color w:val="auto"/>
        </w:rPr>
      </w:pPr>
    </w:p>
    <w:p>
      <w:pPr>
        <w:ind w:left="640" w:hanging="631"/>
        <w:spacing w:after="0"/>
        <w:tabs>
          <w:tab w:leader="none" w:pos="640" w:val="left"/>
        </w:tabs>
        <w:numPr>
          <w:ilvl w:val="1"/>
          <w:numId w:val="90"/>
        </w:numPr>
        <w:rPr>
          <w:rFonts w:ascii="Arial" w:cs="Arial" w:eastAsia="Arial" w:hAnsi="Arial"/>
          <w:sz w:val="18"/>
          <w:szCs w:val="18"/>
          <w:color w:val="auto"/>
        </w:rPr>
      </w:pPr>
      <w:r>
        <w:rPr>
          <w:rFonts w:ascii="Arial" w:cs="Arial" w:eastAsia="Arial" w:hAnsi="Arial"/>
          <w:sz w:val="18"/>
          <w:szCs w:val="18"/>
          <w:u w:val="single" w:color="auto"/>
          <w:color w:val="auto"/>
        </w:rPr>
        <w:t>Obligations with respect to Confidential Information</w:t>
      </w:r>
      <w:r>
        <w:rPr>
          <w:rFonts w:ascii="Arial" w:cs="Arial" w:eastAsia="Arial" w:hAnsi="Arial"/>
          <w:sz w:val="18"/>
          <w:szCs w:val="18"/>
          <w:color w:val="auto"/>
        </w:rPr>
        <w:t>. The Executive agrees that, during the Term and thereafter, the Executive will:</w:t>
      </w:r>
    </w:p>
    <w:p>
      <w:pPr>
        <w:spacing w:after="0" w:line="265" w:lineRule="exact"/>
        <w:rPr>
          <w:rFonts w:ascii="Arial" w:cs="Arial" w:eastAsia="Arial" w:hAnsi="Arial"/>
          <w:sz w:val="18"/>
          <w:szCs w:val="18"/>
          <w:color w:val="auto"/>
        </w:rPr>
      </w:pPr>
    </w:p>
    <w:p>
      <w:pPr>
        <w:ind w:left="900" w:hanging="374"/>
        <w:spacing w:after="0"/>
        <w:tabs>
          <w:tab w:leader="none" w:pos="900" w:val="left"/>
        </w:tabs>
        <w:numPr>
          <w:ilvl w:val="2"/>
          <w:numId w:val="90"/>
        </w:numPr>
        <w:rPr>
          <w:rFonts w:ascii="Arial" w:cs="Arial" w:eastAsia="Arial" w:hAnsi="Arial"/>
          <w:sz w:val="20"/>
          <w:szCs w:val="20"/>
          <w:color w:val="auto"/>
        </w:rPr>
      </w:pPr>
      <w:r>
        <w:rPr>
          <w:rFonts w:ascii="Arial" w:cs="Arial" w:eastAsia="Arial" w:hAnsi="Arial"/>
          <w:sz w:val="20"/>
          <w:szCs w:val="20"/>
          <w:color w:val="auto"/>
        </w:rPr>
        <w:t>hold the Confidential Information in strict confidence; and</w:t>
      </w:r>
    </w:p>
    <w:p>
      <w:pPr>
        <w:spacing w:after="0" w:line="242" w:lineRule="exact"/>
        <w:rPr>
          <w:rFonts w:ascii="Arial" w:cs="Arial" w:eastAsia="Arial" w:hAnsi="Arial"/>
          <w:sz w:val="20"/>
          <w:szCs w:val="20"/>
          <w:color w:val="auto"/>
        </w:rPr>
      </w:pPr>
    </w:p>
    <w:p>
      <w:pPr>
        <w:ind w:left="920" w:right="260" w:hanging="394"/>
        <w:spacing w:after="0" w:line="260" w:lineRule="auto"/>
        <w:tabs>
          <w:tab w:leader="none" w:pos="910" w:val="left"/>
        </w:tabs>
        <w:numPr>
          <w:ilvl w:val="2"/>
          <w:numId w:val="90"/>
        </w:numPr>
        <w:rPr>
          <w:rFonts w:ascii="Arial" w:cs="Arial" w:eastAsia="Arial" w:hAnsi="Arial"/>
          <w:sz w:val="20"/>
          <w:szCs w:val="20"/>
          <w:color w:val="auto"/>
        </w:rPr>
      </w:pPr>
      <w:r>
        <w:rPr>
          <w:rFonts w:ascii="Arial" w:cs="Arial" w:eastAsia="Arial" w:hAnsi="Arial"/>
          <w:sz w:val="20"/>
          <w:szCs w:val="20"/>
          <w:color w:val="auto"/>
        </w:rPr>
        <w:t>not give, sell or disclose Confidential Information to any other third party, unless such party is an auditor or contractor hired by the Company and then only upon written approval of the Board.</w:t>
      </w:r>
    </w:p>
    <w:p>
      <w:pPr>
        <w:spacing w:after="0" w:line="204" w:lineRule="exact"/>
        <w:rPr>
          <w:sz w:val="20"/>
          <w:szCs w:val="20"/>
          <w:color w:val="auto"/>
        </w:rPr>
      </w:pPr>
    </w:p>
    <w:p>
      <w:pPr>
        <w:jc w:val="both"/>
        <w:ind w:left="660" w:right="200"/>
        <w:spacing w:after="0" w:line="250" w:lineRule="auto"/>
        <w:rPr>
          <w:sz w:val="20"/>
          <w:szCs w:val="20"/>
          <w:color w:val="auto"/>
        </w:rPr>
      </w:pPr>
      <w:r>
        <w:rPr>
          <w:rFonts w:ascii="Arial" w:cs="Arial" w:eastAsia="Arial" w:hAnsi="Arial"/>
          <w:sz w:val="20"/>
          <w:szCs w:val="20"/>
          <w:color w:val="auto"/>
        </w:rPr>
        <w:t>For avoidance of doubt, nothing in this Agreement shall prevent the Executive from sharing any Confidential Information or other information with regulators or appropriate governmental agencies without notice to the Company, whether in response to subpoena or otherwise, under the</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240"/>
          </w:cols>
          <w:pgMar w:left="320" w:top="1419" w:right="339" w:bottom="1440" w:gutter="0" w:footer="0" w:header="0"/>
        </w:sectPr>
      </w:pPr>
    </w:p>
    <w:bookmarkStart w:id="105" w:name="page106"/>
    <w:bookmarkEnd w:id="105"/>
    <w:p>
      <w:pPr>
        <w:ind w:left="660" w:right="380"/>
        <w:spacing w:after="0" w:line="260" w:lineRule="auto"/>
        <w:rPr>
          <w:sz w:val="20"/>
          <w:szCs w:val="20"/>
          <w:color w:val="auto"/>
        </w:rPr>
      </w:pPr>
      <w:r>
        <w:rPr>
          <w:rFonts w:ascii="Arial" w:cs="Arial" w:eastAsia="Arial" w:hAnsi="Arial"/>
          <w:sz w:val="20"/>
          <w:szCs w:val="20"/>
          <w:color w:val="auto"/>
        </w:rPr>
        <w:t>whistleblower provisions of federal law or regulation, and no prior authorization or notification is required prior to the Executive making any such reports or disclosures, provided, that no attorney client privilege shall be waived.</w:t>
      </w:r>
    </w:p>
    <w:p>
      <w:pPr>
        <w:spacing w:after="0" w:line="198" w:lineRule="exact"/>
        <w:rPr>
          <w:sz w:val="20"/>
          <w:szCs w:val="20"/>
          <w:color w:val="auto"/>
        </w:rPr>
      </w:pPr>
    </w:p>
    <w:p>
      <w:pPr>
        <w:jc w:val="both"/>
        <w:ind w:left="340" w:hanging="332"/>
        <w:spacing w:after="0" w:line="246" w:lineRule="auto"/>
        <w:tabs>
          <w:tab w:leader="none" w:pos="340" w:val="left"/>
        </w:tabs>
        <w:numPr>
          <w:ilvl w:val="0"/>
          <w:numId w:val="91"/>
        </w:numPr>
        <w:rPr>
          <w:rFonts w:ascii="Arial" w:cs="Arial" w:eastAsia="Arial" w:hAnsi="Arial"/>
          <w:sz w:val="20"/>
          <w:szCs w:val="20"/>
          <w:color w:val="auto"/>
        </w:rPr>
      </w:pPr>
      <w:r>
        <w:rPr>
          <w:rFonts w:ascii="Arial" w:cs="Arial" w:eastAsia="Arial" w:hAnsi="Arial"/>
          <w:sz w:val="20"/>
          <w:szCs w:val="20"/>
          <w:b w:val="1"/>
          <w:bCs w:val="1"/>
          <w:color w:val="auto"/>
        </w:rPr>
        <w:t xml:space="preserve">Trade Secrets. </w:t>
      </w:r>
      <w:r>
        <w:rPr>
          <w:rFonts w:ascii="Arial" w:cs="Arial" w:eastAsia="Arial" w:hAnsi="Arial"/>
          <w:sz w:val="20"/>
          <w:szCs w:val="20"/>
          <w:color w:val="auto"/>
        </w:rPr>
        <w:t>The Executive acknowledges that the Executive’s obligations under</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auto"/>
        </w:rPr>
        <w:t>Section 10</w:t>
      </w:r>
      <w:r>
        <w:rPr>
          <w:rFonts w:ascii="Arial" w:cs="Arial" w:eastAsia="Arial" w:hAnsi="Arial"/>
          <w:sz w:val="20"/>
          <w:szCs w:val="20"/>
          <w:b w:val="1"/>
          <w:bCs w:val="1"/>
          <w:color w:val="auto"/>
        </w:rPr>
        <w:t xml:space="preserve"> </w:t>
      </w:r>
      <w:r>
        <w:rPr>
          <w:rFonts w:ascii="Arial" w:cs="Arial" w:eastAsia="Arial" w:hAnsi="Arial"/>
          <w:sz w:val="20"/>
          <w:szCs w:val="20"/>
          <w:color w:val="auto"/>
        </w:rPr>
        <w:t>are separate and distinct from the</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Executive’s promise and obligation, affirmed by this Agreement, not to disclose or use the Company’s or its Affiliates’ “Trade Secrets,” as defined by the applicable federal and state laws. During and at all times after the Term, Trade Secrets of the Company shall be subject to the maximum protections available under applicable law and no less protection than that provided by this Agreement applicable to “Confidential Information,” as described in </w:t>
      </w:r>
      <w:r>
        <w:rPr>
          <w:rFonts w:ascii="Arial" w:cs="Arial" w:eastAsia="Arial" w:hAnsi="Arial"/>
          <w:sz w:val="20"/>
          <w:szCs w:val="20"/>
          <w:u w:val="single" w:color="auto"/>
          <w:color w:val="auto"/>
        </w:rPr>
        <w:t>Section 10</w:t>
      </w:r>
      <w:r>
        <w:rPr>
          <w:rFonts w:ascii="Arial" w:cs="Arial" w:eastAsia="Arial" w:hAnsi="Arial"/>
          <w:sz w:val="20"/>
          <w:szCs w:val="20"/>
          <w:color w:val="auto"/>
        </w:rPr>
        <w:t>.</w:t>
      </w:r>
    </w:p>
    <w:p>
      <w:pPr>
        <w:spacing w:after="0" w:line="184" w:lineRule="exact"/>
        <w:rPr>
          <w:rFonts w:ascii="Arial" w:cs="Arial" w:eastAsia="Arial" w:hAnsi="Arial"/>
          <w:sz w:val="20"/>
          <w:szCs w:val="20"/>
          <w:color w:val="auto"/>
        </w:rPr>
      </w:pPr>
    </w:p>
    <w:p>
      <w:pPr>
        <w:jc w:val="both"/>
        <w:ind w:left="340" w:hanging="332"/>
        <w:spacing w:after="0" w:line="285" w:lineRule="auto"/>
        <w:tabs>
          <w:tab w:leader="none" w:pos="340" w:val="left"/>
        </w:tabs>
        <w:numPr>
          <w:ilvl w:val="0"/>
          <w:numId w:val="91"/>
        </w:numPr>
        <w:rPr>
          <w:rFonts w:ascii="Arial" w:cs="Arial" w:eastAsia="Arial" w:hAnsi="Arial"/>
          <w:sz w:val="18"/>
          <w:szCs w:val="18"/>
          <w:color w:val="auto"/>
        </w:rPr>
      </w:pPr>
      <w:r>
        <w:rPr>
          <w:rFonts w:ascii="Arial" w:cs="Arial" w:eastAsia="Arial" w:hAnsi="Arial"/>
          <w:sz w:val="18"/>
          <w:szCs w:val="18"/>
          <w:b w:val="1"/>
          <w:bCs w:val="1"/>
          <w:color w:val="auto"/>
        </w:rPr>
        <w:t xml:space="preserve">Protected Rights. </w:t>
      </w:r>
      <w:r>
        <w:rPr>
          <w:rFonts w:ascii="Arial" w:cs="Arial" w:eastAsia="Arial" w:hAnsi="Arial"/>
          <w:sz w:val="18"/>
          <w:szCs w:val="18"/>
          <w:color w:val="auto"/>
        </w:rPr>
        <w:t>Nothing in this Agreement prohibits the Executive from reporting to any governmental authority information</w:t>
      </w:r>
      <w:r>
        <w:rPr>
          <w:rFonts w:ascii="Arial" w:cs="Arial" w:eastAsia="Arial" w:hAnsi="Arial"/>
          <w:sz w:val="18"/>
          <w:szCs w:val="18"/>
          <w:b w:val="1"/>
          <w:bCs w:val="1"/>
          <w:color w:val="auto"/>
        </w:rPr>
        <w:t xml:space="preserve"> </w:t>
      </w:r>
      <w:r>
        <w:rPr>
          <w:rFonts w:ascii="Arial" w:cs="Arial" w:eastAsia="Arial" w:hAnsi="Arial"/>
          <w:sz w:val="18"/>
          <w:szCs w:val="18"/>
          <w:color w:val="auto"/>
        </w:rPr>
        <w:t>concerning possible violations of law or regulation. Provided the Executive does so consistent with 18 U.S.C. § 1833, the Executive may disclose Trade Secret information to a government official or to an attorney for the purposes of obtaining legal advice or use it in certain court proceedings without fear of prosecution or liability if the Trade Secret information is filed under seal.</w:t>
      </w:r>
    </w:p>
    <w:p>
      <w:pPr>
        <w:spacing w:after="0" w:line="150" w:lineRule="exact"/>
        <w:rPr>
          <w:rFonts w:ascii="Arial" w:cs="Arial" w:eastAsia="Arial" w:hAnsi="Arial"/>
          <w:sz w:val="18"/>
          <w:szCs w:val="18"/>
          <w:color w:val="auto"/>
        </w:rPr>
      </w:pPr>
    </w:p>
    <w:p>
      <w:pPr>
        <w:jc w:val="both"/>
        <w:ind w:left="340" w:hanging="332"/>
        <w:spacing w:after="0" w:line="260" w:lineRule="auto"/>
        <w:tabs>
          <w:tab w:leader="none" w:pos="340" w:val="left"/>
        </w:tabs>
        <w:numPr>
          <w:ilvl w:val="0"/>
          <w:numId w:val="91"/>
        </w:numPr>
        <w:rPr>
          <w:rFonts w:ascii="Arial" w:cs="Arial" w:eastAsia="Arial" w:hAnsi="Arial"/>
          <w:sz w:val="19"/>
          <w:szCs w:val="19"/>
          <w:color w:val="auto"/>
        </w:rPr>
      </w:pPr>
      <w:r>
        <w:rPr>
          <w:rFonts w:ascii="Arial" w:cs="Arial" w:eastAsia="Arial" w:hAnsi="Arial"/>
          <w:sz w:val="19"/>
          <w:szCs w:val="19"/>
          <w:b w:val="1"/>
          <w:bCs w:val="1"/>
          <w:color w:val="auto"/>
        </w:rPr>
        <w:t xml:space="preserve">Non-Disparagement. </w:t>
      </w:r>
      <w:r>
        <w:rPr>
          <w:rFonts w:ascii="Arial" w:cs="Arial" w:eastAsia="Arial" w:hAnsi="Arial"/>
          <w:sz w:val="19"/>
          <w:szCs w:val="19"/>
          <w:color w:val="auto"/>
        </w:rPr>
        <w:t>The Executive and the Company each agrees that during the Term and thereafter, neither party will disparage the</w:t>
      </w:r>
      <w:r>
        <w:rPr>
          <w:rFonts w:ascii="Arial" w:cs="Arial" w:eastAsia="Arial" w:hAnsi="Arial"/>
          <w:sz w:val="19"/>
          <w:szCs w:val="19"/>
          <w:b w:val="1"/>
          <w:bCs w:val="1"/>
          <w:color w:val="auto"/>
        </w:rPr>
        <w:t xml:space="preserve"> </w:t>
      </w:r>
      <w:r>
        <w:rPr>
          <w:rFonts w:ascii="Arial" w:cs="Arial" w:eastAsia="Arial" w:hAnsi="Arial"/>
          <w:sz w:val="19"/>
          <w:szCs w:val="19"/>
          <w:color w:val="auto"/>
        </w:rPr>
        <w:t>other, including any products, services or practices, any affiliates, directors, officers, agents, representatives, stockholders or affiliates of the Company, either orally or in writing at any time. For the avoidance of doubt, nothing in this Agreement shall prohibit the either the Company or the Executive from making truthful statements (a) in the course of sworn testimony in administrative, judicial or arbitral proceedings (including, without limitation, depositions in connection with such proceedings), or (b) to regulators or appropriate government agencies in fulfillment of their statutory or regulatory obligations.</w:t>
      </w:r>
    </w:p>
    <w:p>
      <w:pPr>
        <w:spacing w:after="0" w:line="172" w:lineRule="exact"/>
        <w:rPr>
          <w:rFonts w:ascii="Arial" w:cs="Arial" w:eastAsia="Arial" w:hAnsi="Arial"/>
          <w:sz w:val="19"/>
          <w:szCs w:val="19"/>
          <w:color w:val="auto"/>
        </w:rPr>
      </w:pPr>
    </w:p>
    <w:p>
      <w:pPr>
        <w:jc w:val="both"/>
        <w:ind w:left="340" w:hanging="332"/>
        <w:spacing w:after="0" w:line="260" w:lineRule="auto"/>
        <w:tabs>
          <w:tab w:leader="none" w:pos="331" w:val="left"/>
        </w:tabs>
        <w:numPr>
          <w:ilvl w:val="0"/>
          <w:numId w:val="91"/>
        </w:numPr>
        <w:rPr>
          <w:rFonts w:ascii="Arial" w:cs="Arial" w:eastAsia="Arial" w:hAnsi="Arial"/>
          <w:sz w:val="19"/>
          <w:szCs w:val="19"/>
          <w:color w:val="auto"/>
        </w:rPr>
      </w:pPr>
      <w:r>
        <w:rPr>
          <w:rFonts w:ascii="Arial" w:cs="Arial" w:eastAsia="Arial" w:hAnsi="Arial"/>
          <w:sz w:val="19"/>
          <w:szCs w:val="19"/>
          <w:b w:val="1"/>
          <w:bCs w:val="1"/>
          <w:color w:val="auto"/>
        </w:rPr>
        <w:t xml:space="preserve">Company Property. </w:t>
      </w:r>
      <w:r>
        <w:rPr>
          <w:rFonts w:ascii="Arial" w:cs="Arial" w:eastAsia="Arial" w:hAnsi="Arial"/>
          <w:sz w:val="19"/>
          <w:szCs w:val="19"/>
          <w:color w:val="auto"/>
        </w:rPr>
        <w:t>All information, materials, documents, supplies, equipment, and other property furnished to the Executive by the</w:t>
      </w:r>
      <w:r>
        <w:rPr>
          <w:rFonts w:ascii="Arial" w:cs="Arial" w:eastAsia="Arial" w:hAnsi="Arial"/>
          <w:sz w:val="19"/>
          <w:szCs w:val="19"/>
          <w:b w:val="1"/>
          <w:bCs w:val="1"/>
          <w:color w:val="auto"/>
        </w:rPr>
        <w:t xml:space="preserve"> </w:t>
      </w:r>
      <w:r>
        <w:rPr>
          <w:rFonts w:ascii="Arial" w:cs="Arial" w:eastAsia="Arial" w:hAnsi="Arial"/>
          <w:sz w:val="19"/>
          <w:szCs w:val="19"/>
          <w:color w:val="auto"/>
        </w:rPr>
        <w:t>Company in connection with performance of services under this Agreement will be and remain the sole property of the Company. On the date of the termination of the Executive’s employment under this Agreement for any reason, or at any other time at the Company’s request, the Executive must return to the Company all tangible and intellectual property in whatever form belonging to the Company (including, but not limited to, Confidential Information, Company vehicles, laptops, computers, cell phones, wireless electronic mail devices, code, and other equipment, information, documents, and property).</w:t>
      </w:r>
    </w:p>
    <w:p>
      <w:pPr>
        <w:spacing w:after="0" w:line="172" w:lineRule="exact"/>
        <w:rPr>
          <w:rFonts w:ascii="Arial" w:cs="Arial" w:eastAsia="Arial" w:hAnsi="Arial"/>
          <w:sz w:val="19"/>
          <w:szCs w:val="19"/>
          <w:color w:val="auto"/>
        </w:rPr>
      </w:pPr>
    </w:p>
    <w:p>
      <w:pPr>
        <w:jc w:val="both"/>
        <w:ind w:left="340" w:hanging="332"/>
        <w:spacing w:after="0" w:line="246" w:lineRule="auto"/>
        <w:tabs>
          <w:tab w:leader="none" w:pos="323" w:val="left"/>
        </w:tabs>
        <w:numPr>
          <w:ilvl w:val="0"/>
          <w:numId w:val="91"/>
        </w:numPr>
        <w:rPr>
          <w:rFonts w:ascii="Arial" w:cs="Arial" w:eastAsia="Arial" w:hAnsi="Arial"/>
          <w:sz w:val="20"/>
          <w:szCs w:val="20"/>
          <w:color w:val="auto"/>
        </w:rPr>
      </w:pPr>
      <w:r>
        <w:rPr>
          <w:rFonts w:ascii="Arial" w:cs="Arial" w:eastAsia="Arial" w:hAnsi="Arial"/>
          <w:sz w:val="20"/>
          <w:szCs w:val="20"/>
          <w:b w:val="1"/>
          <w:bCs w:val="1"/>
          <w:color w:val="auto"/>
        </w:rPr>
        <w:t xml:space="preserve">Non-Disclosure. </w:t>
      </w:r>
      <w:r>
        <w:rPr>
          <w:rFonts w:ascii="Arial" w:cs="Arial" w:eastAsia="Arial" w:hAnsi="Arial"/>
          <w:sz w:val="20"/>
          <w:szCs w:val="20"/>
          <w:color w:val="auto"/>
        </w:rPr>
        <w:t>Except as otherwise required by law (including, without limitation, in all required filings with the Securities and</w:t>
      </w:r>
      <w:r>
        <w:rPr>
          <w:rFonts w:ascii="Arial" w:cs="Arial" w:eastAsia="Arial" w:hAnsi="Arial"/>
          <w:sz w:val="20"/>
          <w:szCs w:val="20"/>
          <w:b w:val="1"/>
          <w:bCs w:val="1"/>
          <w:color w:val="auto"/>
        </w:rPr>
        <w:t xml:space="preserve"> </w:t>
      </w:r>
      <w:r>
        <w:rPr>
          <w:rFonts w:ascii="Arial" w:cs="Arial" w:eastAsia="Arial" w:hAnsi="Arial"/>
          <w:sz w:val="20"/>
          <w:szCs w:val="20"/>
          <w:color w:val="auto"/>
        </w:rPr>
        <w:t>Exchange Commission), the Executive shall not disclose the financial terms of this Agreement to any person or entity, except that the financial terms of this Agreement may be disclosed to: (a) the Executive’s attorneys, accountants, or financial or tax advisors, and (b) members of the Executive’s immediate family; provided, in the case of each of (a) and (b), that such persons agree not to reveal the financial terms of this Agreement any further.</w:t>
      </w:r>
    </w:p>
    <w:p>
      <w:pPr>
        <w:spacing w:after="0" w:line="184" w:lineRule="exact"/>
        <w:rPr>
          <w:rFonts w:ascii="Arial" w:cs="Arial" w:eastAsia="Arial" w:hAnsi="Arial"/>
          <w:sz w:val="20"/>
          <w:szCs w:val="20"/>
          <w:color w:val="auto"/>
        </w:rPr>
      </w:pPr>
    </w:p>
    <w:p>
      <w:pPr>
        <w:jc w:val="both"/>
        <w:ind w:left="340" w:hanging="332"/>
        <w:spacing w:after="0" w:line="265" w:lineRule="auto"/>
        <w:tabs>
          <w:tab w:leader="none" w:pos="331" w:val="left"/>
        </w:tabs>
        <w:numPr>
          <w:ilvl w:val="0"/>
          <w:numId w:val="91"/>
        </w:numPr>
        <w:rPr>
          <w:rFonts w:ascii="Arial" w:cs="Arial" w:eastAsia="Arial" w:hAnsi="Arial"/>
          <w:sz w:val="19"/>
          <w:szCs w:val="19"/>
          <w:color w:val="auto"/>
        </w:rPr>
      </w:pPr>
      <w:r>
        <w:rPr>
          <w:rFonts w:ascii="Arial" w:cs="Arial" w:eastAsia="Arial" w:hAnsi="Arial"/>
          <w:sz w:val="19"/>
          <w:szCs w:val="19"/>
          <w:b w:val="1"/>
          <w:bCs w:val="1"/>
          <w:color w:val="auto"/>
        </w:rPr>
        <w:t xml:space="preserve">Successors and Assigns, No Third Party Beneficiaries. </w:t>
      </w:r>
      <w:r>
        <w:rPr>
          <w:rFonts w:ascii="Arial" w:cs="Arial" w:eastAsia="Arial" w:hAnsi="Arial"/>
          <w:sz w:val="19"/>
          <w:szCs w:val="19"/>
          <w:color w:val="auto"/>
        </w:rPr>
        <w:t>The rights and obligations of the Company under this Agreement shall be</w:t>
      </w:r>
      <w:r>
        <w:rPr>
          <w:rFonts w:ascii="Arial" w:cs="Arial" w:eastAsia="Arial" w:hAnsi="Arial"/>
          <w:sz w:val="19"/>
          <w:szCs w:val="19"/>
          <w:b w:val="1"/>
          <w:bCs w:val="1"/>
          <w:color w:val="auto"/>
        </w:rPr>
        <w:t xml:space="preserve"> </w:t>
      </w:r>
      <w:r>
        <w:rPr>
          <w:rFonts w:ascii="Arial" w:cs="Arial" w:eastAsia="Arial" w:hAnsi="Arial"/>
          <w:sz w:val="19"/>
          <w:szCs w:val="19"/>
          <w:color w:val="auto"/>
        </w:rPr>
        <w:t>binding on and inure to the benefit of the Company, its successors and permitted assigns. The rights and obligations of the Executive under this Agreement shall be binding on and inure to the benefit of the heirs and legal representatives of the Executive. Neither party may assign this Agreement without the prior written consent of the other, except that the Company may</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240"/>
          </w:cols>
          <w:pgMar w:left="320" w:top="1419" w:right="339" w:bottom="1440" w:gutter="0" w:footer="0" w:header="0"/>
        </w:sectPr>
      </w:pPr>
    </w:p>
    <w:bookmarkStart w:id="106" w:name="page107"/>
    <w:bookmarkEnd w:id="106"/>
    <w:p>
      <w:pPr>
        <w:spacing w:after="0" w:line="195" w:lineRule="exact"/>
        <w:rPr>
          <w:sz w:val="20"/>
          <w:szCs w:val="20"/>
          <w:color w:val="auto"/>
        </w:rPr>
      </w:pPr>
    </w:p>
    <w:p>
      <w:pPr>
        <w:ind w:left="340"/>
        <w:spacing w:after="0"/>
        <w:rPr>
          <w:sz w:val="20"/>
          <w:szCs w:val="20"/>
          <w:color w:val="auto"/>
        </w:rPr>
      </w:pPr>
      <w:r>
        <w:rPr>
          <w:rFonts w:ascii="Arial" w:cs="Arial" w:eastAsia="Arial" w:hAnsi="Arial"/>
          <w:sz w:val="20"/>
          <w:szCs w:val="20"/>
          <w:color w:val="auto"/>
        </w:rPr>
        <w:t>assign the Agreement to any entity acquiring all or substantially all of the assets or the business of the Company.</w:t>
      </w:r>
    </w:p>
    <w:p>
      <w:pPr>
        <w:spacing w:after="0" w:line="210" w:lineRule="exact"/>
        <w:rPr>
          <w:sz w:val="20"/>
          <w:szCs w:val="20"/>
          <w:color w:val="auto"/>
        </w:rPr>
      </w:pPr>
    </w:p>
    <w:p>
      <w:pPr>
        <w:jc w:val="both"/>
        <w:ind w:left="340" w:hanging="332"/>
        <w:spacing w:after="0" w:line="245" w:lineRule="auto"/>
        <w:tabs>
          <w:tab w:leader="none" w:pos="331" w:val="left"/>
        </w:tabs>
        <w:numPr>
          <w:ilvl w:val="0"/>
          <w:numId w:val="92"/>
        </w:numPr>
        <w:rPr>
          <w:rFonts w:ascii="Arial" w:cs="Arial" w:eastAsia="Arial" w:hAnsi="Arial"/>
          <w:sz w:val="20"/>
          <w:szCs w:val="20"/>
          <w:color w:val="auto"/>
        </w:rPr>
      </w:pPr>
      <w:r>
        <w:rPr>
          <w:rFonts w:ascii="Arial" w:cs="Arial" w:eastAsia="Arial" w:hAnsi="Arial"/>
          <w:sz w:val="20"/>
          <w:szCs w:val="20"/>
          <w:b w:val="1"/>
          <w:bCs w:val="1"/>
          <w:color w:val="auto"/>
        </w:rPr>
        <w:t xml:space="preserve">Waiver or Modification. </w:t>
      </w:r>
      <w:r>
        <w:rPr>
          <w:rFonts w:ascii="Arial" w:cs="Arial" w:eastAsia="Arial" w:hAnsi="Arial"/>
          <w:sz w:val="20"/>
          <w:szCs w:val="20"/>
          <w:color w:val="auto"/>
        </w:rPr>
        <w:t>Any waiver by the Company of a breach of any provision of this Agreement shall not operate as, or be</w:t>
      </w:r>
      <w:r>
        <w:rPr>
          <w:rFonts w:ascii="Arial" w:cs="Arial" w:eastAsia="Arial" w:hAnsi="Arial"/>
          <w:sz w:val="20"/>
          <w:szCs w:val="20"/>
          <w:b w:val="1"/>
          <w:bCs w:val="1"/>
          <w:color w:val="auto"/>
        </w:rPr>
        <w:t xml:space="preserve"> </w:t>
      </w:r>
      <w:r>
        <w:rPr>
          <w:rFonts w:ascii="Arial" w:cs="Arial" w:eastAsia="Arial" w:hAnsi="Arial"/>
          <w:sz w:val="20"/>
          <w:szCs w:val="20"/>
          <w:color w:val="auto"/>
        </w:rPr>
        <w:t>construed to be, a waiver of any other breach of such provision of this Agreement. The failure of the Company to insist on strict adherence to any term of this Agreement on one or more occasions shall not be considered a waiver or deprive the Company of the right thereafter to insist on strict adherence to that term or any other term of this Agreement. Neither this Agreement nor any part of it may be waived, changed or terminated orally, and any waiver, amendment or modification must be in writing signed by the Executive and the Company.</w:t>
      </w:r>
    </w:p>
    <w:p>
      <w:pPr>
        <w:spacing w:after="0" w:line="184" w:lineRule="exact"/>
        <w:rPr>
          <w:rFonts w:ascii="Arial" w:cs="Arial" w:eastAsia="Arial" w:hAnsi="Arial"/>
          <w:sz w:val="20"/>
          <w:szCs w:val="20"/>
          <w:color w:val="auto"/>
        </w:rPr>
      </w:pPr>
    </w:p>
    <w:p>
      <w:pPr>
        <w:jc w:val="both"/>
        <w:ind w:left="340" w:hanging="332"/>
        <w:spacing w:after="0" w:line="270" w:lineRule="auto"/>
        <w:tabs>
          <w:tab w:leader="none" w:pos="331" w:val="left"/>
        </w:tabs>
        <w:numPr>
          <w:ilvl w:val="0"/>
          <w:numId w:val="92"/>
        </w:numPr>
        <w:rPr>
          <w:rFonts w:ascii="Arial" w:cs="Arial" w:eastAsia="Arial" w:hAnsi="Arial"/>
          <w:sz w:val="18"/>
          <w:szCs w:val="18"/>
          <w:color w:val="auto"/>
        </w:rPr>
      </w:pPr>
      <w:r>
        <w:rPr>
          <w:rFonts w:ascii="Arial" w:cs="Arial" w:eastAsia="Arial" w:hAnsi="Arial"/>
          <w:sz w:val="18"/>
          <w:szCs w:val="18"/>
          <w:b w:val="1"/>
          <w:bCs w:val="1"/>
          <w:color w:val="auto"/>
        </w:rPr>
        <w:t xml:space="preserve">Choice of Law; Arbitration; Choice of Forum. </w:t>
      </w:r>
      <w:r>
        <w:rPr>
          <w:rFonts w:ascii="Arial" w:cs="Arial" w:eastAsia="Arial" w:hAnsi="Arial"/>
          <w:sz w:val="18"/>
          <w:szCs w:val="18"/>
          <w:color w:val="auto"/>
        </w:rPr>
        <w:t>This Agreement will be governed and construed and enforced in accordance with the</w:t>
      </w:r>
      <w:r>
        <w:rPr>
          <w:rFonts w:ascii="Arial" w:cs="Arial" w:eastAsia="Arial" w:hAnsi="Arial"/>
          <w:sz w:val="18"/>
          <w:szCs w:val="18"/>
          <w:b w:val="1"/>
          <w:bCs w:val="1"/>
          <w:color w:val="auto"/>
        </w:rPr>
        <w:t xml:space="preserve"> </w:t>
      </w:r>
      <w:r>
        <w:rPr>
          <w:rFonts w:ascii="Arial" w:cs="Arial" w:eastAsia="Arial" w:hAnsi="Arial"/>
          <w:sz w:val="18"/>
          <w:szCs w:val="18"/>
          <w:color w:val="auto"/>
        </w:rPr>
        <w:t>laws of the State of California without regard to its conflicts of law rules. Any controversy, dispute or claim arising out of this Agreement or relating to the Executive’s employment with Company shall first be settled through good faith negotiation. If the parties are unsuccessful at resolving the dispute through negotiation, except for injunctive or other equitable relief or as otherwise provided in this Agreement, any and all legal proceedings arising out of or relating to this Agreement or relating to the Executive’s employment with Company, whether sounding in contract, tort or statute, shall be resolved through a confidential arbitration administered by Judicial Arbitration &amp; Mediation Services, Inc. (“</w:t>
      </w:r>
      <w:r>
        <w:rPr>
          <w:rFonts w:ascii="Arial" w:cs="Arial" w:eastAsia="Arial" w:hAnsi="Arial"/>
          <w:sz w:val="18"/>
          <w:szCs w:val="18"/>
          <w:u w:val="single" w:color="auto"/>
          <w:color w:val="auto"/>
        </w:rPr>
        <w:t>JAMS</w:t>
      </w:r>
      <w:r>
        <w:rPr>
          <w:rFonts w:ascii="Arial" w:cs="Arial" w:eastAsia="Arial" w:hAnsi="Arial"/>
          <w:sz w:val="18"/>
          <w:szCs w:val="18"/>
          <w:color w:val="auto"/>
        </w:rPr>
        <w:t xml:space="preserve">”) pursuant to the JAMS Employment Arbitration Rules and Procedures, or successor rules then in effect and to the extent permitted by law. The rules and further information are available at </w:t>
      </w:r>
      <w:r>
        <w:rPr>
          <w:rFonts w:ascii="Arial" w:cs="Arial" w:eastAsia="Arial" w:hAnsi="Arial"/>
          <w:sz w:val="18"/>
          <w:szCs w:val="18"/>
          <w:u w:val="single" w:color="auto"/>
          <w:color w:val="auto"/>
        </w:rPr>
        <w:t>www.jamsadr.com</w:t>
      </w:r>
      <w:r>
        <w:rPr>
          <w:rFonts w:ascii="Arial" w:cs="Arial" w:eastAsia="Arial" w:hAnsi="Arial"/>
          <w:sz w:val="18"/>
          <w:szCs w:val="18"/>
          <w:color w:val="auto"/>
        </w:rPr>
        <w:t>. The Federal Arbitration Act, as then in effect, shall govern the interpretation and enforcement of such arbitration proceeding. The arbitrator shall apply California State law to the merits of any dispute or claim, without reference to rules of conflict of law. Any determination or decision by the arbitrator will be final and binding upon the parties and may be enforced in any court of law. The parties agree that any arbitration will take place on an individual, and not on a class, basis. Subject to the provisions of this Section regarding arbitration, the Executive and the Company hereby submit to the exclusive jurisdiction and venue of the federal and state courts located in California for the resolution of any and all claims, causes of action or disputes arising out of, related to the enforcement, if necessary, of any arbitral award made pursuant to the provisions of this Section, and the Executive agrees to waive any claim relating to forum non conveniens.</w:t>
      </w:r>
    </w:p>
    <w:p>
      <w:pPr>
        <w:spacing w:after="0" w:line="166" w:lineRule="exact"/>
        <w:rPr>
          <w:sz w:val="20"/>
          <w:szCs w:val="20"/>
          <w:color w:val="auto"/>
        </w:rPr>
      </w:pPr>
    </w:p>
    <w:p>
      <w:pPr>
        <w:spacing w:after="0"/>
        <w:tabs>
          <w:tab w:leader="none" w:pos="2440" w:val="left"/>
        </w:tabs>
        <w:rPr>
          <w:sz w:val="20"/>
          <w:szCs w:val="20"/>
          <w:color w:val="auto"/>
        </w:rPr>
      </w:pPr>
      <w:r>
        <w:rPr>
          <w:rFonts w:ascii="Arial" w:cs="Arial" w:eastAsia="Arial" w:hAnsi="Arial"/>
          <w:sz w:val="20"/>
          <w:szCs w:val="20"/>
          <w:b w:val="1"/>
          <w:bCs w:val="1"/>
          <w:color w:val="auto"/>
        </w:rPr>
        <w:t>Executive Initials /s/ AG</w:t>
      </w:r>
      <w:r>
        <w:rPr>
          <w:sz w:val="20"/>
          <w:szCs w:val="20"/>
          <w:color w:val="auto"/>
        </w:rPr>
        <w:tab/>
      </w:r>
      <w:r>
        <w:rPr>
          <w:rFonts w:ascii="Arial" w:cs="Arial" w:eastAsia="Arial" w:hAnsi="Arial"/>
          <w:sz w:val="18"/>
          <w:szCs w:val="18"/>
          <w:b w:val="1"/>
          <w:bCs w:val="1"/>
          <w:color w:val="auto"/>
        </w:rPr>
        <w:t>Company Representative /s/ MK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968375</wp:posOffset>
            </wp:positionH>
            <wp:positionV relativeFrom="paragraph">
              <wp:posOffset>-10795</wp:posOffset>
            </wp:positionV>
            <wp:extent cx="46418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9">
                      <a:extLst>
                        <a:ext uri="{28A0092B-C50C-407E-A947-70E740481C1C}"/>
                      </a:extLst>
                    </a:blip>
                    <a:srcRect/>
                    <a:stretch>
                      <a:fillRect/>
                    </a:stretch>
                  </pic:blipFill>
                  <pic:spPr bwMode="auto">
                    <a:xfrm>
                      <a:off x="0" y="0"/>
                      <a:ext cx="464185" cy="8255"/>
                    </a:xfrm>
                    <a:prstGeom prst="rect">
                      <a:avLst/>
                    </a:prstGeom>
                    <a:noFill/>
                  </pic:spPr>
                </pic:pic>
              </a:graphicData>
            </a:graphic>
          </wp:anchor>
        </w:drawing>
        <w:drawing>
          <wp:anchor simplePos="0" relativeHeight="251657728" behindDoc="1" locked="0" layoutInCell="0" allowOverlap="1">
            <wp:simplePos x="0" y="0"/>
            <wp:positionH relativeFrom="column">
              <wp:posOffset>2944495</wp:posOffset>
            </wp:positionH>
            <wp:positionV relativeFrom="paragraph">
              <wp:posOffset>-10795</wp:posOffset>
            </wp:positionV>
            <wp:extent cx="49212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0">
                      <a:extLst>
                        <a:ext uri="{28A0092B-C50C-407E-A947-70E740481C1C}"/>
                      </a:extLst>
                    </a:blip>
                    <a:srcRect/>
                    <a:stretch>
                      <a:fillRect/>
                    </a:stretch>
                  </pic:blipFill>
                  <pic:spPr bwMode="auto">
                    <a:xfrm>
                      <a:off x="0" y="0"/>
                      <a:ext cx="492125" cy="8255"/>
                    </a:xfrm>
                    <a:prstGeom prst="rect">
                      <a:avLst/>
                    </a:prstGeom>
                    <a:noFill/>
                  </pic:spPr>
                </pic:pic>
              </a:graphicData>
            </a:graphic>
          </wp:anchor>
        </w:drawing>
      </w:r>
    </w:p>
    <w:p>
      <w:pPr>
        <w:spacing w:after="0" w:line="263" w:lineRule="exact"/>
        <w:rPr>
          <w:sz w:val="20"/>
          <w:szCs w:val="20"/>
          <w:color w:val="auto"/>
        </w:rPr>
      </w:pPr>
    </w:p>
    <w:p>
      <w:pPr>
        <w:jc w:val="both"/>
        <w:ind w:left="340" w:hanging="332"/>
        <w:spacing w:after="0" w:line="256" w:lineRule="auto"/>
        <w:tabs>
          <w:tab w:leader="none" w:pos="331" w:val="left"/>
        </w:tabs>
        <w:numPr>
          <w:ilvl w:val="0"/>
          <w:numId w:val="93"/>
        </w:numPr>
        <w:rPr>
          <w:rFonts w:ascii="Arial" w:cs="Arial" w:eastAsia="Arial" w:hAnsi="Arial"/>
          <w:sz w:val="19"/>
          <w:szCs w:val="19"/>
          <w:color w:val="auto"/>
        </w:rPr>
      </w:pPr>
      <w:r>
        <w:rPr>
          <w:rFonts w:ascii="Arial" w:cs="Arial" w:eastAsia="Arial" w:hAnsi="Arial"/>
          <w:sz w:val="19"/>
          <w:szCs w:val="19"/>
          <w:b w:val="1"/>
          <w:bCs w:val="1"/>
          <w:color w:val="auto"/>
        </w:rPr>
        <w:t xml:space="preserve">Entire Agreement; Construction. </w:t>
      </w:r>
      <w:r>
        <w:rPr>
          <w:rFonts w:ascii="Arial" w:cs="Arial" w:eastAsia="Arial" w:hAnsi="Arial"/>
          <w:sz w:val="19"/>
          <w:szCs w:val="19"/>
          <w:color w:val="auto"/>
        </w:rPr>
        <w:t>This Agreement contains the entire understanding of the parties relating to the subject matter of this</w:t>
      </w:r>
      <w:r>
        <w:rPr>
          <w:rFonts w:ascii="Arial" w:cs="Arial" w:eastAsia="Arial" w:hAnsi="Arial"/>
          <w:sz w:val="19"/>
          <w:szCs w:val="19"/>
          <w:b w:val="1"/>
          <w:bCs w:val="1"/>
          <w:color w:val="auto"/>
        </w:rPr>
        <w:t xml:space="preserve"> </w:t>
      </w:r>
      <w:r>
        <w:rPr>
          <w:rFonts w:ascii="Arial" w:cs="Arial" w:eastAsia="Arial" w:hAnsi="Arial"/>
          <w:sz w:val="19"/>
          <w:szCs w:val="19"/>
          <w:color w:val="auto"/>
        </w:rPr>
        <w:t>Agreement and supersedes all other prior written or oral agreements, understandings or arrangements between the parties relating to the subject matter hereof, including, without limitation, the Prior Employment Agreement. The Executive acknowledges and agrees that the compensation paid under the terms of this Agreement shall be in full satisfaction of any amounts due in connection with the Executive’s employment with the Company except as otherwise expressly agreed to in writing. The Executive acknowledges that, in entering into this Agreement, the Executive did not rely and has not relied on any statements or representations not contained in this Agreement. The parties acknowledge and agree that they have been represented by counsel and that each of the parties has participated in the drafting of this Agreement. Accordingly, it is the intention and agreement of the parties that the language, terms and conditions of this Agreement are not to be construed in any way against or in favor of any party hereto by reason of the responsibilities in connection with the preparation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240"/>
          </w:cols>
          <w:pgMar w:left="320" w:top="1440" w:right="339" w:bottom="1440" w:gutter="0" w:footer="0" w:header="0"/>
        </w:sectPr>
      </w:pPr>
    </w:p>
    <w:bookmarkStart w:id="107" w:name="page108"/>
    <w:bookmarkEnd w:id="107"/>
    <w:p>
      <w:pPr>
        <w:jc w:val="both"/>
        <w:ind w:left="386" w:hanging="332"/>
        <w:spacing w:after="0" w:line="262" w:lineRule="auto"/>
        <w:tabs>
          <w:tab w:leader="none" w:pos="377" w:val="left"/>
        </w:tabs>
        <w:numPr>
          <w:ilvl w:val="0"/>
          <w:numId w:val="94"/>
        </w:numPr>
        <w:rPr>
          <w:rFonts w:ascii="Arial" w:cs="Arial" w:eastAsia="Arial" w:hAnsi="Arial"/>
          <w:sz w:val="19"/>
          <w:szCs w:val="19"/>
          <w:color w:val="auto"/>
        </w:rPr>
      </w:pPr>
      <w:r>
        <w:rPr>
          <w:rFonts w:ascii="Arial" w:cs="Arial" w:eastAsia="Arial" w:hAnsi="Arial"/>
          <w:sz w:val="19"/>
          <w:szCs w:val="19"/>
          <w:b w:val="1"/>
          <w:bCs w:val="1"/>
          <w:color w:val="auto"/>
        </w:rPr>
        <w:t xml:space="preserve">Severability. </w:t>
      </w:r>
      <w:r>
        <w:rPr>
          <w:rFonts w:ascii="Arial" w:cs="Arial" w:eastAsia="Arial" w:hAnsi="Arial"/>
          <w:sz w:val="19"/>
          <w:szCs w:val="19"/>
          <w:color w:val="auto"/>
        </w:rPr>
        <w:t>Any term or provision of this Agreement that is determined to be invalid or unenforceable by any court of competent</w:t>
      </w:r>
      <w:r>
        <w:rPr>
          <w:rFonts w:ascii="Arial" w:cs="Arial" w:eastAsia="Arial" w:hAnsi="Arial"/>
          <w:sz w:val="19"/>
          <w:szCs w:val="19"/>
          <w:b w:val="1"/>
          <w:bCs w:val="1"/>
          <w:color w:val="auto"/>
        </w:rPr>
        <w:t xml:space="preserve"> </w:t>
      </w:r>
      <w:r>
        <w:rPr>
          <w:rFonts w:ascii="Arial" w:cs="Arial" w:eastAsia="Arial" w:hAnsi="Arial"/>
          <w:sz w:val="19"/>
          <w:szCs w:val="19"/>
          <w:color w:val="auto"/>
        </w:rPr>
        <w:t>jurisdiction in any jurisdiction shall, as to such jurisdiction, be ineffective to the extent of such invalidity or unenforceability without rendering invalid or unenforceable the remaining terms and provisions of this Agreement or affecting the validity or enforceability of any of the terms or provisions of this Agreement in any other jurisdiction and such invalid or unenforceable provision shall be modified by such court so that it is enforceable to the extent permitted by applicable law.</w:t>
      </w:r>
    </w:p>
    <w:p>
      <w:pPr>
        <w:spacing w:after="0" w:line="170" w:lineRule="exact"/>
        <w:rPr>
          <w:rFonts w:ascii="Arial" w:cs="Arial" w:eastAsia="Arial" w:hAnsi="Arial"/>
          <w:sz w:val="19"/>
          <w:szCs w:val="19"/>
          <w:color w:val="auto"/>
        </w:rPr>
      </w:pPr>
    </w:p>
    <w:p>
      <w:pPr>
        <w:jc w:val="both"/>
        <w:ind w:left="386" w:hanging="332"/>
        <w:spacing w:after="0" w:line="248" w:lineRule="auto"/>
        <w:tabs>
          <w:tab w:leader="none" w:pos="377" w:val="left"/>
        </w:tabs>
        <w:numPr>
          <w:ilvl w:val="0"/>
          <w:numId w:val="94"/>
        </w:numPr>
        <w:rPr>
          <w:rFonts w:ascii="Arial" w:cs="Arial" w:eastAsia="Arial" w:hAnsi="Arial"/>
          <w:sz w:val="20"/>
          <w:szCs w:val="20"/>
          <w:color w:val="auto"/>
        </w:rPr>
      </w:pPr>
      <w:r>
        <w:rPr>
          <w:rFonts w:ascii="Arial" w:cs="Arial" w:eastAsia="Arial" w:hAnsi="Arial"/>
          <w:sz w:val="20"/>
          <w:szCs w:val="20"/>
          <w:b w:val="1"/>
          <w:bCs w:val="1"/>
          <w:color w:val="auto"/>
        </w:rPr>
        <w:t xml:space="preserve">Notices. </w:t>
      </w:r>
      <w:r>
        <w:rPr>
          <w:rFonts w:ascii="Arial" w:cs="Arial" w:eastAsia="Arial" w:hAnsi="Arial"/>
          <w:sz w:val="20"/>
          <w:szCs w:val="20"/>
          <w:color w:val="auto"/>
        </w:rPr>
        <w:t>All notices, requests, claims, demands and other communications hereunder shall be in writing and shall be given or made (and</w:t>
      </w:r>
      <w:r>
        <w:rPr>
          <w:rFonts w:ascii="Arial" w:cs="Arial" w:eastAsia="Arial" w:hAnsi="Arial"/>
          <w:sz w:val="20"/>
          <w:szCs w:val="20"/>
          <w:b w:val="1"/>
          <w:bCs w:val="1"/>
          <w:color w:val="auto"/>
        </w:rPr>
        <w:t xml:space="preserve"> </w:t>
      </w:r>
      <w:r>
        <w:rPr>
          <w:rFonts w:ascii="Arial" w:cs="Arial" w:eastAsia="Arial" w:hAnsi="Arial"/>
          <w:sz w:val="20"/>
          <w:szCs w:val="20"/>
          <w:color w:val="auto"/>
        </w:rPr>
        <w:t>shall be deemed to have been duly given or made upon receipt) by delivery in person, by an internationally recognized overnight courier service, by facsimile or registered or certified mail (postage prepaid, return receipt requested) to the respective parties hereto at the latest addresses provided to the other party.</w:t>
      </w:r>
    </w:p>
    <w:p>
      <w:pPr>
        <w:spacing w:after="0" w:line="183" w:lineRule="exact"/>
        <w:rPr>
          <w:rFonts w:ascii="Arial" w:cs="Arial" w:eastAsia="Arial" w:hAnsi="Arial"/>
          <w:sz w:val="20"/>
          <w:szCs w:val="20"/>
          <w:color w:val="auto"/>
        </w:rPr>
      </w:pPr>
    </w:p>
    <w:p>
      <w:pPr>
        <w:jc w:val="both"/>
        <w:ind w:left="386" w:right="160" w:hanging="332"/>
        <w:spacing w:after="0" w:line="253" w:lineRule="auto"/>
        <w:tabs>
          <w:tab w:leader="none" w:pos="377" w:val="left"/>
        </w:tabs>
        <w:numPr>
          <w:ilvl w:val="0"/>
          <w:numId w:val="94"/>
        </w:numPr>
        <w:rPr>
          <w:rFonts w:ascii="Arial" w:cs="Arial" w:eastAsia="Arial" w:hAnsi="Arial"/>
          <w:sz w:val="20"/>
          <w:szCs w:val="20"/>
          <w:color w:val="auto"/>
        </w:rPr>
      </w:pPr>
      <w:r>
        <w:rPr>
          <w:rFonts w:ascii="Arial" w:cs="Arial" w:eastAsia="Arial" w:hAnsi="Arial"/>
          <w:sz w:val="20"/>
          <w:szCs w:val="20"/>
          <w:b w:val="1"/>
          <w:bCs w:val="1"/>
          <w:color w:val="auto"/>
        </w:rPr>
        <w:t xml:space="preserve">Affiliates. </w:t>
      </w:r>
      <w:r>
        <w:rPr>
          <w:rFonts w:ascii="Arial" w:cs="Arial" w:eastAsia="Arial" w:hAnsi="Arial"/>
          <w:sz w:val="20"/>
          <w:szCs w:val="20"/>
          <w:color w:val="auto"/>
        </w:rPr>
        <w:t>Whenever used in the Agreement, the term “Affiliates” shall refer to any parent, subsidiary, or other entity (including but not</w:t>
      </w:r>
      <w:r>
        <w:rPr>
          <w:rFonts w:ascii="Arial" w:cs="Arial" w:eastAsia="Arial" w:hAnsi="Arial"/>
          <w:sz w:val="20"/>
          <w:szCs w:val="20"/>
          <w:b w:val="1"/>
          <w:bCs w:val="1"/>
          <w:color w:val="auto"/>
        </w:rPr>
        <w:t xml:space="preserve"> </w:t>
      </w:r>
      <w:r>
        <w:rPr>
          <w:rFonts w:ascii="Arial" w:cs="Arial" w:eastAsia="Arial" w:hAnsi="Arial"/>
          <w:sz w:val="20"/>
          <w:szCs w:val="20"/>
          <w:color w:val="auto"/>
        </w:rPr>
        <w:t>limited to any parent or subsidiary of any such parent, subsidiary or other entity) connected to the Company by common ownership and control, regardless of corporate form.</w:t>
      </w:r>
    </w:p>
    <w:p>
      <w:pPr>
        <w:spacing w:after="0" w:line="204" w:lineRule="exact"/>
        <w:rPr>
          <w:rFonts w:ascii="Arial" w:cs="Arial" w:eastAsia="Arial" w:hAnsi="Arial"/>
          <w:sz w:val="20"/>
          <w:szCs w:val="20"/>
          <w:color w:val="auto"/>
        </w:rPr>
      </w:pPr>
    </w:p>
    <w:p>
      <w:pPr>
        <w:ind w:left="386" w:right="60" w:hanging="332"/>
        <w:spacing w:after="0" w:line="258" w:lineRule="auto"/>
        <w:tabs>
          <w:tab w:leader="none" w:pos="377" w:val="left"/>
        </w:tabs>
        <w:numPr>
          <w:ilvl w:val="0"/>
          <w:numId w:val="94"/>
        </w:numPr>
        <w:rPr>
          <w:rFonts w:ascii="Arial" w:cs="Arial" w:eastAsia="Arial" w:hAnsi="Arial"/>
          <w:sz w:val="19"/>
          <w:szCs w:val="19"/>
          <w:color w:val="auto"/>
        </w:rPr>
      </w:pPr>
      <w:r>
        <w:rPr>
          <w:rFonts w:ascii="Arial" w:cs="Arial" w:eastAsia="Arial" w:hAnsi="Arial"/>
          <w:sz w:val="19"/>
          <w:szCs w:val="19"/>
          <w:b w:val="1"/>
          <w:bCs w:val="1"/>
          <w:color w:val="auto"/>
        </w:rPr>
        <w:t xml:space="preserve">Section 409A Compliance. </w:t>
      </w:r>
      <w:r>
        <w:rPr>
          <w:rFonts w:ascii="Arial" w:cs="Arial" w:eastAsia="Arial" w:hAnsi="Arial"/>
          <w:sz w:val="19"/>
          <w:szCs w:val="19"/>
          <w:color w:val="auto"/>
        </w:rPr>
        <w:t>Except as otherwise expressly provided in this Agreement, any payment that would otherwise constitute</w:t>
      </w:r>
      <w:r>
        <w:rPr>
          <w:rFonts w:ascii="Arial" w:cs="Arial" w:eastAsia="Arial" w:hAnsi="Arial"/>
          <w:sz w:val="19"/>
          <w:szCs w:val="19"/>
          <w:b w:val="1"/>
          <w:bCs w:val="1"/>
          <w:color w:val="auto"/>
        </w:rPr>
        <w:t xml:space="preserve"> </w:t>
      </w:r>
      <w:r>
        <w:rPr>
          <w:rFonts w:ascii="Arial" w:cs="Arial" w:eastAsia="Arial" w:hAnsi="Arial"/>
          <w:sz w:val="19"/>
          <w:szCs w:val="19"/>
          <w:color w:val="auto"/>
        </w:rPr>
        <w:t>deferred compensation within the meaning of Section 409A of the Internal Revenue Code of 1986 (the “Code”), as amended (“Section 409A”), shall be paid within 2 ½ months following the end of the year in which such amount has been earned, but in no case later than the December 31st following the calendar year in which such compensation is otherwise earned. Although the Company makes no guarantee with respect to the tax or other treatment of payments or benefits under this Agreement and shall not be responsible in any event with regard to this Agreement’s compliance with Section 409A, payments under this Agreement are intended to be exempt from or comply with the applicable requirements of Section 409A and will be limited, construed and interpreted in a manner so as to comply therewith. In furtherance of the foregoing:</w:t>
      </w:r>
    </w:p>
    <w:p>
      <w:pPr>
        <w:spacing w:after="0" w:line="206" w:lineRule="exact"/>
        <w:rPr>
          <w:sz w:val="20"/>
          <w:szCs w:val="20"/>
          <w:color w:val="auto"/>
        </w:rPr>
      </w:pPr>
    </w:p>
    <w:p>
      <w:pPr>
        <w:jc w:val="both"/>
        <w:ind w:left="706" w:hanging="706"/>
        <w:spacing w:after="0" w:line="246" w:lineRule="auto"/>
        <w:tabs>
          <w:tab w:leader="none" w:pos="695" w:val="left"/>
        </w:tabs>
        <w:numPr>
          <w:ilvl w:val="0"/>
          <w:numId w:val="95"/>
        </w:numPr>
        <w:rPr>
          <w:rFonts w:ascii="Arial" w:cs="Arial" w:eastAsia="Arial" w:hAnsi="Arial"/>
          <w:sz w:val="20"/>
          <w:szCs w:val="20"/>
          <w:color w:val="auto"/>
        </w:rPr>
      </w:pPr>
      <w:r>
        <w:rPr>
          <w:rFonts w:ascii="Arial" w:cs="Arial" w:eastAsia="Arial" w:hAnsi="Arial"/>
          <w:sz w:val="20"/>
          <w:szCs w:val="20"/>
          <w:color w:val="auto"/>
        </w:rPr>
        <w:t>notwithstanding any provision of this Agreement to the contrary, if the Executive is a “specified employee” as defined for purposes of Section 409A, then all payments to be made to the Executive hereunder due to the termination of employment will be paid, or commence to be paid, on the earlier of the date which is six (6) months after (x) the date that the Executive’s employment with the Company is terminated; or (y) the date of death;</w:t>
      </w:r>
    </w:p>
    <w:p>
      <w:pPr>
        <w:spacing w:after="0" w:line="191" w:lineRule="exact"/>
        <w:rPr>
          <w:sz w:val="20"/>
          <w:szCs w:val="20"/>
          <w:color w:val="auto"/>
        </w:rPr>
      </w:pPr>
    </w:p>
    <w:p>
      <w:pPr>
        <w:ind w:left="706" w:hanging="695"/>
        <w:spacing w:after="0" w:line="316" w:lineRule="auto"/>
        <w:tabs>
          <w:tab w:leader="none" w:pos="682" w:val="left"/>
        </w:tabs>
        <w:numPr>
          <w:ilvl w:val="0"/>
          <w:numId w:val="96"/>
        </w:numPr>
        <w:rPr>
          <w:rFonts w:ascii="Arial" w:cs="Arial" w:eastAsia="Arial" w:hAnsi="Arial"/>
          <w:sz w:val="18"/>
          <w:szCs w:val="18"/>
          <w:color w:val="auto"/>
        </w:rPr>
      </w:pPr>
      <w:r>
        <w:rPr>
          <w:rFonts w:ascii="Arial" w:cs="Arial" w:eastAsia="Arial" w:hAnsi="Arial"/>
          <w:sz w:val="18"/>
          <w:szCs w:val="18"/>
          <w:color w:val="auto"/>
        </w:rPr>
        <w:t>notwithstanding any provision of this Agreement to the contrary, the Executive’s employment with the Company will not be deemed to have been terminated unless and until the Executive has had a “separation from service,” as determined under Section 409A; and</w:t>
      </w:r>
    </w:p>
    <w:p>
      <w:pPr>
        <w:spacing w:after="0" w:line="129" w:lineRule="exact"/>
        <w:rPr>
          <w:rFonts w:ascii="Arial" w:cs="Arial" w:eastAsia="Arial" w:hAnsi="Arial"/>
          <w:sz w:val="18"/>
          <w:szCs w:val="18"/>
          <w:color w:val="auto"/>
        </w:rPr>
      </w:pPr>
    </w:p>
    <w:p>
      <w:pPr>
        <w:ind w:left="686" w:hanging="620"/>
        <w:spacing w:after="0"/>
        <w:tabs>
          <w:tab w:leader="none" w:pos="686" w:val="left"/>
        </w:tabs>
        <w:numPr>
          <w:ilvl w:val="0"/>
          <w:numId w:val="96"/>
        </w:numPr>
        <w:rPr>
          <w:rFonts w:ascii="Arial" w:cs="Arial" w:eastAsia="Arial" w:hAnsi="Arial"/>
          <w:sz w:val="20"/>
          <w:szCs w:val="20"/>
          <w:color w:val="auto"/>
        </w:rPr>
      </w:pPr>
      <w:r>
        <w:rPr>
          <w:rFonts w:ascii="Arial" w:cs="Arial" w:eastAsia="Arial" w:hAnsi="Arial"/>
          <w:sz w:val="20"/>
          <w:szCs w:val="20"/>
          <w:color w:val="auto"/>
        </w:rPr>
        <w:t>each payment that is part of a series of payment will be a single payment for purposes of Section 409A.</w:t>
      </w:r>
    </w:p>
    <w:p>
      <w:pPr>
        <w:spacing w:after="0" w:line="209" w:lineRule="exact"/>
        <w:rPr>
          <w:rFonts w:ascii="Arial" w:cs="Arial" w:eastAsia="Arial" w:hAnsi="Arial"/>
          <w:sz w:val="20"/>
          <w:szCs w:val="20"/>
          <w:color w:val="auto"/>
        </w:rPr>
      </w:pPr>
    </w:p>
    <w:p>
      <w:pPr>
        <w:jc w:val="both"/>
        <w:ind w:left="386" w:hanging="332"/>
        <w:spacing w:after="0" w:line="246" w:lineRule="auto"/>
        <w:tabs>
          <w:tab w:leader="none" w:pos="377" w:val="left"/>
        </w:tabs>
        <w:numPr>
          <w:ilvl w:val="1"/>
          <w:numId w:val="96"/>
        </w:numPr>
        <w:rPr>
          <w:rFonts w:ascii="Arial" w:cs="Arial" w:eastAsia="Arial" w:hAnsi="Arial"/>
          <w:sz w:val="20"/>
          <w:szCs w:val="20"/>
          <w:color w:val="auto"/>
        </w:rPr>
      </w:pPr>
      <w:r>
        <w:rPr>
          <w:rFonts w:ascii="Arial" w:cs="Arial" w:eastAsia="Arial" w:hAnsi="Arial"/>
          <w:sz w:val="20"/>
          <w:szCs w:val="20"/>
          <w:b w:val="1"/>
          <w:bCs w:val="1"/>
          <w:color w:val="auto"/>
        </w:rPr>
        <w:t xml:space="preserve">Section 280G. </w:t>
      </w:r>
      <w:r>
        <w:rPr>
          <w:rFonts w:ascii="Arial" w:cs="Arial" w:eastAsia="Arial" w:hAnsi="Arial"/>
          <w:sz w:val="20"/>
          <w:szCs w:val="20"/>
          <w:color w:val="auto"/>
        </w:rPr>
        <w:t>If any payment(s) or benefit(s) the Executive would receive pursuant to this Agreement and/or pursuant to any other</w:t>
      </w:r>
      <w:r>
        <w:rPr>
          <w:rFonts w:ascii="Arial" w:cs="Arial" w:eastAsia="Arial" w:hAnsi="Arial"/>
          <w:sz w:val="20"/>
          <w:szCs w:val="20"/>
          <w:b w:val="1"/>
          <w:bCs w:val="1"/>
          <w:color w:val="auto"/>
        </w:rPr>
        <w:t xml:space="preserve"> </w:t>
      </w:r>
      <w:r>
        <w:rPr>
          <w:rFonts w:ascii="Arial" w:cs="Arial" w:eastAsia="Arial" w:hAnsi="Arial"/>
          <w:sz w:val="20"/>
          <w:szCs w:val="20"/>
          <w:color w:val="auto"/>
        </w:rPr>
        <w:t>agreement or arrangement would (a) constitute a “parachute payment” within the meaning of Section 280G of the Code, (b) but for this Section, be subject to the excise tax imposed by Section 4999 of the Code (the “</w:t>
      </w:r>
      <w:r>
        <w:rPr>
          <w:rFonts w:ascii="Arial" w:cs="Arial" w:eastAsia="Arial" w:hAnsi="Arial"/>
          <w:sz w:val="20"/>
          <w:szCs w:val="20"/>
          <w:u w:val="single" w:color="auto"/>
          <w:color w:val="auto"/>
        </w:rPr>
        <w:t>Excise Tax</w:t>
      </w:r>
      <w:r>
        <w:rPr>
          <w:rFonts w:ascii="Arial" w:cs="Arial" w:eastAsia="Arial" w:hAnsi="Arial"/>
          <w:sz w:val="20"/>
          <w:szCs w:val="20"/>
          <w:color w:val="auto"/>
        </w:rPr>
        <w:t>”), and (c) if the net-after tax amount (taking into account all applicable taxes payable by the Executive, including any Excise Tax) that the Executive would receive with respect to such payments or benefits does not exceed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45"/>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286"/>
          </w:cols>
          <w:pgMar w:left="274" w:top="1413" w:right="339" w:bottom="1440" w:gutter="0" w:footer="0" w:header="0"/>
        </w:sectPr>
      </w:pPr>
    </w:p>
    <w:bookmarkStart w:id="108" w:name="page109"/>
    <w:bookmarkEnd w:id="108"/>
    <w:p>
      <w:pPr>
        <w:jc w:val="both"/>
        <w:ind w:left="340"/>
        <w:spacing w:after="0" w:line="256" w:lineRule="auto"/>
        <w:rPr>
          <w:sz w:val="20"/>
          <w:szCs w:val="20"/>
          <w:color w:val="auto"/>
        </w:rPr>
      </w:pPr>
      <w:r>
        <w:rPr>
          <w:rFonts w:ascii="Arial" w:cs="Arial" w:eastAsia="Arial" w:hAnsi="Arial"/>
          <w:sz w:val="19"/>
          <w:szCs w:val="19"/>
          <w:color w:val="auto"/>
        </w:rPr>
        <w:t>Reduced Amount, then such payment(s) or benefit(s) (collectively, “</w:t>
      </w:r>
      <w:r>
        <w:rPr>
          <w:rFonts w:ascii="Arial" w:cs="Arial" w:eastAsia="Arial" w:hAnsi="Arial"/>
          <w:sz w:val="19"/>
          <w:szCs w:val="19"/>
          <w:u w:val="single" w:color="auto"/>
          <w:color w:val="auto"/>
        </w:rPr>
        <w:t>Payments</w:t>
      </w:r>
      <w:r>
        <w:rPr>
          <w:rFonts w:ascii="Arial" w:cs="Arial" w:eastAsia="Arial" w:hAnsi="Arial"/>
          <w:sz w:val="19"/>
          <w:szCs w:val="19"/>
          <w:color w:val="auto"/>
        </w:rPr>
        <w:t>”) shall be reduced to the Reduced Amount. The “</w:t>
      </w:r>
      <w:r>
        <w:rPr>
          <w:rFonts w:ascii="Arial" w:cs="Arial" w:eastAsia="Arial" w:hAnsi="Arial"/>
          <w:sz w:val="19"/>
          <w:szCs w:val="19"/>
          <w:u w:val="single" w:color="auto"/>
          <w:color w:val="auto"/>
        </w:rPr>
        <w:t>Reduced</w:t>
      </w:r>
      <w:r>
        <w:rPr>
          <w:rFonts w:ascii="Arial" w:cs="Arial" w:eastAsia="Arial" w:hAnsi="Arial"/>
          <w:sz w:val="19"/>
          <w:szCs w:val="19"/>
          <w:color w:val="auto"/>
        </w:rPr>
        <w:t xml:space="preserve"> </w:t>
      </w:r>
      <w:r>
        <w:rPr>
          <w:rFonts w:ascii="Arial" w:cs="Arial" w:eastAsia="Arial" w:hAnsi="Arial"/>
          <w:sz w:val="19"/>
          <w:szCs w:val="19"/>
          <w:u w:val="single" w:color="auto"/>
          <w:color w:val="auto"/>
        </w:rPr>
        <w:t>Amount</w:t>
      </w:r>
      <w:r>
        <w:rPr>
          <w:rFonts w:ascii="Arial" w:cs="Arial" w:eastAsia="Arial" w:hAnsi="Arial"/>
          <w:sz w:val="19"/>
          <w:szCs w:val="19"/>
          <w:color w:val="auto"/>
        </w:rPr>
        <w:t>” shall be the largest portion of the Payments that can be paid or provided without causing any portion of the Payments being subject to the Excise Tax. If a reduction in payments or benefits constituting “parachute payments” is necessary so that the Payments equal the Reduced Amount, reduction shall occur in the following order: (i) first, any severance payments; (ii) second, any other cash payments due under any other agreement between the Company and the Executive; (iii) third, cancellation of the acceleration of vesting of any stock options; (iv) fourth, cancellation of the acceleration of vesting of any restricted stock and restricted stock units; and (v) lastly, other non-cash forms of benefits. Calculations of the foregoing will be performed at the expense of the Company by an accounting firm selected by the Company. The determinations of such accounting firm shall be final, binding and conclusive upon the Company and the Executive.</w:t>
      </w:r>
    </w:p>
    <w:p>
      <w:pPr>
        <w:spacing w:after="0" w:line="178" w:lineRule="exact"/>
        <w:rPr>
          <w:sz w:val="20"/>
          <w:szCs w:val="20"/>
          <w:color w:val="auto"/>
        </w:rPr>
      </w:pPr>
    </w:p>
    <w:p>
      <w:pPr>
        <w:jc w:val="both"/>
        <w:ind w:left="340" w:hanging="332"/>
        <w:spacing w:after="0" w:line="269" w:lineRule="auto"/>
        <w:tabs>
          <w:tab w:leader="none" w:pos="331" w:val="left"/>
        </w:tabs>
        <w:numPr>
          <w:ilvl w:val="0"/>
          <w:numId w:val="97"/>
        </w:numPr>
        <w:rPr>
          <w:rFonts w:ascii="Arial" w:cs="Arial" w:eastAsia="Arial" w:hAnsi="Arial"/>
          <w:sz w:val="18"/>
          <w:szCs w:val="18"/>
          <w:color w:val="auto"/>
        </w:rPr>
      </w:pPr>
      <w:r>
        <w:rPr>
          <w:rFonts w:ascii="Arial" w:cs="Arial" w:eastAsia="Arial" w:hAnsi="Arial"/>
          <w:sz w:val="18"/>
          <w:szCs w:val="18"/>
          <w:b w:val="1"/>
          <w:bCs w:val="1"/>
          <w:color w:val="auto"/>
        </w:rPr>
        <w:t xml:space="preserve">Indemnification. </w:t>
      </w:r>
      <w:r>
        <w:rPr>
          <w:rFonts w:ascii="Arial" w:cs="Arial" w:eastAsia="Arial" w:hAnsi="Arial"/>
          <w:sz w:val="18"/>
          <w:szCs w:val="18"/>
          <w:color w:val="auto"/>
        </w:rPr>
        <w:t>The Executive shall not be liable to the Company for any loss, damage or claim incurred by reason of any act or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omission performed or omitted by the Executive in good faith on behalf of the Company and in a manner reasonably believed by the Executive to be within the scope of the authority conferred on the Executive by this Agreement, except that the Executive shall be liable for any such loss, damage or claim incurred by reason of the Executive’s fraud or intentional malfeasance. To the fullest extent permitted by applicable law, the Company shall indemnify the Executive for any loss, damage or claim incurred by the Executive by reason of any act or omission performed or omitted by the Executive in good faith on behalf of the Company and in a manner reasonably believed by the Executive to be within the scope of the authority conferred on the Executive by this Agreement, except that the Executive shall not be entitled to be indemnified in respect of any loss, damage or claim incurred by the Executive by reason of the Executive’s gross negligence or willful misconduct with respect to such acts or omissions, as determined by a final and non-appealable arbitration adjudication pursuant to the provisions of </w:t>
      </w:r>
      <w:r>
        <w:rPr>
          <w:rFonts w:ascii="Arial" w:cs="Arial" w:eastAsia="Arial" w:hAnsi="Arial"/>
          <w:sz w:val="18"/>
          <w:szCs w:val="18"/>
          <w:u w:val="single" w:color="auto"/>
          <w:color w:val="auto"/>
        </w:rPr>
        <w:t>Section 18</w:t>
      </w:r>
      <w:r>
        <w:rPr>
          <w:rFonts w:ascii="Arial" w:cs="Arial" w:eastAsia="Arial" w:hAnsi="Arial"/>
          <w:sz w:val="18"/>
          <w:szCs w:val="18"/>
          <w:color w:val="auto"/>
        </w:rPr>
        <w:t>; provided, however, that, for the avoidance of doubt, any indemnity under this Section shall be provided out of and to the extent of Company assets only, and the members of the Company shall have no personal liability on account thereof. To the fullest extent permitted by applicable law, expenses (including reasonable and documented legal fees) incurred by the Executive in defending any claim, demand, action, suit or proceeding brought by any person or entity other than Company or any Affiliate shall, from time to time, be advanced by the Company prior to the final disposition of such claim, demand, action, suit or proceeding upon receipt by the Company of an undertaking by or on behalf of the Executive to repay such amount if it shall ultimately be determined that the Executive is not entitled to be indemnified as authorized in this Section.</w:t>
      </w:r>
    </w:p>
    <w:p>
      <w:pPr>
        <w:spacing w:after="0" w:line="176" w:lineRule="exact"/>
        <w:rPr>
          <w:rFonts w:ascii="Arial" w:cs="Arial" w:eastAsia="Arial" w:hAnsi="Arial"/>
          <w:sz w:val="18"/>
          <w:szCs w:val="18"/>
          <w:color w:val="auto"/>
        </w:rPr>
      </w:pPr>
    </w:p>
    <w:p>
      <w:pPr>
        <w:ind w:left="340" w:right="20" w:hanging="332"/>
        <w:spacing w:after="0" w:line="293" w:lineRule="auto"/>
        <w:tabs>
          <w:tab w:leader="none" w:pos="331" w:val="left"/>
        </w:tabs>
        <w:numPr>
          <w:ilvl w:val="0"/>
          <w:numId w:val="97"/>
        </w:numPr>
        <w:rPr>
          <w:rFonts w:ascii="Arial" w:cs="Arial" w:eastAsia="Arial" w:hAnsi="Arial"/>
          <w:sz w:val="19"/>
          <w:szCs w:val="19"/>
          <w:color w:val="auto"/>
        </w:rPr>
      </w:pPr>
      <w:r>
        <w:rPr>
          <w:rFonts w:ascii="Arial" w:cs="Arial" w:eastAsia="Arial" w:hAnsi="Arial"/>
          <w:sz w:val="19"/>
          <w:szCs w:val="19"/>
          <w:b w:val="1"/>
          <w:bCs w:val="1"/>
          <w:color w:val="auto"/>
        </w:rPr>
        <w:t xml:space="preserve">Legal Fees of the Executive. </w:t>
      </w:r>
      <w:r>
        <w:rPr>
          <w:rFonts w:ascii="Arial" w:cs="Arial" w:eastAsia="Arial" w:hAnsi="Arial"/>
          <w:sz w:val="19"/>
          <w:szCs w:val="19"/>
          <w:color w:val="auto"/>
        </w:rPr>
        <w:t>The Company will pay, or reimburse the Executive, for the reasonable legal fees and expenses incurred by</w:t>
      </w:r>
      <w:r>
        <w:rPr>
          <w:rFonts w:ascii="Arial" w:cs="Arial" w:eastAsia="Arial" w:hAnsi="Arial"/>
          <w:sz w:val="19"/>
          <w:szCs w:val="19"/>
          <w:b w:val="1"/>
          <w:bCs w:val="1"/>
          <w:color w:val="auto"/>
        </w:rPr>
        <w:t xml:space="preserve"> </w:t>
      </w:r>
      <w:r>
        <w:rPr>
          <w:rFonts w:ascii="Arial" w:cs="Arial" w:eastAsia="Arial" w:hAnsi="Arial"/>
          <w:sz w:val="19"/>
          <w:szCs w:val="19"/>
          <w:color w:val="auto"/>
        </w:rPr>
        <w:t>the Executive’s legal counsel in connection with entering into this Agreement up to fifteen thousand dollars ($15,000).</w:t>
      </w:r>
    </w:p>
    <w:p>
      <w:pPr>
        <w:spacing w:after="0" w:line="141" w:lineRule="exact"/>
        <w:rPr>
          <w:rFonts w:ascii="Arial" w:cs="Arial" w:eastAsia="Arial" w:hAnsi="Arial"/>
          <w:sz w:val="19"/>
          <w:szCs w:val="19"/>
          <w:color w:val="auto"/>
        </w:rPr>
      </w:pPr>
    </w:p>
    <w:p>
      <w:pPr>
        <w:ind w:left="340" w:hanging="332"/>
        <w:spacing w:after="0" w:line="293" w:lineRule="auto"/>
        <w:tabs>
          <w:tab w:leader="none" w:pos="331" w:val="left"/>
        </w:tabs>
        <w:numPr>
          <w:ilvl w:val="0"/>
          <w:numId w:val="97"/>
        </w:numPr>
        <w:rPr>
          <w:rFonts w:ascii="Arial" w:cs="Arial" w:eastAsia="Arial" w:hAnsi="Arial"/>
          <w:sz w:val="19"/>
          <w:szCs w:val="19"/>
          <w:color w:val="auto"/>
        </w:rPr>
      </w:pPr>
      <w:r>
        <w:rPr>
          <w:rFonts w:ascii="Arial" w:cs="Arial" w:eastAsia="Arial" w:hAnsi="Arial"/>
          <w:sz w:val="19"/>
          <w:szCs w:val="19"/>
          <w:b w:val="1"/>
          <w:bCs w:val="1"/>
          <w:color w:val="auto"/>
        </w:rPr>
        <w:t xml:space="preserve">Survival. </w:t>
      </w:r>
      <w:r>
        <w:rPr>
          <w:rFonts w:ascii="Arial" w:cs="Arial" w:eastAsia="Arial" w:hAnsi="Arial"/>
          <w:sz w:val="19"/>
          <w:szCs w:val="19"/>
          <w:color w:val="auto"/>
        </w:rPr>
        <w:t>The covenants, agreements, representations and warranties contained in this Agreement shall survive the termination of the</w:t>
      </w:r>
      <w:r>
        <w:rPr>
          <w:rFonts w:ascii="Arial" w:cs="Arial" w:eastAsia="Arial" w:hAnsi="Arial"/>
          <w:sz w:val="19"/>
          <w:szCs w:val="19"/>
          <w:b w:val="1"/>
          <w:bCs w:val="1"/>
          <w:color w:val="auto"/>
        </w:rPr>
        <w:t xml:space="preserve"> </w:t>
      </w:r>
      <w:r>
        <w:rPr>
          <w:rFonts w:ascii="Arial" w:cs="Arial" w:eastAsia="Arial" w:hAnsi="Arial"/>
          <w:sz w:val="19"/>
          <w:szCs w:val="19"/>
          <w:color w:val="auto"/>
        </w:rPr>
        <w:t>Term and the Executive’s termination of employment with the Company or its Affiliates at any time and for any reason.</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240"/>
          </w:cols>
          <w:pgMar w:left="320" w:top="1419" w:right="339" w:bottom="1440" w:gutter="0" w:footer="0" w:header="0"/>
        </w:sectPr>
      </w:pPr>
    </w:p>
    <w:bookmarkStart w:id="109" w:name="page110"/>
    <w:bookmarkEnd w:id="109"/>
    <w:p>
      <w:pPr>
        <w:ind w:left="660"/>
        <w:spacing w:after="0"/>
        <w:rPr>
          <w:sz w:val="20"/>
          <w:szCs w:val="20"/>
          <w:color w:val="auto"/>
        </w:rPr>
      </w:pPr>
      <w:r>
        <w:rPr>
          <w:rFonts w:ascii="Arial" w:cs="Arial" w:eastAsia="Arial" w:hAnsi="Arial"/>
          <w:sz w:val="16"/>
          <w:szCs w:val="16"/>
          <w:color w:val="auto"/>
        </w:rPr>
        <w:t>IN WITNESS WHEREOF, this Agreement has been executed and delivered by the parties as of the first date written above.</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2360" w:type="dxa"/>
            <w:vAlign w:val="bottom"/>
            <w:gridSpan w:val="2"/>
          </w:tcPr>
          <w:p>
            <w:pPr>
              <w:spacing w:after="0"/>
              <w:rPr>
                <w:sz w:val="20"/>
                <w:szCs w:val="20"/>
                <w:color w:val="auto"/>
              </w:rPr>
            </w:pPr>
            <w:r>
              <w:rPr>
                <w:rFonts w:ascii="Arial" w:cs="Arial" w:eastAsia="Arial" w:hAnsi="Arial"/>
                <w:sz w:val="20"/>
                <w:szCs w:val="20"/>
                <w:b w:val="1"/>
                <w:bCs w:val="1"/>
                <w:color w:val="auto"/>
              </w:rPr>
              <w:t>EXECUTIVE</w:t>
            </w:r>
            <w:r>
              <w:rPr>
                <w:rFonts w:ascii="Arial" w:cs="Arial" w:eastAsia="Arial" w:hAnsi="Arial"/>
                <w:sz w:val="20"/>
                <w:szCs w:val="20"/>
                <w:color w:val="auto"/>
              </w:rPr>
              <w:t>:</w:t>
            </w:r>
          </w:p>
        </w:tc>
        <w:tc>
          <w:tcPr>
            <w:tcW w:w="4580" w:type="dxa"/>
            <w:vAlign w:val="bottom"/>
            <w:gridSpan w:val="4"/>
          </w:tcPr>
          <w:p>
            <w:pPr>
              <w:ind w:left="260"/>
              <w:spacing w:after="0"/>
              <w:rPr>
                <w:sz w:val="20"/>
                <w:szCs w:val="20"/>
                <w:color w:val="auto"/>
              </w:rPr>
            </w:pPr>
            <w:r>
              <w:rPr>
                <w:rFonts w:ascii="Arial" w:cs="Arial" w:eastAsia="Arial" w:hAnsi="Arial"/>
                <w:sz w:val="20"/>
                <w:szCs w:val="20"/>
                <w:b w:val="1"/>
                <w:bCs w:val="1"/>
                <w:color w:val="auto"/>
              </w:rPr>
              <w:t>SURO CAPITAL CORP.</w:t>
            </w:r>
          </w:p>
        </w:tc>
      </w:tr>
      <w:tr>
        <w:trPr>
          <w:trHeight w:val="428"/>
        </w:trPr>
        <w:tc>
          <w:tcPr>
            <w:tcW w:w="3520" w:type="dxa"/>
            <w:vAlign w:val="bottom"/>
            <w:gridSpan w:val="3"/>
          </w:tcPr>
          <w:p>
            <w:pPr>
              <w:spacing w:after="0"/>
              <w:rPr>
                <w:sz w:val="20"/>
                <w:szCs w:val="20"/>
                <w:color w:val="auto"/>
              </w:rPr>
            </w:pPr>
            <w:r>
              <w:rPr>
                <w:rFonts w:ascii="Arial" w:cs="Arial" w:eastAsia="Arial" w:hAnsi="Arial"/>
                <w:sz w:val="20"/>
                <w:szCs w:val="20"/>
                <w:color w:val="auto"/>
              </w:rPr>
              <w:t>/s/ Allison Green_________________</w:t>
            </w:r>
          </w:p>
        </w:tc>
        <w:tc>
          <w:tcPr>
            <w:tcW w:w="3420" w:type="dxa"/>
            <w:vAlign w:val="bottom"/>
            <w:gridSpan w:val="3"/>
          </w:tcPr>
          <w:p>
            <w:pPr>
              <w:ind w:left="320"/>
              <w:spacing w:after="0"/>
              <w:rPr>
                <w:sz w:val="20"/>
                <w:szCs w:val="20"/>
                <w:color w:val="auto"/>
              </w:rPr>
            </w:pPr>
            <w:r>
              <w:rPr>
                <w:rFonts w:ascii="Arial" w:cs="Arial" w:eastAsia="Arial" w:hAnsi="Arial"/>
                <w:sz w:val="20"/>
                <w:szCs w:val="20"/>
                <w:color w:val="auto"/>
                <w:w w:val="91"/>
              </w:rPr>
              <w:t>By: /s/ Mark D. Klein______________</w:t>
            </w:r>
          </w:p>
        </w:tc>
      </w:tr>
      <w:tr>
        <w:trPr>
          <w:trHeight w:val="233"/>
        </w:trPr>
        <w:tc>
          <w:tcPr>
            <w:tcW w:w="1360" w:type="dxa"/>
            <w:vAlign w:val="bottom"/>
            <w:tcBorders>
              <w:top w:val="single" w:sz="8" w:color="auto"/>
            </w:tcBorders>
          </w:tcPr>
          <w:p>
            <w:pPr>
              <w:spacing w:after="0"/>
              <w:rPr>
                <w:sz w:val="20"/>
                <w:szCs w:val="20"/>
                <w:color w:val="auto"/>
              </w:rPr>
            </w:pPr>
            <w:r>
              <w:rPr>
                <w:rFonts w:ascii="Arial" w:cs="Arial" w:eastAsia="Arial" w:hAnsi="Arial"/>
                <w:sz w:val="20"/>
                <w:szCs w:val="20"/>
                <w:color w:val="auto"/>
              </w:rPr>
              <w:t>Allison Green</w:t>
            </w:r>
          </w:p>
        </w:tc>
        <w:tc>
          <w:tcPr>
            <w:tcW w:w="10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500" w:type="dxa"/>
            <w:vAlign w:val="bottom"/>
            <w:tcBorders>
              <w:top w:val="single" w:sz="8" w:color="auto"/>
            </w:tcBorders>
          </w:tcPr>
          <w:p>
            <w:pPr>
              <w:spacing w:after="0"/>
              <w:rPr>
                <w:sz w:val="20"/>
                <w:szCs w:val="20"/>
                <w:color w:val="auto"/>
              </w:rPr>
            </w:pPr>
          </w:p>
        </w:tc>
        <w:tc>
          <w:tcPr>
            <w:tcW w:w="1280" w:type="dxa"/>
            <w:vAlign w:val="bottom"/>
          </w:tcPr>
          <w:p>
            <w:pPr>
              <w:spacing w:after="0"/>
              <w:rPr>
                <w:sz w:val="20"/>
                <w:szCs w:val="20"/>
                <w:color w:val="auto"/>
              </w:rPr>
            </w:pPr>
          </w:p>
        </w:tc>
      </w:tr>
      <w:tr>
        <w:trPr>
          <w:trHeight w:val="206"/>
        </w:trPr>
        <w:tc>
          <w:tcPr>
            <w:tcW w:w="1360" w:type="dxa"/>
            <w:vAlign w:val="bottom"/>
          </w:tcPr>
          <w:p>
            <w:pPr>
              <w:spacing w:after="0"/>
              <w:rPr>
                <w:sz w:val="17"/>
                <w:szCs w:val="17"/>
                <w:color w:val="auto"/>
              </w:rPr>
            </w:pPr>
          </w:p>
        </w:tc>
        <w:tc>
          <w:tcPr>
            <w:tcW w:w="1000" w:type="dxa"/>
            <w:vAlign w:val="bottom"/>
          </w:tcPr>
          <w:p>
            <w:pPr>
              <w:ind w:left="240"/>
              <w:spacing w:after="0" w:line="206" w:lineRule="exact"/>
              <w:rPr>
                <w:sz w:val="20"/>
                <w:szCs w:val="20"/>
                <w:color w:val="auto"/>
              </w:rPr>
            </w:pPr>
            <w:r>
              <w:rPr>
                <w:rFonts w:ascii="Arial" w:cs="Arial" w:eastAsia="Arial" w:hAnsi="Arial"/>
                <w:sz w:val="20"/>
                <w:szCs w:val="20"/>
                <w:color w:val="auto"/>
              </w:rPr>
              <w:t>Name:</w:t>
            </w:r>
          </w:p>
        </w:tc>
        <w:tc>
          <w:tcPr>
            <w:tcW w:w="1160" w:type="dxa"/>
            <w:vAlign w:val="bottom"/>
            <w:tcBorders>
              <w:bottom w:val="single" w:sz="8" w:color="auto"/>
            </w:tcBorders>
          </w:tcPr>
          <w:p>
            <w:pPr>
              <w:spacing w:after="0" w:line="206" w:lineRule="exact"/>
              <w:rPr>
                <w:sz w:val="20"/>
                <w:szCs w:val="20"/>
                <w:color w:val="auto"/>
              </w:rPr>
            </w:pPr>
            <w:r>
              <w:rPr>
                <w:rFonts w:ascii="Arial" w:cs="Arial" w:eastAsia="Arial" w:hAnsi="Arial"/>
                <w:sz w:val="20"/>
                <w:szCs w:val="20"/>
                <w:color w:val="auto"/>
                <w:w w:val="94"/>
              </w:rPr>
              <w:t>Mark D. Klein</w:t>
            </w:r>
          </w:p>
        </w:tc>
        <w:tc>
          <w:tcPr>
            <w:tcW w:w="6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280" w:type="dxa"/>
            <w:vAlign w:val="bottom"/>
          </w:tcPr>
          <w:p>
            <w:pPr>
              <w:spacing w:after="0"/>
              <w:rPr>
                <w:sz w:val="17"/>
                <w:szCs w:val="17"/>
                <w:color w:val="auto"/>
              </w:rPr>
            </w:pPr>
          </w:p>
        </w:tc>
      </w:tr>
    </w:tbl>
    <w:p>
      <w:pPr>
        <w:spacing w:after="0" w:line="10" w:lineRule="exact"/>
        <w:rPr>
          <w:sz w:val="20"/>
          <w:szCs w:val="20"/>
          <w:color w:val="auto"/>
        </w:rPr>
      </w:pPr>
    </w:p>
    <w:p>
      <w:pPr>
        <w:ind w:left="5200"/>
        <w:spacing w:after="0"/>
        <w:tabs>
          <w:tab w:leader="none" w:pos="584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20"/>
          <w:szCs w:val="20"/>
          <w:u w:val="single" w:color="auto"/>
          <w:color w:val="auto"/>
        </w:rPr>
        <w:t>President and Chief Executive Officer</w:t>
      </w:r>
    </w:p>
    <w:p>
      <w:pPr>
        <w:sectPr>
          <w:pgSz w:w="11900" w:h="16838" w:orient="portrait"/>
          <w:cols w:equalWidth="0" w:num="1">
            <w:col w:w="10440"/>
          </w:cols>
          <w:pgMar w:left="320" w:top="1419" w:right="1139" w:bottom="1440" w:gutter="0" w:footer="0" w:header="0"/>
        </w:sectPr>
      </w:pPr>
    </w:p>
    <w:bookmarkStart w:id="110" w:name="page111"/>
    <w:bookmarkEnd w:id="110"/>
    <w:p>
      <w:pPr>
        <w:jc w:val="center"/>
        <w:spacing w:after="0"/>
        <w:rPr>
          <w:sz w:val="20"/>
          <w:szCs w:val="20"/>
          <w:color w:val="auto"/>
        </w:rPr>
      </w:pPr>
      <w:r>
        <w:rPr>
          <w:rFonts w:ascii="Arial" w:cs="Arial" w:eastAsia="Arial" w:hAnsi="Arial"/>
          <w:sz w:val="20"/>
          <w:szCs w:val="20"/>
          <w:b w:val="1"/>
          <w:bCs w:val="1"/>
          <w:u w:val="single" w:color="auto"/>
          <w:color w:val="auto"/>
        </w:rPr>
        <w:t>Exhibit A</w:t>
      </w: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Permitted Activities</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This page has been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w:t>
      </w:r>
    </w:p>
    <w:p>
      <w:pPr>
        <w:sectPr>
          <w:pgSz w:w="11900" w:h="16838" w:orient="portrait"/>
          <w:cols w:equalWidth="0" w:num="1">
            <w:col w:w="9019"/>
          </w:cols>
          <w:pgMar w:left="1440" w:top="1413" w:right="1440" w:bottom="1440" w:gutter="0" w:footer="0" w:header="0"/>
        </w:sectPr>
      </w:pPr>
    </w:p>
    <w:bookmarkStart w:id="111" w:name="page112"/>
    <w:bookmarkEnd w:id="111"/>
    <w:p>
      <w:pPr>
        <w:jc w:val="center"/>
        <w:ind w:right="-19"/>
        <w:spacing w:after="0"/>
        <w:rPr>
          <w:sz w:val="20"/>
          <w:szCs w:val="20"/>
          <w:color w:val="auto"/>
        </w:rPr>
      </w:pPr>
      <w:r>
        <w:rPr>
          <w:rFonts w:ascii="Arial" w:cs="Arial" w:eastAsia="Arial" w:hAnsi="Arial"/>
          <w:sz w:val="20"/>
          <w:szCs w:val="20"/>
          <w:b w:val="1"/>
          <w:bCs w:val="1"/>
          <w:u w:val="single" w:color="auto"/>
          <w:color w:val="auto"/>
        </w:rPr>
        <w:t>Exhibit B</w:t>
      </w: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u w:val="single" w:color="auto"/>
          <w:color w:val="auto"/>
        </w:rPr>
        <w:t>FORM RELEASE AGREEMENT</w:t>
      </w:r>
    </w:p>
    <w:p>
      <w:pPr>
        <w:spacing w:after="0" w:line="243" w:lineRule="exact"/>
        <w:rPr>
          <w:sz w:val="20"/>
          <w:szCs w:val="20"/>
          <w:color w:val="auto"/>
        </w:rPr>
      </w:pPr>
    </w:p>
    <w:p>
      <w:pPr>
        <w:jc w:val="both"/>
        <w:ind w:right="20" w:firstLine="372"/>
        <w:spacing w:after="0" w:line="323" w:lineRule="auto"/>
        <w:rPr>
          <w:sz w:val="20"/>
          <w:szCs w:val="20"/>
          <w:color w:val="auto"/>
        </w:rPr>
      </w:pPr>
      <w:r>
        <w:rPr>
          <w:rFonts w:ascii="Arial" w:cs="Arial" w:eastAsia="Arial" w:hAnsi="Arial"/>
          <w:sz w:val="18"/>
          <w:szCs w:val="18"/>
          <w:color w:val="auto"/>
        </w:rPr>
        <w:t>This Release Agreement (“</w:t>
      </w:r>
      <w:r>
        <w:rPr>
          <w:rFonts w:ascii="Arial" w:cs="Arial" w:eastAsia="Arial" w:hAnsi="Arial"/>
          <w:sz w:val="18"/>
          <w:szCs w:val="18"/>
          <w:b w:val="1"/>
          <w:bCs w:val="1"/>
          <w:color w:val="auto"/>
        </w:rPr>
        <w:t>Release</w:t>
      </w:r>
      <w:r>
        <w:rPr>
          <w:rFonts w:ascii="Arial" w:cs="Arial" w:eastAsia="Arial" w:hAnsi="Arial"/>
          <w:sz w:val="18"/>
          <w:szCs w:val="18"/>
          <w:color w:val="auto"/>
        </w:rPr>
        <w:t>”) is entered into by and between SuRo Capital Corp., together with its parents, subsidiaries, predecessors, successors and affiliates (the “</w:t>
      </w:r>
      <w:r>
        <w:rPr>
          <w:rFonts w:ascii="Arial" w:cs="Arial" w:eastAsia="Arial" w:hAnsi="Arial"/>
          <w:sz w:val="18"/>
          <w:szCs w:val="18"/>
          <w:b w:val="1"/>
          <w:bCs w:val="1"/>
          <w:color w:val="auto"/>
        </w:rPr>
        <w:t>Company</w:t>
      </w:r>
      <w:r>
        <w:rPr>
          <w:rFonts w:ascii="Arial" w:cs="Arial" w:eastAsia="Arial" w:hAnsi="Arial"/>
          <w:sz w:val="18"/>
          <w:szCs w:val="18"/>
          <w:color w:val="auto"/>
        </w:rPr>
        <w:t>”) and Allison Green (the “</w:t>
      </w:r>
      <w:r>
        <w:rPr>
          <w:rFonts w:ascii="Arial" w:cs="Arial" w:eastAsia="Arial" w:hAnsi="Arial"/>
          <w:sz w:val="18"/>
          <w:szCs w:val="18"/>
          <w:b w:val="1"/>
          <w:bCs w:val="1"/>
          <w:color w:val="auto"/>
        </w:rPr>
        <w:t>Executive</w:t>
      </w:r>
      <w:r>
        <w:rPr>
          <w:rFonts w:ascii="Arial" w:cs="Arial" w:eastAsia="Arial" w:hAnsi="Arial"/>
          <w:sz w:val="18"/>
          <w:szCs w:val="18"/>
          <w:color w:val="auto"/>
        </w:rPr>
        <w:t>”) (each a “</w:t>
      </w:r>
      <w:r>
        <w:rPr>
          <w:rFonts w:ascii="Arial" w:cs="Arial" w:eastAsia="Arial" w:hAnsi="Arial"/>
          <w:sz w:val="18"/>
          <w:szCs w:val="18"/>
          <w:b w:val="1"/>
          <w:bCs w:val="1"/>
          <w:color w:val="auto"/>
        </w:rPr>
        <w:t>Party</w:t>
      </w:r>
      <w:r>
        <w:rPr>
          <w:rFonts w:ascii="Arial" w:cs="Arial" w:eastAsia="Arial" w:hAnsi="Arial"/>
          <w:sz w:val="18"/>
          <w:szCs w:val="18"/>
          <w:color w:val="auto"/>
        </w:rPr>
        <w:t>,” collectively, the “</w:t>
      </w:r>
      <w:r>
        <w:rPr>
          <w:rFonts w:ascii="Arial" w:cs="Arial" w:eastAsia="Arial" w:hAnsi="Arial"/>
          <w:sz w:val="18"/>
          <w:szCs w:val="18"/>
          <w:b w:val="1"/>
          <w:bCs w:val="1"/>
          <w:color w:val="auto"/>
        </w:rPr>
        <w:t>Parties</w:t>
      </w:r>
      <w:r>
        <w:rPr>
          <w:rFonts w:ascii="Arial" w:cs="Arial" w:eastAsia="Arial" w:hAnsi="Arial"/>
          <w:sz w:val="18"/>
          <w:szCs w:val="18"/>
          <w:color w:val="auto"/>
        </w:rPr>
        <w:t>”).</w:t>
      </w:r>
    </w:p>
    <w:p>
      <w:pPr>
        <w:spacing w:after="0" w:line="151" w:lineRule="exact"/>
        <w:rPr>
          <w:sz w:val="20"/>
          <w:szCs w:val="20"/>
          <w:color w:val="auto"/>
        </w:rPr>
      </w:pPr>
    </w:p>
    <w:p>
      <w:pPr>
        <w:ind w:left="340"/>
        <w:spacing w:after="0"/>
        <w:rPr>
          <w:sz w:val="20"/>
          <w:szCs w:val="20"/>
          <w:color w:val="auto"/>
        </w:rPr>
      </w:pPr>
      <w:r>
        <w:rPr>
          <w:rFonts w:ascii="Arial" w:cs="Arial" w:eastAsia="Arial" w:hAnsi="Arial"/>
          <w:sz w:val="20"/>
          <w:szCs w:val="20"/>
          <w:color w:val="auto"/>
        </w:rPr>
        <w:t>WHEREAS, the Executive is currently employed by the Company as the ______________ of the Company;</w:t>
      </w:r>
    </w:p>
    <w:p>
      <w:pPr>
        <w:spacing w:after="0" w:line="23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WHEREAS, the Parties have entered into that certain employment agreement effective as of </w:t>
      </w:r>
      <w:r>
        <w:rPr>
          <w:rFonts w:ascii="Arial" w:cs="Arial" w:eastAsia="Arial" w:hAnsi="Arial"/>
          <w:sz w:val="18"/>
          <w:szCs w:val="18"/>
          <w:u w:val="single" w:color="auto"/>
          <w:color w:val="auto"/>
        </w:rPr>
        <w:t>__________________</w:t>
      </w:r>
      <w:r>
        <w:rPr>
          <w:rFonts w:ascii="Arial" w:cs="Arial" w:eastAsia="Arial" w:hAnsi="Arial"/>
          <w:sz w:val="18"/>
          <w:szCs w:val="18"/>
          <w:color w:val="auto"/>
        </w:rPr>
        <w:t xml:space="preserve"> (the “</w:t>
      </w:r>
      <w:r>
        <w:rPr>
          <w:rFonts w:ascii="Arial" w:cs="Arial" w:eastAsia="Arial" w:hAnsi="Arial"/>
          <w:sz w:val="18"/>
          <w:szCs w:val="18"/>
          <w:b w:val="1"/>
          <w:bCs w:val="1"/>
          <w:color w:val="auto"/>
        </w:rPr>
        <w:t>Employment</w:t>
      </w:r>
    </w:p>
    <w:p>
      <w:pPr>
        <w:spacing w:after="0" w:line="4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Agreement</w:t>
      </w:r>
      <w:r>
        <w:rPr>
          <w:rFonts w:ascii="Arial" w:cs="Arial" w:eastAsia="Arial" w:hAnsi="Arial"/>
          <w:sz w:val="20"/>
          <w:szCs w:val="20"/>
          <w:color w:val="auto"/>
        </w:rPr>
        <w:t>”);</w:t>
      </w:r>
    </w:p>
    <w:p>
      <w:pPr>
        <w:spacing w:after="0" w:line="221" w:lineRule="exact"/>
        <w:rPr>
          <w:sz w:val="20"/>
          <w:szCs w:val="20"/>
          <w:color w:val="auto"/>
        </w:rPr>
      </w:pPr>
    </w:p>
    <w:p>
      <w:pPr>
        <w:jc w:val="both"/>
        <w:ind w:firstLine="324"/>
        <w:spacing w:after="0" w:line="248" w:lineRule="auto"/>
        <w:rPr>
          <w:sz w:val="20"/>
          <w:szCs w:val="20"/>
          <w:color w:val="auto"/>
        </w:rPr>
      </w:pPr>
      <w:r>
        <w:rPr>
          <w:rFonts w:ascii="Arial" w:cs="Arial" w:eastAsia="Arial" w:hAnsi="Arial"/>
          <w:sz w:val="20"/>
          <w:szCs w:val="20"/>
          <w:color w:val="auto"/>
        </w:rPr>
        <w:t xml:space="preserve">WHEREAS, [the Company wishes to terminate the Executive’s employment without Cause </w:t>
      </w:r>
      <w:r>
        <w:rPr>
          <w:rFonts w:ascii="Arial" w:cs="Arial" w:eastAsia="Arial" w:hAnsi="Arial"/>
          <w:sz w:val="20"/>
          <w:szCs w:val="20"/>
          <w:b w:val="1"/>
          <w:bCs w:val="1"/>
          <w:color w:val="auto"/>
        </w:rPr>
        <w:t>OR</w:t>
      </w:r>
      <w:r>
        <w:rPr>
          <w:rFonts w:ascii="Arial" w:cs="Arial" w:eastAsia="Arial" w:hAnsi="Arial"/>
          <w:sz w:val="20"/>
          <w:szCs w:val="20"/>
          <w:color w:val="auto"/>
        </w:rPr>
        <w:t xml:space="preserve"> the Executive wishes to terminate employment for Good Reason (each as defined in the Employment Agreement) </w:t>
      </w:r>
      <w:r>
        <w:rPr>
          <w:rFonts w:ascii="Arial" w:cs="Arial" w:eastAsia="Arial" w:hAnsi="Arial"/>
          <w:sz w:val="20"/>
          <w:szCs w:val="20"/>
          <w:b w:val="1"/>
          <w:bCs w:val="1"/>
          <w:color w:val="auto"/>
        </w:rPr>
        <w:t>OR</w:t>
      </w:r>
      <w:r>
        <w:rPr>
          <w:rFonts w:ascii="Arial" w:cs="Arial" w:eastAsia="Arial" w:hAnsi="Arial"/>
          <w:sz w:val="20"/>
          <w:szCs w:val="20"/>
          <w:color w:val="auto"/>
        </w:rPr>
        <w:t xml:space="preserve"> the Executive’s employment has been terminated due to Disability (as defined in the Employment Agreement) </w:t>
      </w:r>
      <w:r>
        <w:rPr>
          <w:rFonts w:ascii="Arial" w:cs="Arial" w:eastAsia="Arial" w:hAnsi="Arial"/>
          <w:sz w:val="20"/>
          <w:szCs w:val="20"/>
          <w:b w:val="1"/>
          <w:bCs w:val="1"/>
          <w:color w:val="auto"/>
        </w:rPr>
        <w:t>OR</w:t>
      </w:r>
      <w:r>
        <w:rPr>
          <w:rFonts w:ascii="Arial" w:cs="Arial" w:eastAsia="Arial" w:hAnsi="Arial"/>
          <w:sz w:val="20"/>
          <w:szCs w:val="20"/>
          <w:color w:val="auto"/>
        </w:rPr>
        <w:t xml:space="preserve"> the Executive’s employment has been terminated due to the Executive’s death]; and</w:t>
      </w:r>
    </w:p>
    <w:p>
      <w:pPr>
        <w:spacing w:after="0" w:line="216"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20"/>
          <w:szCs w:val="20"/>
          <w:color w:val="auto"/>
        </w:rPr>
        <w:t>WHEREAS, the Executive’s right to receive certain severance benefits as set forth in the Employment Agreement is conditioned on the Executive executing this Release.</w:t>
      </w:r>
    </w:p>
    <w:p>
      <w:pPr>
        <w:spacing w:after="0" w:line="204"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20"/>
          <w:szCs w:val="20"/>
          <w:color w:val="auto"/>
        </w:rPr>
        <w:t>In consideration of the mutual covenants and promises each Party has made to the other as set forth in this Release and the Employment Agreement, the Parties agree as follows:</w:t>
      </w:r>
    </w:p>
    <w:p>
      <w:pPr>
        <w:spacing w:after="0" w:line="204" w:lineRule="exact"/>
        <w:rPr>
          <w:sz w:val="20"/>
          <w:szCs w:val="20"/>
          <w:color w:val="auto"/>
        </w:rPr>
      </w:pPr>
    </w:p>
    <w:p>
      <w:pPr>
        <w:jc w:val="both"/>
        <w:ind w:left="340" w:hanging="332"/>
        <w:spacing w:after="0" w:line="260" w:lineRule="auto"/>
        <w:tabs>
          <w:tab w:leader="none" w:pos="340" w:val="left"/>
        </w:tabs>
        <w:numPr>
          <w:ilvl w:val="0"/>
          <w:numId w:val="98"/>
        </w:numPr>
        <w:rPr>
          <w:rFonts w:ascii="Arial" w:cs="Arial" w:eastAsia="Arial" w:hAnsi="Arial"/>
          <w:sz w:val="19"/>
          <w:szCs w:val="19"/>
          <w:color w:val="auto"/>
        </w:rPr>
      </w:pPr>
      <w:r>
        <w:rPr>
          <w:rFonts w:ascii="Arial" w:cs="Arial" w:eastAsia="Arial" w:hAnsi="Arial"/>
          <w:sz w:val="19"/>
          <w:szCs w:val="19"/>
          <w:u w:val="single" w:color="auto"/>
          <w:color w:val="auto"/>
        </w:rPr>
        <w:t>Separation Date</w:t>
      </w:r>
      <w:r>
        <w:rPr>
          <w:rFonts w:ascii="Arial" w:cs="Arial" w:eastAsia="Arial" w:hAnsi="Arial"/>
          <w:sz w:val="19"/>
          <w:szCs w:val="19"/>
          <w:color w:val="auto"/>
        </w:rPr>
        <w:t>. The Executive agrees that the Executive’s employment with the Company shall end as of [_____________________] (the “</w:t>
      </w:r>
      <w:r>
        <w:rPr>
          <w:rFonts w:ascii="Arial" w:cs="Arial" w:eastAsia="Arial" w:hAnsi="Arial"/>
          <w:sz w:val="19"/>
          <w:szCs w:val="19"/>
          <w:b w:val="1"/>
          <w:bCs w:val="1"/>
          <w:color w:val="auto"/>
        </w:rPr>
        <w:t>Separation Date</w:t>
      </w:r>
      <w:r>
        <w:rPr>
          <w:rFonts w:ascii="Arial" w:cs="Arial" w:eastAsia="Arial" w:hAnsi="Arial"/>
          <w:sz w:val="19"/>
          <w:szCs w:val="19"/>
          <w:color w:val="auto"/>
        </w:rPr>
        <w:t>”). As of the Separation Date, the Executive (a) shall cease to be an employee of the Company, and (b) shall no longer be authorized to bind the Company or to hold himself or herself out as an employee or agent of the Company. [During the Executive’s employment through the Separation Date, the Executive agrees that the Executive will reasonably assist in the transition of his or her duties and responsibilities as reasonably directed by the Company.]</w:t>
      </w:r>
    </w:p>
    <w:p>
      <w:pPr>
        <w:spacing w:after="0" w:line="207" w:lineRule="exact"/>
        <w:rPr>
          <w:rFonts w:ascii="Arial" w:cs="Arial" w:eastAsia="Arial" w:hAnsi="Arial"/>
          <w:sz w:val="19"/>
          <w:szCs w:val="19"/>
          <w:color w:val="auto"/>
        </w:rPr>
      </w:pPr>
    </w:p>
    <w:p>
      <w:pPr>
        <w:ind w:left="340" w:hanging="332"/>
        <w:spacing w:after="0"/>
        <w:tabs>
          <w:tab w:leader="none" w:pos="340" w:val="left"/>
        </w:tabs>
        <w:numPr>
          <w:ilvl w:val="0"/>
          <w:numId w:val="98"/>
        </w:numPr>
        <w:rPr>
          <w:rFonts w:ascii="Arial" w:cs="Arial" w:eastAsia="Arial" w:hAnsi="Arial"/>
          <w:sz w:val="20"/>
          <w:szCs w:val="20"/>
          <w:color w:val="auto"/>
        </w:rPr>
      </w:pPr>
      <w:r>
        <w:rPr>
          <w:rFonts w:ascii="Arial" w:cs="Arial" w:eastAsia="Arial" w:hAnsi="Arial"/>
          <w:sz w:val="20"/>
          <w:szCs w:val="20"/>
          <w:u w:val="single" w:color="auto"/>
          <w:color w:val="auto"/>
        </w:rPr>
        <w:t>Accrued Compensation and Benefits</w:t>
      </w:r>
      <w:r>
        <w:rPr>
          <w:rFonts w:ascii="Arial" w:cs="Arial" w:eastAsia="Arial" w:hAnsi="Arial"/>
          <w:sz w:val="20"/>
          <w:szCs w:val="20"/>
          <w:color w:val="auto"/>
        </w:rPr>
        <w:t>.</w:t>
      </w:r>
    </w:p>
    <w:p>
      <w:pPr>
        <w:spacing w:after="0" w:line="251" w:lineRule="exact"/>
        <w:rPr>
          <w:rFonts w:ascii="Arial" w:cs="Arial" w:eastAsia="Arial" w:hAnsi="Arial"/>
          <w:sz w:val="20"/>
          <w:szCs w:val="20"/>
          <w:color w:val="auto"/>
        </w:rPr>
      </w:pPr>
    </w:p>
    <w:p>
      <w:pPr>
        <w:jc w:val="both"/>
        <w:ind w:left="660" w:hanging="393"/>
        <w:spacing w:after="0" w:line="284" w:lineRule="auto"/>
        <w:tabs>
          <w:tab w:leader="none" w:pos="651" w:val="left"/>
        </w:tabs>
        <w:numPr>
          <w:ilvl w:val="1"/>
          <w:numId w:val="98"/>
        </w:numPr>
        <w:rPr>
          <w:rFonts w:ascii="Arial" w:cs="Arial" w:eastAsia="Arial" w:hAnsi="Arial"/>
          <w:sz w:val="18"/>
          <w:szCs w:val="18"/>
          <w:color w:val="auto"/>
        </w:rPr>
      </w:pPr>
      <w:r>
        <w:rPr>
          <w:rFonts w:ascii="Arial" w:cs="Arial" w:eastAsia="Arial" w:hAnsi="Arial"/>
          <w:sz w:val="18"/>
          <w:szCs w:val="18"/>
          <w:color w:val="auto"/>
        </w:rPr>
        <w:t xml:space="preserve">Even if the Executive does not sign this Agreement, (A) the Company shall pay the Executive, through the Separation Date, </w:t>
      </w:r>
      <w:r>
        <w:rPr>
          <w:rFonts w:ascii="Arial" w:cs="Arial" w:eastAsia="Arial" w:hAnsi="Arial"/>
          <w:sz w:val="19"/>
          <w:szCs w:val="19"/>
          <w:color w:val="auto"/>
        </w:rPr>
        <w:t>the</w:t>
      </w:r>
      <w:r>
        <w:rPr>
          <w:rFonts w:ascii="Arial" w:cs="Arial" w:eastAsia="Arial" w:hAnsi="Arial"/>
          <w:sz w:val="18"/>
          <w:szCs w:val="18"/>
          <w:color w:val="auto"/>
        </w:rPr>
        <w:t xml:space="preserve"> Executive’s Accrued Benefits (as defined in the Employment Agreement), and (B) (a) the Company shall offer the Executive benefits to which the Executive is entitled under the Consolidated Omnibus Budget Reconciliation Act of 1985 ("COBRA"), and (b) the Executive shall retain all benefits under the Company's 401(k) plan in accordance with terms of such plan.</w:t>
      </w:r>
    </w:p>
    <w:p>
      <w:pPr>
        <w:spacing w:after="0" w:line="185" w:lineRule="exact"/>
        <w:rPr>
          <w:rFonts w:ascii="Arial" w:cs="Arial" w:eastAsia="Arial" w:hAnsi="Arial"/>
          <w:sz w:val="18"/>
          <w:szCs w:val="18"/>
          <w:color w:val="auto"/>
        </w:rPr>
      </w:pPr>
    </w:p>
    <w:p>
      <w:pPr>
        <w:jc w:val="both"/>
        <w:ind w:left="660" w:hanging="393"/>
        <w:spacing w:after="0" w:line="250" w:lineRule="auto"/>
        <w:tabs>
          <w:tab w:leader="none" w:pos="649" w:val="left"/>
        </w:tabs>
        <w:numPr>
          <w:ilvl w:val="1"/>
          <w:numId w:val="98"/>
        </w:numPr>
        <w:rPr>
          <w:rFonts w:ascii="Arial" w:cs="Arial" w:eastAsia="Arial" w:hAnsi="Arial"/>
          <w:sz w:val="20"/>
          <w:szCs w:val="20"/>
          <w:color w:val="auto"/>
        </w:rPr>
      </w:pPr>
      <w:r>
        <w:rPr>
          <w:rFonts w:ascii="Arial" w:cs="Arial" w:eastAsia="Arial" w:hAnsi="Arial"/>
          <w:sz w:val="20"/>
          <w:szCs w:val="20"/>
          <w:color w:val="auto"/>
        </w:rPr>
        <w:t>As of the Separation Date, the Executive shall cease to be entitled to any further compensation, monies or other benefits from the Company, including coverage under any benefits plans or programs sponsored by the Company as of the Separation Date, except as otherwise expressly provided in this Release or otherwise required by law.</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w:t>
      </w:r>
    </w:p>
    <w:p>
      <w:pPr>
        <w:sectPr>
          <w:pgSz w:w="11900" w:h="16838" w:orient="portrait"/>
          <w:cols w:equalWidth="0" w:num="1">
            <w:col w:w="11240"/>
          </w:cols>
          <w:pgMar w:left="320" w:top="1413" w:right="339" w:bottom="1440" w:gutter="0" w:footer="0" w:header="0"/>
        </w:sectPr>
      </w:pPr>
    </w:p>
    <w:bookmarkStart w:id="112" w:name="page113"/>
    <w:bookmarkEnd w:id="112"/>
    <w:p>
      <w:pPr>
        <w:spacing w:after="0" w:line="222" w:lineRule="exact"/>
        <w:rPr>
          <w:sz w:val="20"/>
          <w:szCs w:val="20"/>
          <w:color w:val="auto"/>
        </w:rPr>
      </w:pPr>
    </w:p>
    <w:p>
      <w:pPr>
        <w:ind w:left="332" w:hanging="332"/>
        <w:spacing w:after="0"/>
        <w:tabs>
          <w:tab w:leader="none" w:pos="332" w:val="left"/>
        </w:tabs>
        <w:numPr>
          <w:ilvl w:val="0"/>
          <w:numId w:val="99"/>
        </w:numPr>
        <w:rPr>
          <w:rFonts w:ascii="Arial" w:cs="Arial" w:eastAsia="Arial" w:hAnsi="Arial"/>
          <w:sz w:val="20"/>
          <w:szCs w:val="20"/>
          <w:color w:val="auto"/>
        </w:rPr>
      </w:pPr>
      <w:r>
        <w:rPr>
          <w:rFonts w:ascii="Arial" w:cs="Arial" w:eastAsia="Arial" w:hAnsi="Arial"/>
          <w:sz w:val="20"/>
          <w:szCs w:val="20"/>
          <w:u w:val="single" w:color="auto"/>
          <w:color w:val="auto"/>
        </w:rPr>
        <w:t>Severance Benefits.</w:t>
      </w:r>
    </w:p>
    <w:p>
      <w:pPr>
        <w:spacing w:after="0" w:line="242" w:lineRule="exact"/>
        <w:rPr>
          <w:rFonts w:ascii="Arial" w:cs="Arial" w:eastAsia="Arial" w:hAnsi="Arial"/>
          <w:sz w:val="20"/>
          <w:szCs w:val="20"/>
          <w:color w:val="auto"/>
        </w:rPr>
      </w:pPr>
    </w:p>
    <w:p>
      <w:pPr>
        <w:jc w:val="both"/>
        <w:ind w:left="652" w:hanging="393"/>
        <w:spacing w:after="0" w:line="246" w:lineRule="auto"/>
        <w:tabs>
          <w:tab w:leader="none" w:pos="643" w:val="left"/>
        </w:tabs>
        <w:numPr>
          <w:ilvl w:val="2"/>
          <w:numId w:val="99"/>
        </w:numPr>
        <w:rPr>
          <w:rFonts w:ascii="Arial" w:cs="Arial" w:eastAsia="Arial" w:hAnsi="Arial"/>
          <w:sz w:val="20"/>
          <w:szCs w:val="20"/>
          <w:color w:val="auto"/>
        </w:rPr>
      </w:pPr>
      <w:r>
        <w:rPr>
          <w:rFonts w:ascii="Arial" w:cs="Arial" w:eastAsia="Arial" w:hAnsi="Arial"/>
          <w:sz w:val="20"/>
          <w:szCs w:val="20"/>
          <w:color w:val="auto"/>
        </w:rPr>
        <w:t xml:space="preserve">Subject to the execution [and non-revocation] of this Release, and following the Effective Date of this Release (as defined below), the Company will pay the Executive the [(Severance Benefits as defined in, and in the accordance with the terms set forth in, the Employment Agreement) </w:t>
      </w:r>
      <w:r>
        <w:rPr>
          <w:rFonts w:ascii="Arial" w:cs="Arial" w:eastAsia="Arial" w:hAnsi="Arial"/>
          <w:sz w:val="20"/>
          <w:szCs w:val="20"/>
          <w:b w:val="1"/>
          <w:bCs w:val="1"/>
          <w:color w:val="auto"/>
        </w:rPr>
        <w:t>OR</w:t>
      </w:r>
      <w:r>
        <w:rPr>
          <w:rFonts w:ascii="Arial" w:cs="Arial" w:eastAsia="Arial" w:hAnsi="Arial"/>
          <w:sz w:val="20"/>
          <w:szCs w:val="20"/>
          <w:color w:val="auto"/>
        </w:rPr>
        <w:t xml:space="preserve"> (the Annual Bonus, Pro-Rated Bonus, and accelerated vesting of equity as set forth in Section 8(a) OR Section 8(b) of the Employment Agreement (“Severance Payment”)].</w:t>
      </w:r>
    </w:p>
    <w:p>
      <w:pPr>
        <w:spacing w:after="0" w:line="212" w:lineRule="exact"/>
        <w:rPr>
          <w:rFonts w:ascii="Arial" w:cs="Arial" w:eastAsia="Arial" w:hAnsi="Arial"/>
          <w:sz w:val="20"/>
          <w:szCs w:val="20"/>
          <w:color w:val="auto"/>
        </w:rPr>
      </w:pPr>
    </w:p>
    <w:p>
      <w:pPr>
        <w:jc w:val="both"/>
        <w:ind w:left="652" w:hanging="393"/>
        <w:spacing w:after="0" w:line="259" w:lineRule="auto"/>
        <w:tabs>
          <w:tab w:leader="none" w:pos="641" w:val="left"/>
        </w:tabs>
        <w:numPr>
          <w:ilvl w:val="2"/>
          <w:numId w:val="99"/>
        </w:numPr>
        <w:rPr>
          <w:rFonts w:ascii="Arial" w:cs="Arial" w:eastAsia="Arial" w:hAnsi="Arial"/>
          <w:sz w:val="19"/>
          <w:szCs w:val="19"/>
          <w:color w:val="auto"/>
        </w:rPr>
      </w:pPr>
      <w:r>
        <w:rPr>
          <w:rFonts w:ascii="Arial" w:cs="Arial" w:eastAsia="Arial" w:hAnsi="Arial"/>
          <w:sz w:val="19"/>
          <w:szCs w:val="19"/>
          <w:color w:val="auto"/>
        </w:rPr>
        <w:t xml:space="preserve">The Executive acknowledges and agrees that the [Severance Benefits </w:t>
      </w:r>
      <w:r>
        <w:rPr>
          <w:rFonts w:ascii="Arial" w:cs="Arial" w:eastAsia="Arial" w:hAnsi="Arial"/>
          <w:sz w:val="19"/>
          <w:szCs w:val="19"/>
          <w:b w:val="1"/>
          <w:bCs w:val="1"/>
          <w:color w:val="auto"/>
        </w:rPr>
        <w:t>OR</w:t>
      </w:r>
      <w:r>
        <w:rPr>
          <w:rFonts w:ascii="Arial" w:cs="Arial" w:eastAsia="Arial" w:hAnsi="Arial"/>
          <w:sz w:val="19"/>
          <w:szCs w:val="19"/>
          <w:color w:val="auto"/>
        </w:rPr>
        <w:t xml:space="preserve"> Severance Payment] (except the payments set forth in Section 2(a) hereof) are in lieu of any other compensation due or payable to the Executive in connection with his or her termination of employment, including, without limitation, any severance, bonus, pay in lieu of notice, short or long-term incentive or any other compensation or remuneration of any type. The Executive further acknowledges and agrees that the compensation set forth in this Section is sufficient consideration for the releases set forth herein, and that the Executive is not otherwise entitled to this consideration. In the event that the Executive does not sign[, or revokes,] this Release, the Executive shall not be entitled to any portion of the [Severance Benefits </w:t>
      </w:r>
      <w:r>
        <w:rPr>
          <w:rFonts w:ascii="Arial" w:cs="Arial" w:eastAsia="Arial" w:hAnsi="Arial"/>
          <w:sz w:val="19"/>
          <w:szCs w:val="19"/>
          <w:b w:val="1"/>
          <w:bCs w:val="1"/>
          <w:color w:val="auto"/>
        </w:rPr>
        <w:t>OR</w:t>
      </w:r>
      <w:r>
        <w:rPr>
          <w:rFonts w:ascii="Arial" w:cs="Arial" w:eastAsia="Arial" w:hAnsi="Arial"/>
          <w:sz w:val="19"/>
          <w:szCs w:val="19"/>
          <w:color w:val="auto"/>
        </w:rPr>
        <w:t xml:space="preserve"> Severance Payment].</w:t>
      </w:r>
    </w:p>
    <w:p>
      <w:pPr>
        <w:spacing w:after="0" w:line="205" w:lineRule="exact"/>
        <w:rPr>
          <w:rFonts w:ascii="Arial" w:cs="Arial" w:eastAsia="Arial" w:hAnsi="Arial"/>
          <w:sz w:val="19"/>
          <w:szCs w:val="19"/>
          <w:color w:val="auto"/>
        </w:rPr>
      </w:pPr>
    </w:p>
    <w:p>
      <w:pPr>
        <w:jc w:val="both"/>
        <w:ind w:left="332" w:hanging="332"/>
        <w:spacing w:after="0" w:line="268" w:lineRule="auto"/>
        <w:tabs>
          <w:tab w:leader="none" w:pos="332" w:val="left"/>
        </w:tabs>
        <w:numPr>
          <w:ilvl w:val="0"/>
          <w:numId w:val="99"/>
        </w:numPr>
        <w:rPr>
          <w:rFonts w:ascii="Arial" w:cs="Arial" w:eastAsia="Arial" w:hAnsi="Arial"/>
          <w:sz w:val="18"/>
          <w:szCs w:val="18"/>
          <w:color w:val="auto"/>
        </w:rPr>
      </w:pPr>
      <w:r>
        <w:rPr>
          <w:rFonts w:ascii="Arial" w:cs="Arial" w:eastAsia="Arial" w:hAnsi="Arial"/>
          <w:sz w:val="18"/>
          <w:szCs w:val="18"/>
          <w:u w:val="single" w:color="auto"/>
          <w:color w:val="auto"/>
        </w:rPr>
        <w:t>Release of Claims</w:t>
      </w:r>
      <w:r>
        <w:rPr>
          <w:rFonts w:ascii="Arial" w:cs="Arial" w:eastAsia="Arial" w:hAnsi="Arial"/>
          <w:sz w:val="18"/>
          <w:szCs w:val="18"/>
          <w:color w:val="auto"/>
        </w:rPr>
        <w:t>. In exchange for the consideration provided in this Release, the Executive, on behalf of the Executive and the Executive’s heirs, executors, representatives, agents, insurers, administrators, successors and assigns, irrevocably and unconditionally fully and forever waives, releases and discharges the Company and its current and former parent companies, subsidiaries and any affiliated companies as well as any of their respective current and former insurers, directors, officers, agents, shareholders, and employees, or any of their predecessors, successors or assigns (collectively, the “</w:t>
      </w:r>
      <w:r>
        <w:rPr>
          <w:rFonts w:ascii="Arial" w:cs="Arial" w:eastAsia="Arial" w:hAnsi="Arial"/>
          <w:sz w:val="18"/>
          <w:szCs w:val="18"/>
          <w:b w:val="1"/>
          <w:bCs w:val="1"/>
          <w:color w:val="auto"/>
        </w:rPr>
        <w:t>Released Parties</w:t>
      </w:r>
      <w:r>
        <w:rPr>
          <w:rFonts w:ascii="Arial" w:cs="Arial" w:eastAsia="Arial" w:hAnsi="Arial"/>
          <w:sz w:val="18"/>
          <w:szCs w:val="18"/>
          <w:color w:val="auto"/>
        </w:rPr>
        <w:t>”) from any and all claims, demands, actions, causes of actions, obligations, judgments, rights, fees, damages, debts, obligations, liabilities and expenses (inclusive of attorneys’ fees) of any kind whatsoever (collectively, “</w:t>
      </w:r>
      <w:r>
        <w:rPr>
          <w:rFonts w:ascii="Arial" w:cs="Arial" w:eastAsia="Arial" w:hAnsi="Arial"/>
          <w:sz w:val="18"/>
          <w:szCs w:val="18"/>
          <w:b w:val="1"/>
          <w:bCs w:val="1"/>
          <w:color w:val="auto"/>
        </w:rPr>
        <w:t>Claims</w:t>
      </w:r>
      <w:r>
        <w:rPr>
          <w:rFonts w:ascii="Arial" w:cs="Arial" w:eastAsia="Arial" w:hAnsi="Arial"/>
          <w:sz w:val="18"/>
          <w:szCs w:val="18"/>
          <w:color w:val="auto"/>
        </w:rPr>
        <w:t>”), whether known or unknown, from the beginning of time to the date of the Executive’s execution of this Release, including, without limitation, any claims under any federal, state, local or foreign law, that the Executive may have, have ever had or may in the future have arising out of, or in any way related to, including but not limited to, (i) the Executive’s hire, benefits, employment, termination or separation from employment with the Company and any actual or alleged act, omission, transaction, practice, conduct, occurrence or other matter; (ii) any and all claims for compensation of any type whatsoever, including but not limited to claims for salary, wages, bonuses, commissions, incentive compensation, vacation and/or severance (excluding claims under any tax-qualified retirement plan or fully-insured welfare benefit plan); and (iii) any and all claims arising under tort, contract and/or quasi-contract law, including but not limited to claims of breach of an expressed or implied contract, tortious interference with contract or prospective business advantage, breach of the covenant of good faith and fair dealing, promissory estoppel, detrimental reliance, invasion of privacy, nonphysical injury, personal injury or sickness or any other harm, wrongful or retaliatory discharge, fraud, defamation, slander, libel, false imprisonment, negligent or intentional infliction of emotional distress. The Executive acknowledges and agrees that the Executive is releasing the Released Parties from all claims relating to or arising from the Executive’s employment with the Company to the fullest extent permitted by law. The Executive further acknowledges and agrees that this release provision includes, but is not limited to, rights and claims arising under Title VII of the Civil Rights Act, the Age Discrimination in Employment Act, the Older Workers Benefit Protection Act, the Americans with Disabilities Act, the Genetic Information Nondiscrimination Act, the Family and Medical Leave Act, and any state,</w:t>
      </w:r>
    </w:p>
    <w:p>
      <w:pPr>
        <w:spacing w:after="0" w:line="200" w:lineRule="exact"/>
        <w:rPr>
          <w:rFonts w:ascii="Arial" w:cs="Arial" w:eastAsia="Arial" w:hAnsi="Arial"/>
          <w:sz w:val="18"/>
          <w:szCs w:val="18"/>
          <w:color w:val="auto"/>
        </w:rPr>
      </w:pPr>
    </w:p>
    <w:p>
      <w:pPr>
        <w:spacing w:after="0" w:line="326" w:lineRule="exact"/>
        <w:rPr>
          <w:rFonts w:ascii="Arial" w:cs="Arial" w:eastAsia="Arial" w:hAnsi="Arial"/>
          <w:sz w:val="18"/>
          <w:szCs w:val="18"/>
          <w:color w:val="auto"/>
        </w:rPr>
      </w:pPr>
    </w:p>
    <w:p>
      <w:pPr>
        <w:ind w:left="352" w:hanging="136"/>
        <w:spacing w:after="0"/>
        <w:tabs>
          <w:tab w:leader="none" w:pos="352" w:val="left"/>
        </w:tabs>
        <w:numPr>
          <w:ilvl w:val="1"/>
          <w:numId w:val="99"/>
        </w:numPr>
        <w:rPr>
          <w:rFonts w:ascii="Arial" w:cs="Arial" w:eastAsia="Arial" w:hAnsi="Arial"/>
          <w:sz w:val="22"/>
          <w:szCs w:val="22"/>
          <w:color w:val="auto"/>
        </w:rPr>
      </w:pPr>
      <w:r>
        <w:rPr>
          <w:rFonts w:ascii="Arial" w:cs="Arial" w:eastAsia="Arial" w:hAnsi="Arial"/>
          <w:sz w:val="22"/>
          <w:szCs w:val="22"/>
          <w:color w:val="auto"/>
        </w:rPr>
        <w:t>2 -</w:t>
      </w:r>
    </w:p>
    <w:p>
      <w:pPr>
        <w:sectPr>
          <w:pgSz w:w="11900" w:h="16838" w:orient="portrait"/>
          <w:cols w:equalWidth="0" w:num="1">
            <w:col w:w="11232"/>
          </w:cols>
          <w:pgMar w:left="328" w:top="1440" w:right="339" w:bottom="1440" w:gutter="0" w:footer="0" w:header="0"/>
        </w:sectPr>
      </w:pPr>
    </w:p>
    <w:bookmarkStart w:id="113" w:name="page114"/>
    <w:bookmarkEnd w:id="113"/>
    <w:p>
      <w:pPr>
        <w:ind w:left="332"/>
        <w:spacing w:after="0"/>
        <w:rPr>
          <w:sz w:val="20"/>
          <w:szCs w:val="20"/>
          <w:color w:val="auto"/>
        </w:rPr>
      </w:pPr>
      <w:r>
        <w:rPr>
          <w:rFonts w:ascii="Arial" w:cs="Arial" w:eastAsia="Arial" w:hAnsi="Arial"/>
          <w:sz w:val="18"/>
          <w:szCs w:val="18"/>
          <w:color w:val="auto"/>
        </w:rPr>
        <w:t>municipal, or local statute, law, regulation or ordinance relating to employment, disputed wages, discrimination, retaliation, or leave.</w:t>
      </w:r>
    </w:p>
    <w:p>
      <w:pPr>
        <w:spacing w:after="0" w:line="266" w:lineRule="exact"/>
        <w:rPr>
          <w:sz w:val="20"/>
          <w:szCs w:val="20"/>
          <w:color w:val="auto"/>
        </w:rPr>
      </w:pPr>
    </w:p>
    <w:p>
      <w:pPr>
        <w:jc w:val="both"/>
        <w:ind w:left="332" w:hanging="332"/>
        <w:spacing w:after="0" w:line="273" w:lineRule="auto"/>
        <w:tabs>
          <w:tab w:leader="none" w:pos="332" w:val="left"/>
        </w:tabs>
        <w:numPr>
          <w:ilvl w:val="0"/>
          <w:numId w:val="100"/>
        </w:numPr>
        <w:rPr>
          <w:rFonts w:ascii="Arial" w:cs="Arial" w:eastAsia="Arial" w:hAnsi="Arial"/>
          <w:sz w:val="18"/>
          <w:szCs w:val="18"/>
          <w:color w:val="auto"/>
        </w:rPr>
      </w:pPr>
      <w:r>
        <w:rPr>
          <w:rFonts w:ascii="Arial" w:cs="Arial" w:eastAsia="Arial" w:hAnsi="Arial"/>
          <w:sz w:val="18"/>
          <w:szCs w:val="18"/>
          <w:u w:val="single" w:color="auto"/>
          <w:color w:val="auto"/>
        </w:rPr>
        <w:t>Release of Unknown Claims</w:t>
      </w:r>
      <w:r>
        <w:rPr>
          <w:rFonts w:ascii="Arial" w:cs="Arial" w:eastAsia="Arial" w:hAnsi="Arial"/>
          <w:sz w:val="18"/>
          <w:szCs w:val="18"/>
          <w:color w:val="auto"/>
        </w:rPr>
        <w:t>. For the purpose of implementing a full and complete release, the Executive expressly acknowledges that the release in this Release is intended to include in its effect, without limitation, claims that the Executive did not know or suspect to exist in his or her favor at the time of the execution of this Release, regardless of whether the knowledge of such claims, or the facts upon which they might be based, would materially have affected this Release, and that the consideration given under this Release was also for the release of those claims and contemplates the extinguishment of any such unknown claims. The Executive does hereby specifically assume such risk and agrees that this Release and, except as otherwise set forth in the Release, the releases contained herein shall and do apply to all unknown or unanticipated results of any and all matters caused by or connected with his or her employment with and separation from the Company, as well as those currently known or anticipated.</w:t>
      </w:r>
    </w:p>
    <w:p>
      <w:pPr>
        <w:spacing w:after="0" w:line="195" w:lineRule="exact"/>
        <w:rPr>
          <w:rFonts w:ascii="Arial" w:cs="Arial" w:eastAsia="Arial" w:hAnsi="Arial"/>
          <w:sz w:val="18"/>
          <w:szCs w:val="18"/>
          <w:color w:val="auto"/>
        </w:rPr>
      </w:pPr>
    </w:p>
    <w:p>
      <w:pPr>
        <w:ind w:left="332" w:hanging="332"/>
        <w:spacing w:after="0"/>
        <w:tabs>
          <w:tab w:leader="none" w:pos="332" w:val="left"/>
        </w:tabs>
        <w:numPr>
          <w:ilvl w:val="0"/>
          <w:numId w:val="100"/>
        </w:numPr>
        <w:rPr>
          <w:rFonts w:ascii="Arial" w:cs="Arial" w:eastAsia="Arial" w:hAnsi="Arial"/>
          <w:sz w:val="20"/>
          <w:szCs w:val="20"/>
          <w:color w:val="auto"/>
        </w:rPr>
      </w:pPr>
      <w:r>
        <w:rPr>
          <w:rFonts w:ascii="Arial" w:cs="Arial" w:eastAsia="Arial" w:hAnsi="Arial"/>
          <w:sz w:val="20"/>
          <w:szCs w:val="20"/>
          <w:u w:val="single" w:color="auto"/>
          <w:color w:val="auto"/>
        </w:rPr>
        <w:t>Waiver of Rights and Excluded Claims</w:t>
      </w:r>
      <w:r>
        <w:rPr>
          <w:rFonts w:ascii="Arial" w:cs="Arial" w:eastAsia="Arial" w:hAnsi="Arial"/>
          <w:sz w:val="20"/>
          <w:szCs w:val="20"/>
          <w:color w:val="auto"/>
        </w:rPr>
        <w:t>.</w:t>
      </w:r>
    </w:p>
    <w:p>
      <w:pPr>
        <w:spacing w:after="0" w:line="242" w:lineRule="exact"/>
        <w:rPr>
          <w:rFonts w:ascii="Arial" w:cs="Arial" w:eastAsia="Arial" w:hAnsi="Arial"/>
          <w:sz w:val="20"/>
          <w:szCs w:val="20"/>
          <w:color w:val="auto"/>
        </w:rPr>
      </w:pPr>
    </w:p>
    <w:p>
      <w:pPr>
        <w:jc w:val="both"/>
        <w:ind w:left="652" w:hanging="393"/>
        <w:spacing w:after="0" w:line="243" w:lineRule="auto"/>
        <w:tabs>
          <w:tab w:leader="none" w:pos="643" w:val="left"/>
        </w:tabs>
        <w:numPr>
          <w:ilvl w:val="2"/>
          <w:numId w:val="100"/>
        </w:numPr>
        <w:rPr>
          <w:rFonts w:ascii="Arial" w:cs="Arial" w:eastAsia="Arial" w:hAnsi="Arial"/>
          <w:sz w:val="20"/>
          <w:szCs w:val="20"/>
          <w:color w:val="auto"/>
        </w:rPr>
      </w:pPr>
      <w:r>
        <w:rPr>
          <w:rFonts w:ascii="Arial" w:cs="Arial" w:eastAsia="Arial" w:hAnsi="Arial"/>
          <w:sz w:val="20"/>
          <w:szCs w:val="20"/>
          <w:color w:val="auto"/>
        </w:rPr>
        <w:t>The Executive waives any right to recover in a civil suit or proceeding brought by any governmental agency or other individual on the Executive’s behalf against the Company based on any act or omission arising or occurring prior to the date of the execution of this Release, whether known or unknown at the time of execution, or to participate in any such action brought by another individual. The Executive acknowledges and agrees that under no circumstances will the Executive be entitled to recover money damages or any other monies from the Company other than those described in this Release. The Executive waives all rights to monetary damages or individual relief resulting from any such charge or complaint brought before the EEOC or equivalent state or local employment rights agency.</w:t>
      </w:r>
    </w:p>
    <w:p>
      <w:pPr>
        <w:spacing w:after="0" w:line="219" w:lineRule="exact"/>
        <w:rPr>
          <w:rFonts w:ascii="Arial" w:cs="Arial" w:eastAsia="Arial" w:hAnsi="Arial"/>
          <w:sz w:val="20"/>
          <w:szCs w:val="20"/>
          <w:color w:val="auto"/>
        </w:rPr>
      </w:pPr>
    </w:p>
    <w:p>
      <w:pPr>
        <w:jc w:val="both"/>
        <w:ind w:left="652" w:hanging="393"/>
        <w:spacing w:after="0" w:line="246" w:lineRule="auto"/>
        <w:tabs>
          <w:tab w:leader="none" w:pos="641" w:val="left"/>
        </w:tabs>
        <w:numPr>
          <w:ilvl w:val="2"/>
          <w:numId w:val="100"/>
        </w:numPr>
        <w:rPr>
          <w:rFonts w:ascii="Arial" w:cs="Arial" w:eastAsia="Arial" w:hAnsi="Arial"/>
          <w:sz w:val="20"/>
          <w:szCs w:val="20"/>
          <w:color w:val="auto"/>
        </w:rPr>
      </w:pPr>
      <w:r>
        <w:rPr>
          <w:rFonts w:ascii="Arial" w:cs="Arial" w:eastAsia="Arial" w:hAnsi="Arial"/>
          <w:sz w:val="20"/>
          <w:szCs w:val="20"/>
          <w:color w:val="auto"/>
        </w:rPr>
        <w:t>Notwithstanding the foregoing or anything to the contrary in this Release, nothing contained in this Release (A) waives or releases the Executive’s right to (i) file a charge or complaint, participate in proceedings conducted by, or communicate with a government agency, (ii) to bring future claims arising after the Separation Date, and/or (B) limits the Executive’s right to enforce the terms of this Release.</w:t>
      </w:r>
    </w:p>
    <w:p>
      <w:pPr>
        <w:spacing w:after="0" w:line="218" w:lineRule="exact"/>
        <w:rPr>
          <w:rFonts w:ascii="Arial" w:cs="Arial" w:eastAsia="Arial" w:hAnsi="Arial"/>
          <w:sz w:val="20"/>
          <w:szCs w:val="20"/>
          <w:color w:val="auto"/>
        </w:rPr>
      </w:pPr>
    </w:p>
    <w:p>
      <w:pPr>
        <w:jc w:val="both"/>
        <w:ind w:left="332" w:hanging="332"/>
        <w:spacing w:after="0" w:line="246" w:lineRule="auto"/>
        <w:tabs>
          <w:tab w:leader="none" w:pos="332" w:val="left"/>
        </w:tabs>
        <w:numPr>
          <w:ilvl w:val="0"/>
          <w:numId w:val="100"/>
        </w:numPr>
        <w:rPr>
          <w:rFonts w:ascii="Arial" w:cs="Arial" w:eastAsia="Arial" w:hAnsi="Arial"/>
          <w:sz w:val="20"/>
          <w:szCs w:val="20"/>
          <w:color w:val="auto"/>
        </w:rPr>
      </w:pPr>
      <w:r>
        <w:rPr>
          <w:rFonts w:ascii="Arial" w:cs="Arial" w:eastAsia="Arial" w:hAnsi="Arial"/>
          <w:sz w:val="20"/>
          <w:szCs w:val="20"/>
          <w:u w:val="single" w:color="auto"/>
          <w:color w:val="auto"/>
        </w:rPr>
        <w:t>Return of Property</w:t>
      </w:r>
      <w:r>
        <w:rPr>
          <w:rFonts w:ascii="Arial" w:cs="Arial" w:eastAsia="Arial" w:hAnsi="Arial"/>
          <w:sz w:val="20"/>
          <w:szCs w:val="20"/>
          <w:color w:val="auto"/>
        </w:rPr>
        <w:t>. By signing this Release, the Executive represents that the Executive has returned all Company property, including car, identification cards or badges, access codes or devices, keys, laptops, computers, telephones, mobile phones, hand-held electronic devices, credit cards, electronically stored documents or files, physical files and any other Company property previously in the Executive’s possession.</w:t>
      </w:r>
    </w:p>
    <w:p>
      <w:pPr>
        <w:spacing w:after="0" w:line="218" w:lineRule="exact"/>
        <w:rPr>
          <w:rFonts w:ascii="Arial" w:cs="Arial" w:eastAsia="Arial" w:hAnsi="Arial"/>
          <w:sz w:val="20"/>
          <w:szCs w:val="20"/>
          <w:color w:val="auto"/>
        </w:rPr>
      </w:pPr>
    </w:p>
    <w:p>
      <w:pPr>
        <w:jc w:val="both"/>
        <w:ind w:left="332" w:hanging="332"/>
        <w:spacing w:after="0" w:line="244" w:lineRule="auto"/>
        <w:tabs>
          <w:tab w:leader="none" w:pos="332" w:val="left"/>
        </w:tabs>
        <w:numPr>
          <w:ilvl w:val="0"/>
          <w:numId w:val="100"/>
        </w:numPr>
        <w:rPr>
          <w:rFonts w:ascii="Arial" w:cs="Arial" w:eastAsia="Arial" w:hAnsi="Arial"/>
          <w:sz w:val="20"/>
          <w:szCs w:val="20"/>
          <w:color w:val="auto"/>
        </w:rPr>
      </w:pPr>
      <w:r>
        <w:rPr>
          <w:rFonts w:ascii="Arial" w:cs="Arial" w:eastAsia="Arial" w:hAnsi="Arial"/>
          <w:sz w:val="20"/>
          <w:szCs w:val="20"/>
          <w:u w:val="single" w:color="auto"/>
          <w:color w:val="auto"/>
        </w:rPr>
        <w:t>Representations</w:t>
      </w:r>
      <w:r>
        <w:rPr>
          <w:rFonts w:ascii="Arial" w:cs="Arial" w:eastAsia="Arial" w:hAnsi="Arial"/>
          <w:sz w:val="20"/>
          <w:szCs w:val="20"/>
          <w:color w:val="auto"/>
        </w:rPr>
        <w:t>. The Executive represents that the Executive is the only person able to assert any right or claim arising out of the Executive’s employment with or separation from the Company. The Executive represents that the Executive has not: (i) brought a charge or suit against the Company in connection with any of the Claims, including, but not limited to, any claim or charge before the EEOC, or (ii) assigned or transferred or purported to assign or transfer, to any person or entity, any Claim or any portion thereof or interest therein which the Executive may have against the Company.</w:t>
      </w:r>
    </w:p>
    <w:p>
      <w:pPr>
        <w:spacing w:after="0" w:line="221" w:lineRule="exact"/>
        <w:rPr>
          <w:rFonts w:ascii="Arial" w:cs="Arial" w:eastAsia="Arial" w:hAnsi="Arial"/>
          <w:sz w:val="20"/>
          <w:szCs w:val="20"/>
          <w:color w:val="auto"/>
        </w:rPr>
      </w:pPr>
    </w:p>
    <w:p>
      <w:pPr>
        <w:ind w:left="332" w:hanging="332"/>
        <w:spacing w:after="0"/>
        <w:tabs>
          <w:tab w:leader="none" w:pos="332" w:val="left"/>
        </w:tabs>
        <w:numPr>
          <w:ilvl w:val="0"/>
          <w:numId w:val="100"/>
        </w:numPr>
        <w:rPr>
          <w:rFonts w:ascii="Arial" w:cs="Arial" w:eastAsia="Arial" w:hAnsi="Arial"/>
          <w:sz w:val="20"/>
          <w:szCs w:val="20"/>
          <w:color w:val="auto"/>
        </w:rPr>
      </w:pPr>
      <w:r>
        <w:rPr>
          <w:rFonts w:ascii="Arial" w:cs="Arial" w:eastAsia="Arial" w:hAnsi="Arial"/>
          <w:sz w:val="20"/>
          <w:szCs w:val="20"/>
          <w:u w:val="single" w:color="auto"/>
          <w:color w:val="auto"/>
        </w:rPr>
        <w:t>Notice and Revocation</w:t>
      </w:r>
      <w:r>
        <w:rPr>
          <w:rFonts w:ascii="Arial" w:cs="Arial" w:eastAsia="Arial" w:hAnsi="Arial"/>
          <w:sz w:val="20"/>
          <w:szCs w:val="20"/>
          <w:color w:val="auto"/>
        </w:rPr>
        <w:t>.</w:t>
      </w: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04" w:lineRule="exact"/>
        <w:rPr>
          <w:rFonts w:ascii="Arial" w:cs="Arial" w:eastAsia="Arial" w:hAnsi="Arial"/>
          <w:sz w:val="20"/>
          <w:szCs w:val="20"/>
          <w:color w:val="auto"/>
        </w:rPr>
      </w:pPr>
    </w:p>
    <w:p>
      <w:pPr>
        <w:ind w:left="352" w:hanging="136"/>
        <w:spacing w:after="0"/>
        <w:tabs>
          <w:tab w:leader="none" w:pos="352" w:val="left"/>
        </w:tabs>
        <w:numPr>
          <w:ilvl w:val="1"/>
          <w:numId w:val="100"/>
        </w:numPr>
        <w:rPr>
          <w:rFonts w:ascii="Arial" w:cs="Arial" w:eastAsia="Arial" w:hAnsi="Arial"/>
          <w:sz w:val="22"/>
          <w:szCs w:val="22"/>
          <w:color w:val="auto"/>
        </w:rPr>
      </w:pPr>
      <w:r>
        <w:rPr>
          <w:rFonts w:ascii="Arial" w:cs="Arial" w:eastAsia="Arial" w:hAnsi="Arial"/>
          <w:sz w:val="22"/>
          <w:szCs w:val="22"/>
          <w:color w:val="auto"/>
        </w:rPr>
        <w:t>3 -</w:t>
      </w:r>
    </w:p>
    <w:p>
      <w:pPr>
        <w:sectPr>
          <w:pgSz w:w="11900" w:h="16838" w:orient="portrait"/>
          <w:cols w:equalWidth="0" w:num="1">
            <w:col w:w="11232"/>
          </w:cols>
          <w:pgMar w:left="328" w:top="1419" w:right="339" w:bottom="1440" w:gutter="0" w:footer="0" w:header="0"/>
        </w:sectPr>
      </w:pPr>
    </w:p>
    <w:bookmarkStart w:id="114" w:name="page115"/>
    <w:bookmarkEnd w:id="114"/>
    <w:p>
      <w:pPr>
        <w:jc w:val="both"/>
        <w:ind w:left="652" w:hanging="497"/>
        <w:spacing w:after="0" w:line="281" w:lineRule="auto"/>
        <w:tabs>
          <w:tab w:leader="none" w:pos="641" w:val="left"/>
        </w:tabs>
        <w:numPr>
          <w:ilvl w:val="1"/>
          <w:numId w:val="101"/>
        </w:numPr>
        <w:rPr>
          <w:rFonts w:ascii="Arial" w:cs="Arial" w:eastAsia="Arial" w:hAnsi="Arial"/>
          <w:sz w:val="18"/>
          <w:szCs w:val="18"/>
          <w:color w:val="auto"/>
        </w:rPr>
      </w:pPr>
      <w:r>
        <w:rPr>
          <w:rFonts w:ascii="Arial" w:cs="Arial" w:eastAsia="Arial" w:hAnsi="Arial"/>
          <w:sz w:val="18"/>
          <w:szCs w:val="18"/>
          <w:color w:val="auto"/>
        </w:rPr>
        <w:t xml:space="preserve">The Executive acknowledges that the Executive was given at least [twenty-one (21) </w:t>
      </w:r>
      <w:r>
        <w:rPr>
          <w:rFonts w:ascii="Arial" w:cs="Arial" w:eastAsia="Arial" w:hAnsi="Arial"/>
          <w:sz w:val="18"/>
          <w:szCs w:val="18"/>
          <w:b w:val="1"/>
          <w:bCs w:val="1"/>
          <w:color w:val="auto"/>
        </w:rPr>
        <w:t>OR</w:t>
      </w:r>
      <w:r>
        <w:rPr>
          <w:rFonts w:ascii="Arial" w:cs="Arial" w:eastAsia="Arial" w:hAnsi="Arial"/>
          <w:sz w:val="18"/>
          <w:szCs w:val="18"/>
          <w:color w:val="auto"/>
        </w:rPr>
        <w:t xml:space="preserve"> forty-five (45)] days to consider the terms of this Release and consult with an attorney of the Executive’s choice. To the extent that the Executive elects to enter into this Release prior to the expiration of such period, the Executive acknowledges that the Executive has done so voluntarily and has knowingly waived the balance of such consideration period. </w:t>
      </w:r>
      <w:r>
        <w:rPr>
          <w:rFonts w:ascii="Arial" w:cs="Arial" w:eastAsia="Arial" w:hAnsi="Arial"/>
          <w:sz w:val="18"/>
          <w:szCs w:val="18"/>
          <w:b w:val="1"/>
          <w:bCs w:val="1"/>
          <w:color w:val="auto"/>
        </w:rPr>
        <w:t>The Executive understands that, to be eligible for the [Severance Benefits OR</w:t>
      </w:r>
      <w:r>
        <w:rPr>
          <w:rFonts w:ascii="Arial" w:cs="Arial" w:eastAsia="Arial" w:hAnsi="Arial"/>
          <w:sz w:val="18"/>
          <w:szCs w:val="18"/>
          <w:color w:val="auto"/>
        </w:rPr>
        <w:t xml:space="preserve"> </w:t>
      </w:r>
      <w:r>
        <w:rPr>
          <w:rFonts w:ascii="Arial" w:cs="Arial" w:eastAsia="Arial" w:hAnsi="Arial"/>
          <w:sz w:val="18"/>
          <w:szCs w:val="18"/>
          <w:b w:val="1"/>
          <w:bCs w:val="1"/>
          <w:color w:val="auto"/>
        </w:rPr>
        <w:t>Severance Payment</w:t>
      </w:r>
      <w:r>
        <w:rPr>
          <w:rFonts w:ascii="Arial" w:cs="Arial" w:eastAsia="Arial" w:hAnsi="Arial"/>
          <w:sz w:val="18"/>
          <w:szCs w:val="18"/>
          <w:color w:val="auto"/>
        </w:rPr>
        <w:t>]</w:t>
      </w:r>
      <w:r>
        <w:rPr>
          <w:rFonts w:ascii="Arial" w:cs="Arial" w:eastAsia="Arial" w:hAnsi="Arial"/>
          <w:sz w:val="18"/>
          <w:szCs w:val="18"/>
          <w:b w:val="1"/>
          <w:bCs w:val="1"/>
          <w:color w:val="auto"/>
        </w:rPr>
        <w:t>, the Executive must return this Release, signed and dated, no later than 11:59pm ET on the [twenty-first (21</w:t>
      </w:r>
      <w:r>
        <w:rPr>
          <w:rFonts w:ascii="Arial" w:cs="Arial" w:eastAsia="Arial" w:hAnsi="Arial"/>
          <w:sz w:val="23"/>
          <w:szCs w:val="23"/>
          <w:b w:val="1"/>
          <w:bCs w:val="1"/>
          <w:color w:val="auto"/>
          <w:vertAlign w:val="superscript"/>
        </w:rPr>
        <w:t>st</w:t>
      </w:r>
      <w:r>
        <w:rPr>
          <w:rFonts w:ascii="Arial" w:cs="Arial" w:eastAsia="Arial" w:hAnsi="Arial"/>
          <w:sz w:val="18"/>
          <w:szCs w:val="18"/>
          <w:b w:val="1"/>
          <w:bCs w:val="1"/>
          <w:color w:val="auto"/>
        </w:rPr>
        <w:t>) OR forty-fifth (45</w:t>
      </w:r>
      <w:r>
        <w:rPr>
          <w:rFonts w:ascii="Arial" w:cs="Arial" w:eastAsia="Arial" w:hAnsi="Arial"/>
          <w:sz w:val="23"/>
          <w:szCs w:val="23"/>
          <w:b w:val="1"/>
          <w:bCs w:val="1"/>
          <w:color w:val="auto"/>
          <w:vertAlign w:val="superscript"/>
        </w:rPr>
        <w:t>th</w:t>
      </w:r>
      <w:r>
        <w:rPr>
          <w:rFonts w:ascii="Arial" w:cs="Arial" w:eastAsia="Arial" w:hAnsi="Arial"/>
          <w:sz w:val="18"/>
          <w:szCs w:val="18"/>
          <w:b w:val="1"/>
          <w:bCs w:val="1"/>
          <w:color w:val="auto"/>
        </w:rPr>
        <w:t>)] day after Executive receives this Release, to the Company at: [ADDRESS].</w:t>
      </w:r>
    </w:p>
    <w:p>
      <w:pPr>
        <w:spacing w:after="0" w:line="98" w:lineRule="exact"/>
        <w:rPr>
          <w:rFonts w:ascii="Arial" w:cs="Arial" w:eastAsia="Arial" w:hAnsi="Arial"/>
          <w:sz w:val="18"/>
          <w:szCs w:val="18"/>
          <w:color w:val="auto"/>
        </w:rPr>
      </w:pPr>
    </w:p>
    <w:p>
      <w:pPr>
        <w:jc w:val="both"/>
        <w:ind w:left="652" w:hanging="552"/>
        <w:spacing w:after="0" w:line="232" w:lineRule="auto"/>
        <w:tabs>
          <w:tab w:leader="none" w:pos="641" w:val="left"/>
        </w:tabs>
        <w:numPr>
          <w:ilvl w:val="1"/>
          <w:numId w:val="101"/>
        </w:numPr>
        <w:rPr>
          <w:rFonts w:ascii="Arial" w:cs="Arial" w:eastAsia="Arial" w:hAnsi="Arial"/>
          <w:sz w:val="20"/>
          <w:szCs w:val="20"/>
          <w:color w:val="auto"/>
        </w:rPr>
      </w:pPr>
      <w:r>
        <w:rPr>
          <w:rFonts w:ascii="Arial" w:cs="Arial" w:eastAsia="Arial" w:hAnsi="Arial"/>
          <w:sz w:val="20"/>
          <w:szCs w:val="20"/>
          <w:b w:val="1"/>
          <w:bCs w:val="1"/>
          <w:color w:val="auto"/>
        </w:rPr>
        <w:t xml:space="preserve">The Executive understands that Executive has seven (7) days from the date the Executive signs this Release to revoke the Release by delivering notice of revocation by 11:59pm ET to [ADDRESS] before the end of such seven-day period, </w:t>
      </w:r>
      <w:r>
        <w:rPr>
          <w:rFonts w:ascii="Arial" w:cs="Arial" w:eastAsia="Arial" w:hAnsi="Arial"/>
          <w:sz w:val="20"/>
          <w:szCs w:val="20"/>
          <w:color w:val="auto"/>
        </w:rPr>
        <w:t>and that</w:t>
      </w:r>
      <w:r>
        <w:rPr>
          <w:rFonts w:ascii="Arial" w:cs="Arial" w:eastAsia="Arial" w:hAnsi="Arial"/>
          <w:sz w:val="20"/>
          <w:szCs w:val="20"/>
          <w:b w:val="1"/>
          <w:bCs w:val="1"/>
          <w:color w:val="auto"/>
        </w:rPr>
        <w:t xml:space="preserve"> </w:t>
      </w:r>
      <w:r>
        <w:rPr>
          <w:rFonts w:ascii="Arial" w:cs="Arial" w:eastAsia="Arial" w:hAnsi="Arial"/>
          <w:sz w:val="20"/>
          <w:szCs w:val="20"/>
          <w:color w:val="auto"/>
        </w:rPr>
        <w:t>this Release will not become effective until the eighth (8</w:t>
      </w:r>
      <w:r>
        <w:rPr>
          <w:rFonts w:ascii="Arial" w:cs="Arial" w:eastAsia="Arial" w:hAnsi="Arial"/>
          <w:sz w:val="25"/>
          <w:szCs w:val="25"/>
          <w:color w:val="auto"/>
          <w:vertAlign w:val="superscript"/>
        </w:rPr>
        <w:t>th</w:t>
      </w:r>
      <w:r>
        <w:rPr>
          <w:rFonts w:ascii="Arial" w:cs="Arial" w:eastAsia="Arial" w:hAnsi="Arial"/>
          <w:sz w:val="20"/>
          <w:szCs w:val="20"/>
          <w:color w:val="auto"/>
        </w:rPr>
        <w:t>) day after the Executive has delivered this Release, signed and dated, to the Company without revoking the Release (“</w:t>
      </w:r>
      <w:r>
        <w:rPr>
          <w:rFonts w:ascii="Arial" w:cs="Arial" w:eastAsia="Arial" w:hAnsi="Arial"/>
          <w:sz w:val="20"/>
          <w:szCs w:val="20"/>
          <w:b w:val="1"/>
          <w:bCs w:val="1"/>
          <w:color w:val="auto"/>
        </w:rPr>
        <w:t>Effective Date</w:t>
      </w:r>
      <w:r>
        <w:rPr>
          <w:rFonts w:ascii="Arial" w:cs="Arial" w:eastAsia="Arial" w:hAnsi="Arial"/>
          <w:sz w:val="20"/>
          <w:szCs w:val="20"/>
          <w:color w:val="auto"/>
        </w:rPr>
        <w:t>”).</w:t>
      </w:r>
    </w:p>
    <w:p>
      <w:pPr>
        <w:spacing w:after="0" w:line="216" w:lineRule="exact"/>
        <w:rPr>
          <w:rFonts w:ascii="Arial" w:cs="Arial" w:eastAsia="Arial" w:hAnsi="Arial"/>
          <w:sz w:val="20"/>
          <w:szCs w:val="20"/>
          <w:color w:val="auto"/>
        </w:rPr>
      </w:pPr>
    </w:p>
    <w:p>
      <w:pPr>
        <w:jc w:val="both"/>
        <w:ind w:left="332" w:hanging="332"/>
        <w:spacing w:after="0" w:line="272" w:lineRule="auto"/>
        <w:tabs>
          <w:tab w:leader="none" w:pos="323" w:val="left"/>
        </w:tabs>
        <w:numPr>
          <w:ilvl w:val="0"/>
          <w:numId w:val="102"/>
        </w:numPr>
        <w:rPr>
          <w:rFonts w:ascii="Arial" w:cs="Arial" w:eastAsia="Arial" w:hAnsi="Arial"/>
          <w:sz w:val="19"/>
          <w:szCs w:val="19"/>
          <w:color w:val="auto"/>
        </w:rPr>
      </w:pPr>
      <w:r>
        <w:rPr>
          <w:rFonts w:ascii="Arial" w:cs="Arial" w:eastAsia="Arial" w:hAnsi="Arial"/>
          <w:sz w:val="19"/>
          <w:szCs w:val="19"/>
          <w:u w:val="single" w:color="auto"/>
          <w:color w:val="auto"/>
        </w:rPr>
        <w:t>Restrictive Covenants</w:t>
      </w:r>
      <w:r>
        <w:rPr>
          <w:rFonts w:ascii="Arial" w:cs="Arial" w:eastAsia="Arial" w:hAnsi="Arial"/>
          <w:sz w:val="19"/>
          <w:szCs w:val="19"/>
          <w:color w:val="auto"/>
        </w:rPr>
        <w:t xml:space="preserve">. The Executive acknowledges that, as a condition of receipt of the [Severance Benefits </w:t>
      </w:r>
      <w:r>
        <w:rPr>
          <w:rFonts w:ascii="Arial" w:cs="Arial" w:eastAsia="Arial" w:hAnsi="Arial"/>
          <w:sz w:val="19"/>
          <w:szCs w:val="19"/>
          <w:b w:val="1"/>
          <w:bCs w:val="1"/>
          <w:color w:val="auto"/>
        </w:rPr>
        <w:t>OR</w:t>
      </w:r>
      <w:r>
        <w:rPr>
          <w:rFonts w:ascii="Arial" w:cs="Arial" w:eastAsia="Arial" w:hAnsi="Arial"/>
          <w:sz w:val="19"/>
          <w:szCs w:val="19"/>
          <w:color w:val="auto"/>
        </w:rPr>
        <w:t xml:space="preserve"> Severance Payment], the Executive shall continue to be bound by the covenants and obligations in the Employment Agreement, to the extent that such covenants and obligations are meant to survive the termination of the Executive’s employment.</w:t>
      </w:r>
    </w:p>
    <w:p>
      <w:pPr>
        <w:spacing w:after="0" w:line="194" w:lineRule="exact"/>
        <w:rPr>
          <w:rFonts w:ascii="Arial" w:cs="Arial" w:eastAsia="Arial" w:hAnsi="Arial"/>
          <w:sz w:val="19"/>
          <w:szCs w:val="19"/>
          <w:color w:val="auto"/>
        </w:rPr>
      </w:pPr>
    </w:p>
    <w:p>
      <w:pPr>
        <w:jc w:val="both"/>
        <w:ind w:left="332" w:hanging="332"/>
        <w:spacing w:after="0" w:line="250" w:lineRule="auto"/>
        <w:tabs>
          <w:tab w:leader="none" w:pos="315" w:val="left"/>
        </w:tabs>
        <w:numPr>
          <w:ilvl w:val="0"/>
          <w:numId w:val="102"/>
        </w:numPr>
        <w:rPr>
          <w:rFonts w:ascii="Arial" w:cs="Arial" w:eastAsia="Arial" w:hAnsi="Arial"/>
          <w:sz w:val="20"/>
          <w:szCs w:val="20"/>
          <w:color w:val="auto"/>
        </w:rPr>
      </w:pPr>
      <w:r>
        <w:rPr>
          <w:rFonts w:ascii="Arial" w:cs="Arial" w:eastAsia="Arial" w:hAnsi="Arial"/>
          <w:sz w:val="20"/>
          <w:szCs w:val="20"/>
          <w:u w:val="single" w:color="auto"/>
          <w:color w:val="auto"/>
        </w:rPr>
        <w:t>Confidentiality of Release</w:t>
      </w:r>
      <w:r>
        <w:rPr>
          <w:rFonts w:ascii="Arial" w:cs="Arial" w:eastAsia="Arial" w:hAnsi="Arial"/>
          <w:sz w:val="20"/>
          <w:szCs w:val="20"/>
          <w:color w:val="auto"/>
        </w:rPr>
        <w:t>. The Executive understands and agrees that the terms of this Release are strictly confidential and shall not be disclosed to any third party (other than the Executive’s immediate family, the Company, or legal advisors or as required by law) without the prior written consent of the Company.</w:t>
      </w:r>
    </w:p>
    <w:p>
      <w:pPr>
        <w:spacing w:after="0" w:line="212" w:lineRule="exact"/>
        <w:rPr>
          <w:rFonts w:ascii="Arial" w:cs="Arial" w:eastAsia="Arial" w:hAnsi="Arial"/>
          <w:sz w:val="20"/>
          <w:szCs w:val="20"/>
          <w:color w:val="auto"/>
        </w:rPr>
      </w:pPr>
    </w:p>
    <w:p>
      <w:pPr>
        <w:jc w:val="both"/>
        <w:ind w:left="332" w:hanging="332"/>
        <w:spacing w:after="0" w:line="246" w:lineRule="auto"/>
        <w:tabs>
          <w:tab w:leader="none" w:pos="323" w:val="left"/>
        </w:tabs>
        <w:numPr>
          <w:ilvl w:val="0"/>
          <w:numId w:val="102"/>
        </w:numPr>
        <w:rPr>
          <w:rFonts w:ascii="Arial" w:cs="Arial" w:eastAsia="Arial" w:hAnsi="Arial"/>
          <w:sz w:val="20"/>
          <w:szCs w:val="20"/>
          <w:color w:val="auto"/>
        </w:rPr>
      </w:pPr>
      <w:r>
        <w:rPr>
          <w:rFonts w:ascii="Arial" w:cs="Arial" w:eastAsia="Arial" w:hAnsi="Arial"/>
          <w:sz w:val="20"/>
          <w:szCs w:val="20"/>
          <w:u w:val="single" w:color="auto"/>
          <w:color w:val="auto"/>
        </w:rPr>
        <w:t>No Admission of Liability.</w:t>
      </w:r>
      <w:r>
        <w:rPr>
          <w:rFonts w:ascii="Arial" w:cs="Arial" w:eastAsia="Arial" w:hAnsi="Arial"/>
          <w:sz w:val="20"/>
          <w:szCs w:val="20"/>
          <w:color w:val="auto"/>
        </w:rPr>
        <w:t xml:space="preserve"> The Executive agrees that the Company does not admit any allegations made against it in any claims, charges, complaints, actions, causes of action, suits, grievances, controversies, disputes, or demands. Nothing contained in this Release, nor any of the acts taken thereunder, will be deemed or construed as an admission of liability of any violation of any applicable law, statute, ordinance, order, regulation, or constitution of any kind.</w:t>
      </w:r>
    </w:p>
    <w:p>
      <w:pPr>
        <w:spacing w:after="0" w:line="218" w:lineRule="exact"/>
        <w:rPr>
          <w:rFonts w:ascii="Arial" w:cs="Arial" w:eastAsia="Arial" w:hAnsi="Arial"/>
          <w:sz w:val="20"/>
          <w:szCs w:val="20"/>
          <w:color w:val="auto"/>
        </w:rPr>
      </w:pPr>
    </w:p>
    <w:p>
      <w:pPr>
        <w:jc w:val="both"/>
        <w:ind w:left="332" w:hanging="332"/>
        <w:spacing w:after="0" w:line="291" w:lineRule="auto"/>
        <w:tabs>
          <w:tab w:leader="none" w:pos="323" w:val="left"/>
        </w:tabs>
        <w:numPr>
          <w:ilvl w:val="0"/>
          <w:numId w:val="102"/>
        </w:numPr>
        <w:rPr>
          <w:rFonts w:ascii="Arial" w:cs="Arial" w:eastAsia="Arial" w:hAnsi="Arial"/>
          <w:sz w:val="18"/>
          <w:szCs w:val="18"/>
          <w:color w:val="auto"/>
        </w:rPr>
      </w:pPr>
      <w:r>
        <w:rPr>
          <w:rFonts w:ascii="Arial" w:cs="Arial" w:eastAsia="Arial" w:hAnsi="Arial"/>
          <w:sz w:val="18"/>
          <w:szCs w:val="18"/>
          <w:u w:val="single" w:color="auto"/>
          <w:color w:val="auto"/>
        </w:rPr>
        <w:t>Reimbursement of Costs</w:t>
      </w:r>
      <w:r>
        <w:rPr>
          <w:rFonts w:ascii="Arial" w:cs="Arial" w:eastAsia="Arial" w:hAnsi="Arial"/>
          <w:sz w:val="18"/>
          <w:szCs w:val="18"/>
          <w:color w:val="auto"/>
        </w:rPr>
        <w:t>. The Executive agrees that, if the Executive violates the terms of this release or brings suit against the Company based on events occurring prior to the Executive signing this Release (other than to enforce the terms of this Release), the Executive will reimburse the Company for any attorney fees, costs, or other damages arising from the Executive’s breach of the release.</w:t>
      </w:r>
    </w:p>
    <w:p>
      <w:pPr>
        <w:spacing w:after="0" w:line="178" w:lineRule="exact"/>
        <w:rPr>
          <w:rFonts w:ascii="Arial" w:cs="Arial" w:eastAsia="Arial" w:hAnsi="Arial"/>
          <w:sz w:val="18"/>
          <w:szCs w:val="18"/>
          <w:color w:val="auto"/>
        </w:rPr>
      </w:pPr>
    </w:p>
    <w:p>
      <w:pPr>
        <w:jc w:val="both"/>
        <w:ind w:left="332" w:hanging="332"/>
        <w:spacing w:after="0" w:line="272" w:lineRule="auto"/>
        <w:tabs>
          <w:tab w:leader="none" w:pos="323" w:val="left"/>
        </w:tabs>
        <w:numPr>
          <w:ilvl w:val="0"/>
          <w:numId w:val="102"/>
        </w:numPr>
        <w:rPr>
          <w:rFonts w:ascii="Arial" w:cs="Arial" w:eastAsia="Arial" w:hAnsi="Arial"/>
          <w:sz w:val="18"/>
          <w:szCs w:val="18"/>
          <w:color w:val="auto"/>
        </w:rPr>
      </w:pPr>
      <w:r>
        <w:rPr>
          <w:rFonts w:ascii="Arial" w:cs="Arial" w:eastAsia="Arial" w:hAnsi="Arial"/>
          <w:sz w:val="18"/>
          <w:szCs w:val="18"/>
          <w:u w:val="single" w:color="auto"/>
          <w:color w:val="auto"/>
        </w:rPr>
        <w:t>Governing Law, Arbitration, and Forum</w:t>
      </w:r>
      <w:r>
        <w:rPr>
          <w:rFonts w:ascii="Arial" w:cs="Arial" w:eastAsia="Arial" w:hAnsi="Arial"/>
          <w:sz w:val="18"/>
          <w:szCs w:val="18"/>
          <w:color w:val="auto"/>
        </w:rPr>
        <w:t>. This Release will be governed and construed and enforced in accordance with the laws of the State of California without regard to its conflicts of law rules. Any controversy, dispute or claim arising out of this Release shall first be settled through good faith negotiation. If the parties are unsuccessful at resolving the dispute through negotiation, except for injunctive or other equitable relief or as otherwise provided in this Release, any and all legal proceedings arising out of or relating to this Release shall be resolved through a confidential arbitration administered by Judicial Arbitration &amp; Mediation Services, Inc. (“</w:t>
      </w:r>
      <w:r>
        <w:rPr>
          <w:rFonts w:ascii="Arial" w:cs="Arial" w:eastAsia="Arial" w:hAnsi="Arial"/>
          <w:sz w:val="18"/>
          <w:szCs w:val="18"/>
          <w:u w:val="single" w:color="auto"/>
          <w:color w:val="auto"/>
        </w:rPr>
        <w:t>JAMS</w:t>
      </w:r>
      <w:r>
        <w:rPr>
          <w:rFonts w:ascii="Arial" w:cs="Arial" w:eastAsia="Arial" w:hAnsi="Arial"/>
          <w:sz w:val="18"/>
          <w:szCs w:val="18"/>
          <w:color w:val="auto"/>
        </w:rPr>
        <w:t xml:space="preserve">”) pursuant to the JAMS Employment Arbitration Rules and Procedures, or successor rules then in effect and to the extent permitted by law. The rules and further information are available at </w:t>
      </w:r>
      <w:r>
        <w:rPr>
          <w:rFonts w:ascii="Arial" w:cs="Arial" w:eastAsia="Arial" w:hAnsi="Arial"/>
          <w:sz w:val="18"/>
          <w:szCs w:val="18"/>
          <w:u w:val="single" w:color="auto"/>
          <w:color w:val="auto"/>
        </w:rPr>
        <w:t>www.jamsadr.com</w:t>
      </w:r>
      <w:r>
        <w:rPr>
          <w:rFonts w:ascii="Arial" w:cs="Arial" w:eastAsia="Arial" w:hAnsi="Arial"/>
          <w:sz w:val="18"/>
          <w:szCs w:val="18"/>
          <w:color w:val="auto"/>
        </w:rPr>
        <w:t>. The Federal Arbitration Act, as then in effect, shall govern the interpretation and enforcement of such arbitration proceeding. The arbitrator shall apply California State law to the merits of any dispute or claim, without reference to rules of conflict of law. Any determination or decision by the arbitrator</w:t>
      </w:r>
    </w:p>
    <w:p>
      <w:pPr>
        <w:spacing w:after="0" w:line="200" w:lineRule="exact"/>
        <w:rPr>
          <w:rFonts w:ascii="Arial" w:cs="Arial" w:eastAsia="Arial" w:hAnsi="Arial"/>
          <w:sz w:val="18"/>
          <w:szCs w:val="18"/>
          <w:color w:val="auto"/>
        </w:rPr>
      </w:pPr>
    </w:p>
    <w:p>
      <w:pPr>
        <w:spacing w:after="0" w:line="316" w:lineRule="exact"/>
        <w:rPr>
          <w:rFonts w:ascii="Arial" w:cs="Arial" w:eastAsia="Arial" w:hAnsi="Arial"/>
          <w:sz w:val="18"/>
          <w:szCs w:val="18"/>
          <w:color w:val="auto"/>
        </w:rPr>
      </w:pPr>
    </w:p>
    <w:p>
      <w:pPr>
        <w:ind w:left="352" w:hanging="136"/>
        <w:spacing w:after="0"/>
        <w:tabs>
          <w:tab w:leader="none" w:pos="352" w:val="left"/>
        </w:tabs>
        <w:numPr>
          <w:ilvl w:val="2"/>
          <w:numId w:val="102"/>
        </w:numPr>
        <w:rPr>
          <w:rFonts w:ascii="Arial" w:cs="Arial" w:eastAsia="Arial" w:hAnsi="Arial"/>
          <w:sz w:val="22"/>
          <w:szCs w:val="22"/>
          <w:color w:val="auto"/>
        </w:rPr>
      </w:pPr>
      <w:r>
        <w:rPr>
          <w:rFonts w:ascii="Arial" w:cs="Arial" w:eastAsia="Arial" w:hAnsi="Arial"/>
          <w:sz w:val="22"/>
          <w:szCs w:val="22"/>
          <w:color w:val="auto"/>
        </w:rPr>
        <w:t>4 -</w:t>
      </w:r>
    </w:p>
    <w:p>
      <w:pPr>
        <w:sectPr>
          <w:pgSz w:w="11900" w:h="16838" w:orient="portrait"/>
          <w:cols w:equalWidth="0" w:num="1">
            <w:col w:w="11232"/>
          </w:cols>
          <w:pgMar w:left="328" w:top="1413" w:right="339" w:bottom="1440" w:gutter="0" w:footer="0" w:header="0"/>
        </w:sectPr>
      </w:pPr>
    </w:p>
    <w:bookmarkStart w:id="115" w:name="page116"/>
    <w:bookmarkEnd w:id="115"/>
    <w:p>
      <w:pPr>
        <w:jc w:val="both"/>
        <w:ind w:left="340"/>
        <w:spacing w:after="0" w:line="278" w:lineRule="auto"/>
        <w:rPr>
          <w:sz w:val="20"/>
          <w:szCs w:val="20"/>
          <w:color w:val="auto"/>
        </w:rPr>
      </w:pPr>
      <w:r>
        <w:rPr>
          <w:rFonts w:ascii="Arial" w:cs="Arial" w:eastAsia="Arial" w:hAnsi="Arial"/>
          <w:sz w:val="18"/>
          <w:szCs w:val="18"/>
          <w:color w:val="auto"/>
        </w:rPr>
        <w:t>will be final and binding upon the parties and may be enforced in any court of law. The parties agree that any arbitration will take place on an individual, and not on a class, basis. Subject to the provisions of this Section regarding arbitration, the Executive and the Company hereby submit to the exclusive jurisdiction and venue of the federal and state courts located in California for the resolution of any and all claims, causes of action or disputes arising out of, related to the enforcement, if necessary, of any arbitral award made pursuant to the provisions of this Section, and the Executive agrees to waive any claim relating to forum non conveniens.</w:t>
      </w:r>
    </w:p>
    <w:p>
      <w:pPr>
        <w:spacing w:after="0" w:line="186" w:lineRule="exact"/>
        <w:rPr>
          <w:sz w:val="20"/>
          <w:szCs w:val="20"/>
          <w:color w:val="auto"/>
        </w:rPr>
      </w:pPr>
    </w:p>
    <w:p>
      <w:pPr>
        <w:spacing w:after="0"/>
        <w:tabs>
          <w:tab w:leader="none" w:pos="1900" w:val="left"/>
        </w:tabs>
        <w:rPr>
          <w:sz w:val="20"/>
          <w:szCs w:val="20"/>
          <w:color w:val="auto"/>
        </w:rPr>
      </w:pPr>
      <w:r>
        <w:rPr>
          <w:rFonts w:ascii="Arial" w:cs="Arial" w:eastAsia="Arial" w:hAnsi="Arial"/>
          <w:sz w:val="20"/>
          <w:szCs w:val="20"/>
          <w:b w:val="1"/>
          <w:bCs w:val="1"/>
          <w:color w:val="auto"/>
        </w:rPr>
        <w:t>Executive Initials</w:t>
      </w:r>
      <w:r>
        <w:rPr>
          <w:sz w:val="20"/>
          <w:szCs w:val="20"/>
          <w:color w:val="auto"/>
        </w:rPr>
        <w:tab/>
      </w:r>
      <w:r>
        <w:rPr>
          <w:rFonts w:ascii="Arial" w:cs="Arial" w:eastAsia="Arial" w:hAnsi="Arial"/>
          <w:sz w:val="16"/>
          <w:szCs w:val="16"/>
          <w:b w:val="1"/>
          <w:bCs w:val="1"/>
          <w:color w:val="auto"/>
        </w:rPr>
        <w:t>Company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968375</wp:posOffset>
            </wp:positionH>
            <wp:positionV relativeFrom="paragraph">
              <wp:posOffset>-10795</wp:posOffset>
            </wp:positionV>
            <wp:extent cx="12573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1">
                      <a:extLst>
                        <a:ext uri="{28A0092B-C50C-407E-A947-70E740481C1C}"/>
                      </a:extLst>
                    </a:blip>
                    <a:srcRect/>
                    <a:stretch>
                      <a:fillRect/>
                    </a:stretch>
                  </pic:blipFill>
                  <pic:spPr bwMode="auto">
                    <a:xfrm>
                      <a:off x="0" y="0"/>
                      <a:ext cx="125730" cy="8255"/>
                    </a:xfrm>
                    <a:prstGeom prst="rect">
                      <a:avLst/>
                    </a:prstGeom>
                    <a:noFill/>
                  </pic:spPr>
                </pic:pic>
              </a:graphicData>
            </a:graphic>
          </wp:anchor>
        </w:drawing>
        <w:drawing>
          <wp:anchor simplePos="0" relativeHeight="251657728" behindDoc="1" locked="0" layoutInCell="0" allowOverlap="1">
            <wp:simplePos x="0" y="0"/>
            <wp:positionH relativeFrom="column">
              <wp:posOffset>2606040</wp:posOffset>
            </wp:positionH>
            <wp:positionV relativeFrom="paragraph">
              <wp:posOffset>-10795</wp:posOffset>
            </wp:positionV>
            <wp:extent cx="12573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2">
                      <a:extLst>
                        <a:ext uri="{28A0092B-C50C-407E-A947-70E740481C1C}"/>
                      </a:extLst>
                    </a:blip>
                    <a:srcRect/>
                    <a:stretch>
                      <a:fillRect/>
                    </a:stretch>
                  </pic:blipFill>
                  <pic:spPr bwMode="auto">
                    <a:xfrm>
                      <a:off x="0" y="0"/>
                      <a:ext cx="125730" cy="8255"/>
                    </a:xfrm>
                    <a:prstGeom prst="rect">
                      <a:avLst/>
                    </a:prstGeom>
                    <a:noFill/>
                  </pic:spPr>
                </pic:pic>
              </a:graphicData>
            </a:graphic>
          </wp:anchor>
        </w:drawing>
      </w:r>
    </w:p>
    <w:p>
      <w:pPr>
        <w:spacing w:after="0" w:line="269" w:lineRule="exact"/>
        <w:rPr>
          <w:sz w:val="20"/>
          <w:szCs w:val="20"/>
          <w:color w:val="auto"/>
        </w:rPr>
      </w:pPr>
    </w:p>
    <w:p>
      <w:pPr>
        <w:jc w:val="both"/>
        <w:ind w:left="340" w:hanging="332"/>
        <w:spacing w:after="0" w:line="244" w:lineRule="auto"/>
        <w:tabs>
          <w:tab w:leader="none" w:pos="331" w:val="left"/>
        </w:tabs>
        <w:numPr>
          <w:ilvl w:val="0"/>
          <w:numId w:val="103"/>
        </w:numPr>
        <w:rPr>
          <w:rFonts w:ascii="Arial" w:cs="Arial" w:eastAsia="Arial" w:hAnsi="Arial"/>
          <w:sz w:val="20"/>
          <w:szCs w:val="20"/>
          <w:color w:val="auto"/>
        </w:rPr>
      </w:pPr>
      <w:r>
        <w:rPr>
          <w:rFonts w:ascii="Arial" w:cs="Arial" w:eastAsia="Arial" w:hAnsi="Arial"/>
          <w:sz w:val="20"/>
          <w:szCs w:val="20"/>
          <w:u w:val="single" w:color="auto"/>
          <w:color w:val="auto"/>
        </w:rPr>
        <w:t>Severability</w:t>
      </w:r>
      <w:r>
        <w:rPr>
          <w:rFonts w:ascii="Arial" w:cs="Arial" w:eastAsia="Arial" w:hAnsi="Arial"/>
          <w:sz w:val="20"/>
          <w:szCs w:val="20"/>
          <w:color w:val="auto"/>
        </w:rPr>
        <w:t>. Any term or provision of this Release that is determined to be invalid or unenforceable by any court of competent jurisdiction in any jurisdiction shall, as to such jurisdiction, be ineffective to the extent of such invalidity or unenforceability without rendering invalid or unenforceable the remaining terms and provisions of this Release or affecting the validity or enforceability of any of the terms or provisions of this Release in any other jurisdiction, and such invalid or unenforceable provision shall be modified by such court so that it is enforceable to the extent permitted by applicable law.</w:t>
      </w:r>
    </w:p>
    <w:p>
      <w:pPr>
        <w:spacing w:after="0" w:line="221" w:lineRule="exact"/>
        <w:rPr>
          <w:rFonts w:ascii="Arial" w:cs="Arial" w:eastAsia="Arial" w:hAnsi="Arial"/>
          <w:sz w:val="20"/>
          <w:szCs w:val="20"/>
          <w:color w:val="auto"/>
        </w:rPr>
      </w:pPr>
    </w:p>
    <w:p>
      <w:pPr>
        <w:jc w:val="both"/>
        <w:ind w:left="340" w:hanging="332"/>
        <w:spacing w:after="0" w:line="244" w:lineRule="auto"/>
        <w:tabs>
          <w:tab w:leader="none" w:pos="331" w:val="left"/>
        </w:tabs>
        <w:numPr>
          <w:ilvl w:val="0"/>
          <w:numId w:val="103"/>
        </w:numPr>
        <w:rPr>
          <w:rFonts w:ascii="Arial" w:cs="Arial" w:eastAsia="Arial" w:hAnsi="Arial"/>
          <w:sz w:val="20"/>
          <w:szCs w:val="20"/>
          <w:color w:val="auto"/>
        </w:rPr>
      </w:pPr>
      <w:r>
        <w:rPr>
          <w:rFonts w:ascii="Arial" w:cs="Arial" w:eastAsia="Arial" w:hAnsi="Arial"/>
          <w:sz w:val="20"/>
          <w:szCs w:val="20"/>
          <w:u w:val="single" w:color="auto"/>
          <w:color w:val="auto"/>
        </w:rPr>
        <w:t>Counterpart</w:t>
      </w:r>
      <w:r>
        <w:rPr>
          <w:rFonts w:ascii="Arial" w:cs="Arial" w:eastAsia="Arial" w:hAnsi="Arial"/>
          <w:sz w:val="20"/>
          <w:szCs w:val="20"/>
          <w:color w:val="auto"/>
        </w:rPr>
        <w:t>s. This Release may be executed in one or more counterparts, each of which shall be deemed an original but all of which shall together be one and the same agreement. The Parties agree that signatures transmitted by facsimile or electronic mail will be deemed originals and that a facsimile, photocopy, or scanned image of this Release, including without limitation counterparts and any signature(s) or other marks thereon, shall be admissible in any legal, administrative, or other proceeding related to this Release with the same weight and binding effect as an original.</w:t>
      </w:r>
    </w:p>
    <w:p>
      <w:pPr>
        <w:spacing w:after="0" w:line="221" w:lineRule="exact"/>
        <w:rPr>
          <w:rFonts w:ascii="Arial" w:cs="Arial" w:eastAsia="Arial" w:hAnsi="Arial"/>
          <w:sz w:val="20"/>
          <w:szCs w:val="20"/>
          <w:color w:val="auto"/>
        </w:rPr>
      </w:pPr>
    </w:p>
    <w:p>
      <w:pPr>
        <w:jc w:val="both"/>
        <w:ind w:left="340" w:hanging="332"/>
        <w:spacing w:after="0" w:line="278" w:lineRule="auto"/>
        <w:tabs>
          <w:tab w:leader="none" w:pos="331" w:val="left"/>
        </w:tabs>
        <w:numPr>
          <w:ilvl w:val="0"/>
          <w:numId w:val="103"/>
        </w:numPr>
        <w:rPr>
          <w:rFonts w:ascii="Arial" w:cs="Arial" w:eastAsia="Arial" w:hAnsi="Arial"/>
          <w:sz w:val="18"/>
          <w:szCs w:val="18"/>
          <w:color w:val="auto"/>
        </w:rPr>
      </w:pPr>
      <w:r>
        <w:rPr>
          <w:rFonts w:ascii="Arial" w:cs="Arial" w:eastAsia="Arial" w:hAnsi="Arial"/>
          <w:sz w:val="18"/>
          <w:szCs w:val="18"/>
          <w:u w:val="single" w:color="auto"/>
          <w:color w:val="auto"/>
        </w:rPr>
        <w:t>Waiver; Amendments</w:t>
      </w:r>
      <w:r>
        <w:rPr>
          <w:rFonts w:ascii="Arial" w:cs="Arial" w:eastAsia="Arial" w:hAnsi="Arial"/>
          <w:sz w:val="18"/>
          <w:szCs w:val="18"/>
          <w:color w:val="auto"/>
        </w:rPr>
        <w:t>. Any waiver by either Party of a breach of any provision of this Release will not operate as, or be construed to be, a waiver of any other breach of such provision of this Release. The failure of either Party to insist on strict adherence to any term of this Release on one or more occasions will not be considered a waiver or deprive either Party of the right thereafter to insist on strict adherence to that term or any other term of this Release. Neither this Release nor any part of it may be waived, changed, or terminated orally. Any waiver, amendment or modification must be in a writing signed by both the Executive and the Company.</w:t>
      </w:r>
    </w:p>
    <w:p>
      <w:pPr>
        <w:spacing w:after="0" w:line="191" w:lineRule="exact"/>
        <w:rPr>
          <w:rFonts w:ascii="Arial" w:cs="Arial" w:eastAsia="Arial" w:hAnsi="Arial"/>
          <w:sz w:val="18"/>
          <w:szCs w:val="18"/>
          <w:color w:val="auto"/>
        </w:rPr>
      </w:pPr>
    </w:p>
    <w:p>
      <w:pPr>
        <w:jc w:val="both"/>
        <w:ind w:left="340" w:hanging="332"/>
        <w:spacing w:after="0" w:line="282" w:lineRule="auto"/>
        <w:tabs>
          <w:tab w:leader="none" w:pos="331" w:val="left"/>
        </w:tabs>
        <w:numPr>
          <w:ilvl w:val="0"/>
          <w:numId w:val="103"/>
        </w:numPr>
        <w:rPr>
          <w:rFonts w:ascii="Arial" w:cs="Arial" w:eastAsia="Arial" w:hAnsi="Arial"/>
          <w:sz w:val="18"/>
          <w:szCs w:val="18"/>
          <w:color w:val="auto"/>
        </w:rPr>
      </w:pPr>
      <w:r>
        <w:rPr>
          <w:rFonts w:ascii="Arial" w:cs="Arial" w:eastAsia="Arial" w:hAnsi="Arial"/>
          <w:sz w:val="18"/>
          <w:szCs w:val="18"/>
          <w:u w:val="single" w:color="auto"/>
          <w:color w:val="auto"/>
        </w:rPr>
        <w:t>Entire Agreement; Construction</w:t>
      </w:r>
      <w:r>
        <w:rPr>
          <w:rFonts w:ascii="Arial" w:cs="Arial" w:eastAsia="Arial" w:hAnsi="Arial"/>
          <w:sz w:val="18"/>
          <w:szCs w:val="18"/>
          <w:color w:val="auto"/>
        </w:rPr>
        <w:t>. This Release, together with the Employment Agreement, contains the entire understanding of the Parties relating to the subject matter of this Release and supersedes all other prior written or oral agreements, understandings or arrangements between the Parties relating to the subject matter of this Release. The Executive acknowledges that, in entering into this Release, the Executive did not rely and has not relied on any statements or representations not contained in this Release.</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220"/>
        <w:spacing w:after="0"/>
        <w:rPr>
          <w:sz w:val="20"/>
          <w:szCs w:val="20"/>
          <w:color w:val="auto"/>
        </w:rPr>
      </w:pPr>
      <w:r>
        <w:rPr>
          <w:rFonts w:ascii="Arial" w:cs="Arial" w:eastAsia="Arial" w:hAnsi="Arial"/>
          <w:sz w:val="22"/>
          <w:szCs w:val="22"/>
          <w:color w:val="auto"/>
        </w:rPr>
        <w:t>- 5 -</w:t>
      </w:r>
    </w:p>
    <w:p>
      <w:pPr>
        <w:sectPr>
          <w:pgSz w:w="11900" w:h="16838" w:orient="portrait"/>
          <w:cols w:equalWidth="0" w:num="1">
            <w:col w:w="11240"/>
          </w:cols>
          <w:pgMar w:left="320" w:top="1419" w:right="339" w:bottom="1440" w:gutter="0" w:footer="0" w:header="0"/>
        </w:sectPr>
      </w:pPr>
    </w:p>
    <w:bookmarkStart w:id="116" w:name="page117"/>
    <w:bookmarkEnd w:id="116"/>
    <w:p>
      <w:pPr>
        <w:ind w:left="2880"/>
        <w:spacing w:after="0"/>
        <w:rPr>
          <w:sz w:val="20"/>
          <w:szCs w:val="20"/>
          <w:color w:val="auto"/>
        </w:rPr>
      </w:pPr>
      <w:r>
        <w:rPr>
          <w:rFonts w:ascii="Arial" w:cs="Arial" w:eastAsia="Arial" w:hAnsi="Arial"/>
          <w:sz w:val="20"/>
          <w:szCs w:val="20"/>
          <w:b w:val="1"/>
          <w:bCs w:val="1"/>
          <w:color w:val="auto"/>
        </w:rPr>
        <w:t>Executive’s Acknowledgment of Knowing and Voluntary Release</w:t>
      </w:r>
    </w:p>
    <w:p>
      <w:pPr>
        <w:spacing w:after="0" w:line="249" w:lineRule="exact"/>
        <w:rPr>
          <w:sz w:val="20"/>
          <w:szCs w:val="20"/>
          <w:color w:val="auto"/>
        </w:rPr>
      </w:pPr>
    </w:p>
    <w:p>
      <w:pPr>
        <w:spacing w:after="0"/>
        <w:rPr>
          <w:sz w:val="20"/>
          <w:szCs w:val="20"/>
          <w:color w:val="auto"/>
        </w:rPr>
      </w:pPr>
      <w:r>
        <w:rPr>
          <w:rFonts w:ascii="Arial" w:cs="Arial" w:eastAsia="Arial" w:hAnsi="Arial"/>
          <w:sz w:val="20"/>
          <w:szCs w:val="20"/>
          <w:color w:val="auto"/>
        </w:rPr>
        <w:t>BY EXECUTING THIS RELEASE, I ACKNOWLEDGE:</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I HAVE CAREFULLY READ THIS RELEASE AND I FULLY UNDERSTAND ALL OF THE PROVISIONS OF THIS RELEASE.</w:t>
      </w:r>
    </w:p>
    <w:p>
      <w:pPr>
        <w:spacing w:after="0" w:line="243"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I HAVE BEEN ENCOURAGED AND ADVISED IN WRITING TO SEEK ADVICE FROM COUNSEL OF MY CHOOSING REGARDING THIS RELEASE AND HAVE DONE SO TO THE EXTENT I DEEM APPROPRIATE.</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color w:val="auto"/>
        </w:rPr>
        <w:t>[I HAVE BEEN GIVEN ADEQUATE TIME, TWENTY ONE (21) BUSINESS DAYS, TO REVIEW THE RELEASE.]</w:t>
      </w:r>
    </w:p>
    <w:p>
      <w:pPr>
        <w:spacing w:after="0" w:line="243" w:lineRule="exact"/>
        <w:rPr>
          <w:sz w:val="20"/>
          <w:szCs w:val="20"/>
          <w:color w:val="auto"/>
        </w:rPr>
      </w:pPr>
    </w:p>
    <w:p>
      <w:pPr>
        <w:jc w:val="both"/>
        <w:spacing w:after="0" w:line="245" w:lineRule="auto"/>
        <w:rPr>
          <w:sz w:val="20"/>
          <w:szCs w:val="20"/>
          <w:color w:val="auto"/>
        </w:rPr>
      </w:pPr>
      <w:r>
        <w:rPr>
          <w:rFonts w:ascii="Arial" w:cs="Arial" w:eastAsia="Arial" w:hAnsi="Arial"/>
          <w:sz w:val="20"/>
          <w:szCs w:val="20"/>
          <w:color w:val="auto"/>
        </w:rPr>
        <w:t>IN SIGNING THIS RELEASE, I AM NOT RELYING ON ANY REPRESENTATION OR STATEMENT (WRITTEN OR ORAL) NOT SPECIFICALLY SET FORTH HEREIN BY THE EMPLOYER OR ANY OF ITS REPRESENTATIVES WITH REGARD TO THE SUBJECT MATTER, BASIS, OR EFFECT OF THIS RELEASE OR OTHERWISE.</w:t>
      </w:r>
    </w:p>
    <w:p>
      <w:pPr>
        <w:jc w:val="both"/>
        <w:ind w:right="20"/>
        <w:spacing w:after="0" w:line="244" w:lineRule="auto"/>
        <w:rPr>
          <w:sz w:val="20"/>
          <w:szCs w:val="20"/>
          <w:color w:val="auto"/>
        </w:rPr>
      </w:pPr>
      <w:r>
        <w:rPr>
          <w:rFonts w:ascii="Arial" w:cs="Arial" w:eastAsia="Arial" w:hAnsi="Arial"/>
          <w:sz w:val="20"/>
          <w:szCs w:val="20"/>
          <w:color w:val="auto"/>
        </w:rPr>
        <w:t>I WAS NOT COERCED, THREATENED, OR OTHERWISE FORCED TO SIGN THIS RELEASE. I AM VOLUNTARILY SIGNING AND DELIVERING THIS RELEASE.</w:t>
      </w:r>
    </w:p>
    <w:p>
      <w:pPr>
        <w:spacing w:after="0" w:line="218" w:lineRule="exact"/>
        <w:rPr>
          <w:sz w:val="20"/>
          <w:szCs w:val="20"/>
          <w:color w:val="auto"/>
        </w:rPr>
      </w:pPr>
    </w:p>
    <w:p>
      <w:pPr>
        <w:spacing w:after="0"/>
        <w:rPr>
          <w:sz w:val="20"/>
          <w:szCs w:val="20"/>
          <w:color w:val="auto"/>
        </w:rPr>
      </w:pPr>
      <w:r>
        <w:rPr>
          <w:rFonts w:ascii="Arial" w:cs="Arial" w:eastAsia="Arial" w:hAnsi="Arial"/>
          <w:sz w:val="20"/>
          <w:szCs w:val="20"/>
          <w:color w:val="auto"/>
        </w:rPr>
        <w:t>I UNDERSTAND THAT BY SIGNING THIS RELEASE I ACCEPT THE EMPLOYER’S OFFER.</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_________</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IN WITNESS WHEREOF, the Parties have executed this Release Agreement.</w:t>
      </w:r>
    </w:p>
    <w:p>
      <w:pPr>
        <w:spacing w:after="0" w:line="200" w:lineRule="exact"/>
        <w:rPr>
          <w:sz w:val="20"/>
          <w:szCs w:val="20"/>
          <w:color w:val="auto"/>
        </w:rPr>
      </w:pP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4560" w:type="dxa"/>
            <w:vAlign w:val="bottom"/>
          </w:tcPr>
          <w:p>
            <w:pPr>
              <w:spacing w:after="0"/>
              <w:rPr>
                <w:sz w:val="20"/>
                <w:szCs w:val="20"/>
                <w:color w:val="auto"/>
              </w:rPr>
            </w:pPr>
            <w:r>
              <w:rPr>
                <w:rFonts w:ascii="Arial" w:cs="Arial" w:eastAsia="Arial" w:hAnsi="Arial"/>
                <w:sz w:val="20"/>
                <w:szCs w:val="20"/>
                <w:b w:val="1"/>
                <w:bCs w:val="1"/>
                <w:color w:val="auto"/>
              </w:rPr>
              <w:t>AGREED TO AND ACCEPTED:</w:t>
            </w:r>
          </w:p>
        </w:tc>
        <w:tc>
          <w:tcPr>
            <w:tcW w:w="4340" w:type="dxa"/>
            <w:vAlign w:val="bottom"/>
          </w:tcPr>
          <w:p>
            <w:pPr>
              <w:spacing w:after="0"/>
              <w:rPr>
                <w:sz w:val="22"/>
                <w:szCs w:val="22"/>
                <w:color w:val="auto"/>
              </w:rPr>
            </w:pPr>
          </w:p>
        </w:tc>
      </w:tr>
      <w:tr>
        <w:trPr>
          <w:trHeight w:val="527"/>
        </w:trPr>
        <w:tc>
          <w:tcPr>
            <w:tcW w:w="4560" w:type="dxa"/>
            <w:vAlign w:val="bottom"/>
          </w:tcPr>
          <w:p>
            <w:pPr>
              <w:ind w:left="20"/>
              <w:spacing w:after="0"/>
              <w:rPr>
                <w:sz w:val="20"/>
                <w:szCs w:val="20"/>
                <w:color w:val="auto"/>
              </w:rPr>
            </w:pPr>
            <w:r>
              <w:rPr>
                <w:rFonts w:ascii="Arial" w:cs="Arial" w:eastAsia="Arial" w:hAnsi="Arial"/>
                <w:sz w:val="20"/>
                <w:szCs w:val="20"/>
                <w:b w:val="1"/>
                <w:bCs w:val="1"/>
                <w:color w:val="auto"/>
              </w:rPr>
              <w:t>By Executive:</w:t>
            </w:r>
          </w:p>
        </w:tc>
        <w:tc>
          <w:tcPr>
            <w:tcW w:w="4340" w:type="dxa"/>
            <w:vAlign w:val="bottom"/>
          </w:tcPr>
          <w:p>
            <w:pPr>
              <w:ind w:left="780"/>
              <w:spacing w:after="0"/>
              <w:rPr>
                <w:sz w:val="20"/>
                <w:szCs w:val="20"/>
                <w:color w:val="auto"/>
              </w:rPr>
            </w:pPr>
            <w:r>
              <w:rPr>
                <w:rFonts w:ascii="Arial" w:cs="Arial" w:eastAsia="Arial" w:hAnsi="Arial"/>
                <w:sz w:val="20"/>
                <w:szCs w:val="20"/>
                <w:b w:val="1"/>
                <w:bCs w:val="1"/>
                <w:color w:val="auto"/>
              </w:rPr>
              <w:t>For Company:</w:t>
            </w:r>
          </w:p>
        </w:tc>
      </w:tr>
      <w:tr>
        <w:trPr>
          <w:trHeight w:val="472"/>
        </w:trPr>
        <w:tc>
          <w:tcPr>
            <w:tcW w:w="4560" w:type="dxa"/>
            <w:vAlign w:val="bottom"/>
          </w:tcPr>
          <w:p>
            <w:pPr>
              <w:spacing w:after="0"/>
              <w:rPr>
                <w:sz w:val="24"/>
                <w:szCs w:val="24"/>
                <w:color w:val="auto"/>
              </w:rPr>
            </w:pPr>
          </w:p>
        </w:tc>
        <w:tc>
          <w:tcPr>
            <w:tcW w:w="4340" w:type="dxa"/>
            <w:vAlign w:val="bottom"/>
          </w:tcPr>
          <w:p>
            <w:pPr>
              <w:ind w:left="780"/>
              <w:spacing w:after="0"/>
              <w:rPr>
                <w:sz w:val="20"/>
                <w:szCs w:val="20"/>
                <w:color w:val="auto"/>
              </w:rPr>
            </w:pPr>
            <w:r>
              <w:rPr>
                <w:rFonts w:ascii="Arial" w:cs="Arial" w:eastAsia="Arial" w:hAnsi="Arial"/>
                <w:sz w:val="20"/>
                <w:szCs w:val="20"/>
                <w:color w:val="auto"/>
              </w:rPr>
              <w:t>By:</w:t>
            </w:r>
          </w:p>
        </w:tc>
      </w:tr>
      <w:tr>
        <w:trPr>
          <w:trHeight w:val="452"/>
        </w:trPr>
        <w:tc>
          <w:tcPr>
            <w:tcW w:w="4560" w:type="dxa"/>
            <w:vAlign w:val="bottom"/>
          </w:tcPr>
          <w:p>
            <w:pPr>
              <w:ind w:left="20"/>
              <w:spacing w:after="0"/>
              <w:rPr>
                <w:sz w:val="20"/>
                <w:szCs w:val="20"/>
                <w:color w:val="auto"/>
              </w:rPr>
            </w:pPr>
            <w:r>
              <w:rPr>
                <w:rFonts w:ascii="Arial" w:cs="Arial" w:eastAsia="Arial" w:hAnsi="Arial"/>
                <w:sz w:val="20"/>
                <w:szCs w:val="20"/>
                <w:color w:val="auto"/>
              </w:rPr>
              <w:t>______________________________________</w:t>
            </w:r>
          </w:p>
        </w:tc>
        <w:tc>
          <w:tcPr>
            <w:tcW w:w="4340" w:type="dxa"/>
            <w:vAlign w:val="bottom"/>
          </w:tcPr>
          <w:p>
            <w:pPr>
              <w:ind w:left="780"/>
              <w:spacing w:after="0"/>
              <w:rPr>
                <w:sz w:val="20"/>
                <w:szCs w:val="20"/>
                <w:color w:val="auto"/>
              </w:rPr>
            </w:pPr>
            <w:r>
              <w:rPr>
                <w:rFonts w:ascii="Arial" w:cs="Arial" w:eastAsia="Arial" w:hAnsi="Arial"/>
                <w:sz w:val="20"/>
                <w:szCs w:val="20"/>
                <w:color w:val="auto"/>
                <w:w w:val="88"/>
              </w:rPr>
              <w:t>____________________________________</w:t>
            </w:r>
          </w:p>
        </w:tc>
      </w:tr>
      <w:tr>
        <w:trPr>
          <w:trHeight w:val="264"/>
        </w:trPr>
        <w:tc>
          <w:tcPr>
            <w:tcW w:w="4560" w:type="dxa"/>
            <w:vAlign w:val="bottom"/>
          </w:tcPr>
          <w:p>
            <w:pPr>
              <w:ind w:left="20"/>
              <w:spacing w:after="0"/>
              <w:rPr>
                <w:sz w:val="20"/>
                <w:szCs w:val="20"/>
                <w:color w:val="auto"/>
              </w:rPr>
            </w:pPr>
            <w:r>
              <w:rPr>
                <w:rFonts w:ascii="Arial" w:cs="Arial" w:eastAsia="Arial" w:hAnsi="Arial"/>
                <w:sz w:val="20"/>
                <w:szCs w:val="20"/>
                <w:color w:val="auto"/>
              </w:rPr>
              <w:t>Allison Green</w:t>
            </w:r>
          </w:p>
        </w:tc>
        <w:tc>
          <w:tcPr>
            <w:tcW w:w="4340" w:type="dxa"/>
            <w:vAlign w:val="bottom"/>
          </w:tcPr>
          <w:p>
            <w:pPr>
              <w:ind w:left="780"/>
              <w:spacing w:after="0"/>
              <w:rPr>
                <w:sz w:val="20"/>
                <w:szCs w:val="20"/>
                <w:color w:val="auto"/>
              </w:rPr>
            </w:pPr>
            <w:r>
              <w:rPr>
                <w:rFonts w:ascii="Arial" w:cs="Arial" w:eastAsia="Arial" w:hAnsi="Arial"/>
                <w:sz w:val="20"/>
                <w:szCs w:val="20"/>
                <w:color w:val="auto"/>
              </w:rPr>
              <w:t>Representative’s Signature</w:t>
            </w:r>
          </w:p>
        </w:tc>
      </w:tr>
      <w:tr>
        <w:trPr>
          <w:trHeight w:val="438"/>
        </w:trPr>
        <w:tc>
          <w:tcPr>
            <w:tcW w:w="4560" w:type="dxa"/>
            <w:vAlign w:val="bottom"/>
          </w:tcPr>
          <w:p>
            <w:pPr>
              <w:spacing w:after="0"/>
              <w:rPr>
                <w:sz w:val="24"/>
                <w:szCs w:val="24"/>
                <w:color w:val="auto"/>
              </w:rPr>
            </w:pPr>
          </w:p>
        </w:tc>
        <w:tc>
          <w:tcPr>
            <w:tcW w:w="4340" w:type="dxa"/>
            <w:vAlign w:val="bottom"/>
          </w:tcPr>
          <w:p>
            <w:pPr>
              <w:ind w:left="780"/>
              <w:spacing w:after="0"/>
              <w:rPr>
                <w:sz w:val="20"/>
                <w:szCs w:val="20"/>
                <w:color w:val="auto"/>
              </w:rPr>
            </w:pPr>
            <w:r>
              <w:rPr>
                <w:rFonts w:ascii="Arial" w:cs="Arial" w:eastAsia="Arial" w:hAnsi="Arial"/>
                <w:sz w:val="20"/>
                <w:szCs w:val="20"/>
                <w:color w:val="auto"/>
                <w:w w:val="88"/>
              </w:rPr>
              <w:t>____________________________________</w:t>
            </w:r>
          </w:p>
        </w:tc>
      </w:tr>
      <w:tr>
        <w:trPr>
          <w:trHeight w:val="277"/>
        </w:trPr>
        <w:tc>
          <w:tcPr>
            <w:tcW w:w="4560" w:type="dxa"/>
            <w:vAlign w:val="bottom"/>
          </w:tcPr>
          <w:p>
            <w:pPr>
              <w:ind w:left="20"/>
              <w:spacing w:after="0"/>
              <w:rPr>
                <w:sz w:val="20"/>
                <w:szCs w:val="20"/>
                <w:color w:val="auto"/>
              </w:rPr>
            </w:pPr>
            <w:r>
              <w:rPr>
                <w:rFonts w:ascii="Arial" w:cs="Arial" w:eastAsia="Arial" w:hAnsi="Arial"/>
                <w:sz w:val="20"/>
                <w:szCs w:val="20"/>
                <w:color w:val="auto"/>
              </w:rPr>
              <w:t>DATE: _______________________________</w:t>
            </w:r>
          </w:p>
        </w:tc>
        <w:tc>
          <w:tcPr>
            <w:tcW w:w="4340" w:type="dxa"/>
            <w:vAlign w:val="bottom"/>
          </w:tcPr>
          <w:p>
            <w:pPr>
              <w:ind w:left="780"/>
              <w:spacing w:after="0"/>
              <w:rPr>
                <w:sz w:val="20"/>
                <w:szCs w:val="20"/>
                <w:color w:val="auto"/>
              </w:rPr>
            </w:pPr>
            <w:r>
              <w:rPr>
                <w:rFonts w:ascii="Arial" w:cs="Arial" w:eastAsia="Arial" w:hAnsi="Arial"/>
                <w:sz w:val="20"/>
                <w:szCs w:val="20"/>
                <w:color w:val="auto"/>
              </w:rPr>
              <w:t>Name, Title</w:t>
            </w:r>
          </w:p>
        </w:tc>
      </w:tr>
      <w:tr>
        <w:trPr>
          <w:trHeight w:val="675"/>
        </w:trPr>
        <w:tc>
          <w:tcPr>
            <w:tcW w:w="4560" w:type="dxa"/>
            <w:vAlign w:val="bottom"/>
          </w:tcPr>
          <w:p>
            <w:pPr>
              <w:spacing w:after="0"/>
              <w:rPr>
                <w:sz w:val="24"/>
                <w:szCs w:val="24"/>
                <w:color w:val="auto"/>
              </w:rPr>
            </w:pPr>
          </w:p>
        </w:tc>
        <w:tc>
          <w:tcPr>
            <w:tcW w:w="4340" w:type="dxa"/>
            <w:vAlign w:val="bottom"/>
          </w:tcPr>
          <w:p>
            <w:pPr>
              <w:ind w:left="780"/>
              <w:spacing w:after="0"/>
              <w:rPr>
                <w:sz w:val="20"/>
                <w:szCs w:val="20"/>
                <w:color w:val="auto"/>
              </w:rPr>
            </w:pPr>
            <w:r>
              <w:rPr>
                <w:rFonts w:ascii="Arial" w:cs="Arial" w:eastAsia="Arial" w:hAnsi="Arial"/>
                <w:sz w:val="20"/>
                <w:szCs w:val="20"/>
                <w:color w:val="auto"/>
                <w:w w:val="91"/>
              </w:rPr>
              <w:t>DATE: _____________________________</w:t>
            </w:r>
          </w:p>
        </w:tc>
      </w:tr>
    </w:tbl>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220"/>
        <w:spacing w:after="0"/>
        <w:rPr>
          <w:sz w:val="20"/>
          <w:szCs w:val="20"/>
          <w:color w:val="auto"/>
        </w:rPr>
      </w:pPr>
      <w:r>
        <w:rPr>
          <w:rFonts w:ascii="Arial" w:cs="Arial" w:eastAsia="Arial" w:hAnsi="Arial"/>
          <w:sz w:val="22"/>
          <w:szCs w:val="22"/>
          <w:color w:val="auto"/>
        </w:rPr>
        <w:t>- 6 -</w:t>
      </w:r>
    </w:p>
    <w:p>
      <w:pPr>
        <w:sectPr>
          <w:pgSz w:w="11900" w:h="16838" w:orient="portrait"/>
          <w:cols w:equalWidth="0" w:num="1">
            <w:col w:w="11240"/>
          </w:cols>
          <w:pgMar w:left="320" w:top="1413" w:right="339" w:bottom="1440" w:gutter="0" w:footer="0" w:header="0"/>
        </w:sectPr>
      </w:pPr>
    </w:p>
    <w:bookmarkStart w:id="117" w:name="page118"/>
    <w:bookmarkEnd w:id="117"/>
    <w:p>
      <w:pPr>
        <w:jc w:val="right"/>
        <w:spacing w:after="0"/>
        <w:rPr>
          <w:sz w:val="20"/>
          <w:szCs w:val="20"/>
          <w:color w:val="auto"/>
        </w:rPr>
      </w:pPr>
      <w:r>
        <w:rPr>
          <w:rFonts w:ascii="Arial" w:cs="Arial" w:eastAsia="Arial" w:hAnsi="Arial"/>
          <w:sz w:val="18"/>
          <w:szCs w:val="18"/>
          <w:b w:val="1"/>
          <w:bCs w:val="1"/>
          <w:color w:val="auto"/>
        </w:rPr>
        <w:t>Exhibit 31.1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 of SuRo Capital Corp.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 under the Exchange Act,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Mark D. Klein, certify that:</w:t>
      </w:r>
    </w:p>
    <w:p>
      <w:pPr>
        <w:spacing w:after="0" w:line="252" w:lineRule="exact"/>
        <w:rPr>
          <w:sz w:val="20"/>
          <w:szCs w:val="20"/>
          <w:color w:val="auto"/>
        </w:rPr>
      </w:pPr>
    </w:p>
    <w:p>
      <w:pPr>
        <w:ind w:left="660" w:hanging="328"/>
        <w:spacing w:after="0"/>
        <w:tabs>
          <w:tab w:leader="none" w:pos="66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SuRo Capital Corp.;</w:t>
      </w:r>
    </w:p>
    <w:p>
      <w:pPr>
        <w:spacing w:after="0" w:line="252"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0"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10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jc w:val="both"/>
        <w:ind w:left="660" w:hanging="328"/>
        <w:spacing w:after="0" w:line="263" w:lineRule="auto"/>
        <w:tabs>
          <w:tab w:leader="none" w:pos="66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9" w:lineRule="exact"/>
        <w:rPr>
          <w:rFonts w:ascii="Arial" w:cs="Arial" w:eastAsia="Arial" w:hAnsi="Arial"/>
          <w:sz w:val="18"/>
          <w:szCs w:val="18"/>
          <w:color w:val="auto"/>
        </w:rPr>
      </w:pPr>
    </w:p>
    <w:p>
      <w:pPr>
        <w:jc w:val="both"/>
        <w:ind w:left="980" w:hanging="324"/>
        <w:spacing w:after="0" w:line="263" w:lineRule="auto"/>
        <w:tabs>
          <w:tab w:leader="none" w:pos="977" w:val="left"/>
        </w:tabs>
        <w:numPr>
          <w:ilvl w:val="1"/>
          <w:numId w:val="10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jc w:val="both"/>
        <w:ind w:left="980" w:hanging="324"/>
        <w:spacing w:after="0" w:line="263" w:lineRule="auto"/>
        <w:tabs>
          <w:tab w:leader="none" w:pos="974" w:val="left"/>
        </w:tabs>
        <w:numPr>
          <w:ilvl w:val="1"/>
          <w:numId w:val="10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left="980" w:right="20" w:hanging="324"/>
        <w:spacing w:after="0" w:line="342" w:lineRule="auto"/>
        <w:tabs>
          <w:tab w:leader="none" w:pos="977" w:val="left"/>
        </w:tabs>
        <w:numPr>
          <w:ilvl w:val="1"/>
          <w:numId w:val="10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jc w:val="both"/>
        <w:ind w:left="980" w:hanging="324"/>
        <w:spacing w:after="0" w:line="263" w:lineRule="auto"/>
        <w:tabs>
          <w:tab w:leader="none" w:pos="974" w:val="left"/>
        </w:tabs>
        <w:numPr>
          <w:ilvl w:val="1"/>
          <w:numId w:val="10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10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980" w:hanging="324"/>
        <w:spacing w:after="0" w:line="308" w:lineRule="auto"/>
        <w:tabs>
          <w:tab w:leader="none" w:pos="977" w:val="left"/>
        </w:tabs>
        <w:numPr>
          <w:ilvl w:val="1"/>
          <w:numId w:val="104"/>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3" w:lineRule="exact"/>
        <w:rPr>
          <w:rFonts w:ascii="Arial" w:cs="Arial" w:eastAsia="Arial" w:hAnsi="Arial"/>
          <w:sz w:val="17"/>
          <w:szCs w:val="17"/>
          <w:color w:val="auto"/>
        </w:rPr>
      </w:pPr>
    </w:p>
    <w:p>
      <w:pPr>
        <w:ind w:left="980" w:right="20" w:hanging="324"/>
        <w:spacing w:after="0" w:line="277" w:lineRule="auto"/>
        <w:tabs>
          <w:tab w:leader="none" w:pos="974" w:val="left"/>
        </w:tabs>
        <w:numPr>
          <w:ilvl w:val="1"/>
          <w:numId w:val="10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Dated this 6th day of May, 2021.</w:t>
      </w:r>
    </w:p>
    <w:p>
      <w:pPr>
        <w:spacing w:after="0" w:line="171" w:lineRule="exact"/>
        <w:rPr>
          <w:sz w:val="20"/>
          <w:szCs w:val="20"/>
          <w:color w:val="auto"/>
        </w:rPr>
      </w:pPr>
    </w:p>
    <w:p>
      <w:pPr>
        <w:ind w:left="20"/>
        <w:spacing w:after="0"/>
        <w:tabs>
          <w:tab w:leader="none" w:pos="4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Mark Klein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279400</wp:posOffset>
            </wp:positionH>
            <wp:positionV relativeFrom="paragraph">
              <wp:posOffset>14605</wp:posOffset>
            </wp:positionV>
            <wp:extent cx="141414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3">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2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Mark D. Klein</w:t>
      </w:r>
    </w:p>
    <w:p>
      <w:pPr>
        <w:spacing w:after="0" w:line="5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Chief Executive Officer</w:t>
      </w:r>
    </w:p>
    <w:p>
      <w:pPr>
        <w:sectPr>
          <w:pgSz w:w="11900" w:h="16838" w:orient="portrait"/>
          <w:cols w:equalWidth="0" w:num="1">
            <w:col w:w="11240"/>
          </w:cols>
          <w:pgMar w:left="320" w:top="891" w:right="339" w:bottom="1440" w:gutter="0" w:footer="0" w:header="0"/>
        </w:sectPr>
      </w:pPr>
    </w:p>
    <w:bookmarkStart w:id="118" w:name="page119"/>
    <w:bookmarkEnd w:id="118"/>
    <w:p>
      <w:pPr>
        <w:jc w:val="right"/>
        <w:spacing w:after="0"/>
        <w:rPr>
          <w:sz w:val="20"/>
          <w:szCs w:val="20"/>
          <w:color w:val="auto"/>
        </w:rPr>
      </w:pPr>
      <w:r>
        <w:rPr>
          <w:rFonts w:ascii="Arial" w:cs="Arial" w:eastAsia="Arial" w:hAnsi="Arial"/>
          <w:sz w:val="18"/>
          <w:szCs w:val="18"/>
          <w:b w:val="1"/>
          <w:bCs w:val="1"/>
          <w:color w:val="auto"/>
        </w:rPr>
        <w:t>Exhibit 31.2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 of SuRo Capital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 under the Exchange Act,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Allison Green, certify that:</w:t>
      </w:r>
    </w:p>
    <w:p>
      <w:pPr>
        <w:spacing w:after="0" w:line="252" w:lineRule="exact"/>
        <w:rPr>
          <w:sz w:val="20"/>
          <w:szCs w:val="20"/>
          <w:color w:val="auto"/>
        </w:rPr>
      </w:pPr>
    </w:p>
    <w:p>
      <w:pPr>
        <w:ind w:left="660" w:hanging="328"/>
        <w:spacing w:after="0"/>
        <w:tabs>
          <w:tab w:leader="none" w:pos="6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SuRo Capital Corp.;</w:t>
      </w:r>
    </w:p>
    <w:p>
      <w:pPr>
        <w:spacing w:after="0" w:line="252"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0"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10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jc w:val="both"/>
        <w:ind w:left="660" w:hanging="328"/>
        <w:spacing w:after="0" w:line="263" w:lineRule="auto"/>
        <w:tabs>
          <w:tab w:leader="none" w:pos="6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9" w:lineRule="exact"/>
        <w:rPr>
          <w:rFonts w:ascii="Arial" w:cs="Arial" w:eastAsia="Arial" w:hAnsi="Arial"/>
          <w:sz w:val="18"/>
          <w:szCs w:val="18"/>
          <w:color w:val="auto"/>
        </w:rPr>
      </w:pPr>
    </w:p>
    <w:p>
      <w:pPr>
        <w:jc w:val="both"/>
        <w:ind w:left="980" w:hanging="324"/>
        <w:spacing w:after="0" w:line="263" w:lineRule="auto"/>
        <w:tabs>
          <w:tab w:leader="none" w:pos="977" w:val="left"/>
        </w:tabs>
        <w:numPr>
          <w:ilvl w:val="1"/>
          <w:numId w:val="10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jc w:val="both"/>
        <w:ind w:left="980" w:hanging="324"/>
        <w:spacing w:after="0" w:line="263" w:lineRule="auto"/>
        <w:tabs>
          <w:tab w:leader="none" w:pos="974" w:val="left"/>
        </w:tabs>
        <w:numPr>
          <w:ilvl w:val="1"/>
          <w:numId w:val="10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left="980" w:right="20" w:hanging="324"/>
        <w:spacing w:after="0" w:line="342" w:lineRule="auto"/>
        <w:tabs>
          <w:tab w:leader="none" w:pos="977" w:val="left"/>
        </w:tabs>
        <w:numPr>
          <w:ilvl w:val="1"/>
          <w:numId w:val="10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jc w:val="both"/>
        <w:ind w:left="980" w:hanging="324"/>
        <w:spacing w:after="0" w:line="263" w:lineRule="auto"/>
        <w:tabs>
          <w:tab w:leader="none" w:pos="974" w:val="left"/>
        </w:tabs>
        <w:numPr>
          <w:ilvl w:val="1"/>
          <w:numId w:val="10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10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980" w:hanging="324"/>
        <w:spacing w:after="0" w:line="308" w:lineRule="auto"/>
        <w:tabs>
          <w:tab w:leader="none" w:pos="977" w:val="left"/>
        </w:tabs>
        <w:numPr>
          <w:ilvl w:val="1"/>
          <w:numId w:val="10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3" w:lineRule="exact"/>
        <w:rPr>
          <w:rFonts w:ascii="Arial" w:cs="Arial" w:eastAsia="Arial" w:hAnsi="Arial"/>
          <w:sz w:val="17"/>
          <w:szCs w:val="17"/>
          <w:color w:val="auto"/>
        </w:rPr>
      </w:pPr>
    </w:p>
    <w:p>
      <w:pPr>
        <w:ind w:left="980" w:right="20" w:hanging="324"/>
        <w:spacing w:after="0" w:line="277" w:lineRule="auto"/>
        <w:tabs>
          <w:tab w:leader="none" w:pos="974" w:val="left"/>
        </w:tabs>
        <w:numPr>
          <w:ilvl w:val="1"/>
          <w:numId w:val="10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Dated this 6th day of May, 2021.</w:t>
      </w:r>
    </w:p>
    <w:p>
      <w:pPr>
        <w:spacing w:after="0" w:line="171" w:lineRule="exact"/>
        <w:rPr>
          <w:sz w:val="20"/>
          <w:szCs w:val="20"/>
          <w:color w:val="auto"/>
        </w:rPr>
      </w:pPr>
    </w:p>
    <w:p>
      <w:pPr>
        <w:ind w:left="20"/>
        <w:spacing w:after="0"/>
        <w:tabs>
          <w:tab w:leader="none" w:pos="4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Allison Green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279400</wp:posOffset>
            </wp:positionH>
            <wp:positionV relativeFrom="paragraph">
              <wp:posOffset>14605</wp:posOffset>
            </wp:positionV>
            <wp:extent cx="167132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4">
                      <a:extLst>
                        <a:ext uri="{28A0092B-C50C-407E-A947-70E740481C1C}"/>
                      </a:extLst>
                    </a:blip>
                    <a:srcRect/>
                    <a:stretch>
                      <a:fillRect/>
                    </a:stretch>
                  </pic:blipFill>
                  <pic:spPr bwMode="auto">
                    <a:xfrm>
                      <a:off x="0" y="0"/>
                      <a:ext cx="1671320" cy="8255"/>
                    </a:xfrm>
                    <a:prstGeom prst="rect">
                      <a:avLst/>
                    </a:prstGeom>
                    <a:noFill/>
                  </pic:spPr>
                </pic:pic>
              </a:graphicData>
            </a:graphic>
          </wp:anchor>
        </w:drawing>
      </w:r>
    </w:p>
    <w:p>
      <w:pPr>
        <w:spacing w:after="0" w:line="2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Allison Green</w:t>
      </w:r>
    </w:p>
    <w:p>
      <w:pPr>
        <w:spacing w:after="0" w:line="5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Chief Financial Officer</w:t>
      </w:r>
    </w:p>
    <w:p>
      <w:pPr>
        <w:sectPr>
          <w:pgSz w:w="11900" w:h="16838" w:orient="portrait"/>
          <w:cols w:equalWidth="0" w:num="1">
            <w:col w:w="11240"/>
          </w:cols>
          <w:pgMar w:left="320" w:top="891" w:right="339" w:bottom="1440" w:gutter="0" w:footer="0" w:header="0"/>
        </w:sectPr>
      </w:pPr>
    </w:p>
    <w:bookmarkStart w:id="119" w:name="page120"/>
    <w:bookmarkEnd w:id="119"/>
    <w:p>
      <w:pPr>
        <w:jc w:val="right"/>
        <w:spacing w:after="0"/>
        <w:rPr>
          <w:sz w:val="20"/>
          <w:szCs w:val="20"/>
          <w:color w:val="auto"/>
        </w:rPr>
      </w:pPr>
      <w:r>
        <w:rPr>
          <w:rFonts w:ascii="Arial" w:cs="Arial" w:eastAsia="Arial" w:hAnsi="Arial"/>
          <w:sz w:val="18"/>
          <w:szCs w:val="18"/>
          <w:b w:val="1"/>
          <w:bCs w:val="1"/>
          <w:color w:val="auto"/>
        </w:rPr>
        <w:t>Exhibit 32.1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 (18 U.S.C. 1350)</w:t>
      </w:r>
    </w:p>
    <w:p>
      <w:pPr>
        <w:spacing w:after="0" w:line="23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connection with the quarterly report on Form 10-Q for the three months ended March 31, 2021 (the “Report”) of SuRo Capital Corp. (the “Registrant”), as filed with the Securities and Exchange Commission on the date hereof, I, Mark D. Klein, the Chief Executive Officer of the Registrant, hereby certify, to the best of my knowledge, that:</w:t>
      </w:r>
    </w:p>
    <w:p>
      <w:pPr>
        <w:spacing w:after="0" w:line="211" w:lineRule="exact"/>
        <w:rPr>
          <w:sz w:val="20"/>
          <w:szCs w:val="20"/>
          <w:color w:val="auto"/>
        </w:rPr>
      </w:pPr>
    </w:p>
    <w:p>
      <w:pPr>
        <w:ind w:left="640" w:hanging="308"/>
        <w:spacing w:after="0"/>
        <w:tabs>
          <w:tab w:leader="none" w:pos="64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52" w:lineRule="exact"/>
        <w:rPr>
          <w:rFonts w:ascii="Arial" w:cs="Arial" w:eastAsia="Arial" w:hAnsi="Arial"/>
          <w:sz w:val="18"/>
          <w:szCs w:val="18"/>
          <w:color w:val="auto"/>
        </w:rPr>
      </w:pPr>
    </w:p>
    <w:p>
      <w:pPr>
        <w:ind w:left="640" w:hanging="308"/>
        <w:spacing w:after="0"/>
        <w:tabs>
          <w:tab w:leader="none" w:pos="640" w:val="left"/>
        </w:tabs>
        <w:numPr>
          <w:ilvl w:val="0"/>
          <w:numId w:val="10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Registrant.</w:t>
      </w:r>
    </w:p>
    <w:p>
      <w:pPr>
        <w:spacing w:after="0" w:line="167"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/s/ Mark D. Klein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14605</wp:posOffset>
            </wp:positionV>
            <wp:extent cx="34975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5">
                      <a:extLst>
                        <a:ext uri="{28A0092B-C50C-407E-A947-70E740481C1C}"/>
                      </a:extLst>
                    </a:blip>
                    <a:srcRect/>
                    <a:stretch>
                      <a:fillRect/>
                    </a:stretch>
                  </pic:blipFill>
                  <pic:spPr bwMode="auto">
                    <a:xfrm>
                      <a:off x="0" y="0"/>
                      <a:ext cx="3497580" cy="8255"/>
                    </a:xfrm>
                    <a:prstGeom prst="rect">
                      <a:avLst/>
                    </a:prstGeom>
                    <a:noFill/>
                  </pic:spPr>
                </pic:pic>
              </a:graphicData>
            </a:graphic>
          </wp:anchor>
        </w:drawing>
      </w:r>
    </w:p>
    <w:p>
      <w:pPr>
        <w:spacing w:after="0" w:line="12" w:lineRule="exact"/>
        <w:rPr>
          <w:sz w:val="20"/>
          <w:szCs w:val="20"/>
          <w:color w:val="auto"/>
        </w:rPr>
      </w:pPr>
    </w:p>
    <w:p>
      <w:pPr>
        <w:ind w:left="5760"/>
        <w:spacing w:after="0"/>
        <w:rPr>
          <w:sz w:val="20"/>
          <w:szCs w:val="20"/>
          <w:color w:val="auto"/>
        </w:rPr>
      </w:pPr>
      <w:r>
        <w:rPr>
          <w:rFonts w:ascii="Arial" w:cs="Arial" w:eastAsia="Arial" w:hAnsi="Arial"/>
          <w:sz w:val="18"/>
          <w:szCs w:val="18"/>
          <w:b w:val="1"/>
          <w:bCs w:val="1"/>
          <w:color w:val="auto"/>
        </w:rPr>
        <w:t>Name: Mark D. Klein</w:t>
      </w:r>
    </w:p>
    <w:p>
      <w:pPr>
        <w:spacing w:after="0" w:line="27"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Date: May 6, 2021</w:t>
      </w:r>
    </w:p>
    <w:p>
      <w:pPr>
        <w:sectPr>
          <w:pgSz w:w="11900" w:h="16838" w:orient="portrait"/>
          <w:cols w:equalWidth="0" w:num="1">
            <w:col w:w="11240"/>
          </w:cols>
          <w:pgMar w:left="320" w:top="891" w:right="339" w:bottom="1440" w:gutter="0" w:footer="0" w:header="0"/>
        </w:sectPr>
      </w:pPr>
    </w:p>
    <w:bookmarkStart w:id="120" w:name="page121"/>
    <w:bookmarkEnd w:id="120"/>
    <w:p>
      <w:pPr>
        <w:jc w:val="right"/>
        <w:spacing w:after="0"/>
        <w:rPr>
          <w:sz w:val="20"/>
          <w:szCs w:val="20"/>
          <w:color w:val="auto"/>
        </w:rPr>
      </w:pPr>
      <w:r>
        <w:rPr>
          <w:rFonts w:ascii="Arial" w:cs="Arial" w:eastAsia="Arial" w:hAnsi="Arial"/>
          <w:sz w:val="18"/>
          <w:szCs w:val="18"/>
          <w:b w:val="1"/>
          <w:bCs w:val="1"/>
          <w:color w:val="auto"/>
        </w:rPr>
        <w:t>Exhibit 32.2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 (18 U.S.C. 1350)</w:t>
      </w:r>
    </w:p>
    <w:p>
      <w:pPr>
        <w:spacing w:after="0" w:line="23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connection with the quarterly report on Form 10-Q for the three months ended March 31, 2021 (the “Report”) of SuRo Capital Corp. (the “Registrant”), as filed with the Securities and Exchange Commission on the date hereof, I, Allison Green, the Chief Financial Officer of the Registrant, hereby certify, to the best of my knowledge, that:</w:t>
      </w:r>
    </w:p>
    <w:p>
      <w:pPr>
        <w:spacing w:after="0" w:line="211" w:lineRule="exact"/>
        <w:rPr>
          <w:sz w:val="20"/>
          <w:szCs w:val="20"/>
          <w:color w:val="auto"/>
        </w:rPr>
      </w:pPr>
    </w:p>
    <w:p>
      <w:pPr>
        <w:ind w:left="640" w:hanging="308"/>
        <w:spacing w:after="0"/>
        <w:tabs>
          <w:tab w:leader="none" w:pos="64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52" w:lineRule="exact"/>
        <w:rPr>
          <w:rFonts w:ascii="Arial" w:cs="Arial" w:eastAsia="Arial" w:hAnsi="Arial"/>
          <w:sz w:val="18"/>
          <w:szCs w:val="18"/>
          <w:color w:val="auto"/>
        </w:rPr>
      </w:pPr>
    </w:p>
    <w:p>
      <w:pPr>
        <w:ind w:left="640" w:hanging="308"/>
        <w:spacing w:after="0"/>
        <w:tabs>
          <w:tab w:leader="none" w:pos="640" w:val="left"/>
        </w:tabs>
        <w:numPr>
          <w:ilvl w:val="0"/>
          <w:numId w:val="10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Registrant.</w:t>
      </w:r>
    </w:p>
    <w:p>
      <w:pPr>
        <w:spacing w:after="0" w:line="167"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/s/ Allison Green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14605</wp:posOffset>
            </wp:positionV>
            <wp:extent cx="348869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6">
                      <a:extLst>
                        <a:ext uri="{28A0092B-C50C-407E-A947-70E740481C1C}"/>
                      </a:extLst>
                    </a:blip>
                    <a:srcRect/>
                    <a:stretch>
                      <a:fillRect/>
                    </a:stretch>
                  </pic:blipFill>
                  <pic:spPr bwMode="auto">
                    <a:xfrm>
                      <a:off x="0" y="0"/>
                      <a:ext cx="3488690" cy="8890"/>
                    </a:xfrm>
                    <a:prstGeom prst="rect">
                      <a:avLst/>
                    </a:prstGeom>
                    <a:noFill/>
                  </pic:spPr>
                </pic:pic>
              </a:graphicData>
            </a:graphic>
          </wp:anchor>
        </w:drawing>
      </w:r>
    </w:p>
    <w:p>
      <w:pPr>
        <w:spacing w:after="0" w:line="12" w:lineRule="exact"/>
        <w:rPr>
          <w:sz w:val="20"/>
          <w:szCs w:val="20"/>
          <w:color w:val="auto"/>
        </w:rPr>
      </w:pPr>
    </w:p>
    <w:p>
      <w:pPr>
        <w:ind w:left="5760"/>
        <w:spacing w:after="0"/>
        <w:rPr>
          <w:sz w:val="20"/>
          <w:szCs w:val="20"/>
          <w:color w:val="auto"/>
        </w:rPr>
      </w:pPr>
      <w:r>
        <w:rPr>
          <w:rFonts w:ascii="Arial" w:cs="Arial" w:eastAsia="Arial" w:hAnsi="Arial"/>
          <w:sz w:val="18"/>
          <w:szCs w:val="18"/>
          <w:b w:val="1"/>
          <w:bCs w:val="1"/>
          <w:color w:val="auto"/>
        </w:rPr>
        <w:t>Name: Allison Green</w:t>
      </w:r>
    </w:p>
    <w:p>
      <w:pPr>
        <w:spacing w:after="0" w:line="27"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Date: May 6, 2021</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74A3FE6"/>
    <w:multiLevelType w:val="hybridMultilevel"/>
    <w:lvl w:ilvl="0">
      <w:lvlJc w:val="left"/>
      <w:lvlText w:val="☐"/>
      <w:numFmt w:val="bullet"/>
      <w:start w:val="1"/>
    </w:lvl>
  </w:abstractNum>
  <w:abstractNum w:abstractNumId="1">
    <w:nsid w:val="4F4EF005"/>
    <w:multiLevelType w:val="hybridMultilevel"/>
    <w:lvl w:ilvl="0">
      <w:lvlJc w:val="left"/>
      <w:lvlText w:val="(%1)"/>
      <w:numFmt w:val="decimal"/>
      <w:start w:val="1"/>
    </w:lvl>
  </w:abstractNum>
  <w:abstractNum w:abstractNumId="2">
    <w:nsid w:val="23F9C13C"/>
    <w:multiLevelType w:val="hybridMultilevel"/>
    <w:lvl w:ilvl="0">
      <w:lvlJc w:val="left"/>
      <w:lvlText w:val="(%1)"/>
      <w:numFmt w:val="decimal"/>
      <w:start w:val="1"/>
    </w:lvl>
  </w:abstractNum>
  <w:abstractNum w:abstractNumId="3">
    <w:nsid w:val="649BB77C"/>
    <w:multiLevelType w:val="hybridMultilevel"/>
    <w:lvl w:ilvl="0">
      <w:lvlJc w:val="left"/>
      <w:lvlText w:val="*"/>
      <w:numFmt w:val="bullet"/>
      <w:start w:val="1"/>
    </w:lvl>
  </w:abstractNum>
  <w:abstractNum w:abstractNumId="4">
    <w:nsid w:val="275AC794"/>
    <w:multiLevelType w:val="hybridMultilevel"/>
    <w:lvl w:ilvl="0">
      <w:lvlJc w:val="left"/>
      <w:lvlText w:val="**"/>
      <w:numFmt w:val="bullet"/>
      <w:start w:val="1"/>
    </w:lvl>
  </w:abstractNum>
  <w:abstractNum w:abstractNumId="5">
    <w:nsid w:val="39386575"/>
    <w:multiLevelType w:val="hybridMultilevel"/>
    <w:lvl w:ilvl="0">
      <w:lvlJc w:val="left"/>
      <w:lvlText w:val="***"/>
      <w:numFmt w:val="bullet"/>
      <w:start w:val="1"/>
    </w:lvl>
  </w:abstractNum>
  <w:abstractNum w:abstractNumId="6">
    <w:nsid w:val="1CF10FD8"/>
    <w:multiLevelType w:val="hybridMultilevel"/>
    <w:lvl w:ilvl="0">
      <w:lvlJc w:val="left"/>
      <w:lvlText w:val="(%1)"/>
      <w:numFmt w:val="decimal"/>
      <w:start w:val="1"/>
    </w:lvl>
  </w:abstractNum>
  <w:abstractNum w:abstractNumId="7">
    <w:nsid w:val="180115BE"/>
    <w:multiLevelType w:val="hybridMultilevel"/>
    <w:lvl w:ilvl="0">
      <w:lvlJc w:val="left"/>
      <w:lvlText w:val="(%1)"/>
      <w:numFmt w:val="decimal"/>
      <w:start w:val="17"/>
    </w:lvl>
  </w:abstractNum>
  <w:abstractNum w:abstractNumId="8">
    <w:nsid w:val="235BA861"/>
    <w:multiLevelType w:val="hybridMultilevel"/>
    <w:lvl w:ilvl="0">
      <w:lvlJc w:val="left"/>
      <w:lvlText w:val="*"/>
      <w:numFmt w:val="bullet"/>
      <w:start w:val="1"/>
    </w:lvl>
  </w:abstractNum>
  <w:abstractNum w:abstractNumId="9">
    <w:nsid w:val="47398C89"/>
    <w:multiLevelType w:val="hybridMultilevel"/>
    <w:lvl w:ilvl="0">
      <w:lvlJc w:val="left"/>
      <w:lvlText w:val="**"/>
      <w:numFmt w:val="bullet"/>
      <w:start w:val="1"/>
    </w:lvl>
  </w:abstractNum>
  <w:abstractNum w:abstractNumId="10">
    <w:nsid w:val="354FE9F9"/>
    <w:multiLevelType w:val="hybridMultilevel"/>
    <w:lvl w:ilvl="0">
      <w:lvlJc w:val="left"/>
      <w:lvlText w:val="***"/>
      <w:numFmt w:val="bullet"/>
      <w:start w:val="1"/>
    </w:lvl>
  </w:abstractNum>
  <w:abstractNum w:abstractNumId="11">
    <w:nsid w:val="15B5AF5C"/>
    <w:multiLevelType w:val="hybridMultilevel"/>
    <w:lvl w:ilvl="0">
      <w:lvlJc w:val="left"/>
      <w:lvlText w:val="(%1)"/>
      <w:numFmt w:val="decimal"/>
      <w:start w:val="1"/>
    </w:lvl>
  </w:abstractNum>
  <w:abstractNum w:abstractNumId="12">
    <w:nsid w:val="741226BB"/>
    <w:multiLevelType w:val="hybridMultilevel"/>
    <w:lvl w:ilvl="0">
      <w:lvlJc w:val="left"/>
      <w:lvlText w:val="(%1)"/>
      <w:numFmt w:val="decimal"/>
      <w:start w:val="3"/>
    </w:lvl>
  </w:abstractNum>
  <w:abstractNum w:abstractNumId="13">
    <w:nsid w:val="D34B6A8"/>
    <w:multiLevelType w:val="hybridMultilevel"/>
    <w:lvl w:ilvl="0">
      <w:lvlJc w:val="left"/>
      <w:lvlText w:val="%1."/>
      <w:numFmt w:val="decimal"/>
      <w:start w:val="1"/>
    </w:lvl>
  </w:abstractNum>
  <w:abstractNum w:abstractNumId="14">
    <w:nsid w:val="10233C99"/>
    <w:multiLevelType w:val="hybridMultilevel"/>
    <w:lvl w:ilvl="0">
      <w:lvlJc w:val="left"/>
      <w:lvlText w:val="%1."/>
      <w:numFmt w:val="decimal"/>
      <w:start w:val="5"/>
    </w:lvl>
  </w:abstractNum>
  <w:abstractNum w:abstractNumId="15">
    <w:nsid w:val="3F6AB60F"/>
    <w:multiLevelType w:val="hybridMultilevel"/>
    <w:lvl w:ilvl="0">
      <w:lvlJc w:val="left"/>
      <w:lvlText w:val="(%1)"/>
      <w:numFmt w:val="decimal"/>
      <w:start w:val="1"/>
    </w:lvl>
  </w:abstractNum>
  <w:abstractNum w:abstractNumId="16">
    <w:nsid w:val="61574095"/>
    <w:multiLevelType w:val="hybridMultilevel"/>
    <w:lvl w:ilvl="0">
      <w:lvlJc w:val="left"/>
      <w:lvlText w:val="(%1)"/>
      <w:numFmt w:val="decimal"/>
      <w:start w:val="1"/>
    </w:lvl>
  </w:abstractNum>
  <w:abstractNum w:abstractNumId="17">
    <w:nsid w:val="7E0C57B1"/>
    <w:multiLevelType w:val="hybridMultilevel"/>
    <w:lvl w:ilvl="0">
      <w:lvlJc w:val="left"/>
      <w:lvlText w:val="(%1)"/>
      <w:numFmt w:val="decimal"/>
      <w:start w:val="3"/>
    </w:lvl>
  </w:abstractNum>
  <w:abstractNum w:abstractNumId="18">
    <w:nsid w:val="77AE35EB"/>
    <w:multiLevelType w:val="hybridMultilevel"/>
    <w:lvl w:ilvl="0">
      <w:lvlJc w:val="left"/>
      <w:lvlText w:val="(%1)"/>
      <w:numFmt w:val="decimal"/>
      <w:start w:val="1"/>
    </w:lvl>
  </w:abstractNum>
  <w:abstractNum w:abstractNumId="19">
    <w:nsid w:val="579BE4F1"/>
    <w:multiLevelType w:val="hybridMultilevel"/>
    <w:lvl w:ilvl="0">
      <w:lvlJc w:val="left"/>
      <w:lvlText w:val="(%1)"/>
      <w:numFmt w:val="decimal"/>
      <w:start w:val="3"/>
    </w:lvl>
  </w:abstractNum>
  <w:abstractNum w:abstractNumId="20">
    <w:nsid w:val="310C50B3"/>
    <w:multiLevelType w:val="hybridMultilevel"/>
    <w:lvl w:ilvl="0">
      <w:lvlJc w:val="left"/>
      <w:lvlText w:val="*"/>
      <w:numFmt w:val="bullet"/>
      <w:start w:val="1"/>
    </w:lvl>
  </w:abstractNum>
  <w:abstractNum w:abstractNumId="21">
    <w:nsid w:val="5FF87E05"/>
    <w:multiLevelType w:val="hybridMultilevel"/>
    <w:lvl w:ilvl="0">
      <w:lvlJc w:val="left"/>
      <w:lvlText w:val="**"/>
      <w:numFmt w:val="bullet"/>
      <w:start w:val="1"/>
    </w:lvl>
  </w:abstractNum>
  <w:abstractNum w:abstractNumId="22">
    <w:nsid w:val="2F305DEF"/>
    <w:multiLevelType w:val="hybridMultilevel"/>
    <w:lvl w:ilvl="0">
      <w:lvlJc w:val="left"/>
      <w:lvlText w:val="***"/>
      <w:numFmt w:val="bullet"/>
      <w:start w:val="1"/>
    </w:lvl>
  </w:abstractNum>
  <w:abstractNum w:abstractNumId="23">
    <w:nsid w:val="25A70BF7"/>
    <w:multiLevelType w:val="hybridMultilevel"/>
    <w:lvl w:ilvl="0">
      <w:lvlJc w:val="left"/>
      <w:lvlText w:val="(%1)"/>
      <w:numFmt w:val="decimal"/>
      <w:start w:val="1"/>
    </w:lvl>
  </w:abstractNum>
  <w:abstractNum w:abstractNumId="24">
    <w:nsid w:val="1DBABF00"/>
    <w:multiLevelType w:val="hybridMultilevel"/>
    <w:lvl w:ilvl="0">
      <w:lvlJc w:val="left"/>
      <w:lvlText w:val="(%1)"/>
      <w:numFmt w:val="decimal"/>
      <w:start w:val="2"/>
    </w:lvl>
  </w:abstractNum>
  <w:abstractNum w:abstractNumId="25">
    <w:nsid w:val="4AD084E9"/>
    <w:multiLevelType w:val="hybridMultilevel"/>
    <w:lvl w:ilvl="0">
      <w:lvlJc w:val="left"/>
      <w:lvlText w:val="*"/>
      <w:numFmt w:val="bullet"/>
      <w:start w:val="1"/>
    </w:lvl>
  </w:abstractNum>
  <w:abstractNum w:abstractNumId="26">
    <w:nsid w:val="1F48EAA1"/>
    <w:multiLevelType w:val="hybridMultilevel"/>
    <w:lvl w:ilvl="0">
      <w:lvlJc w:val="left"/>
      <w:lvlText w:val="**"/>
      <w:numFmt w:val="bullet"/>
      <w:start w:val="1"/>
    </w:lvl>
  </w:abstractNum>
  <w:abstractNum w:abstractNumId="27">
    <w:nsid w:val="1381823A"/>
    <w:multiLevelType w:val="hybridMultilevel"/>
    <w:lvl w:ilvl="0">
      <w:lvlJc w:val="left"/>
      <w:lvlText w:val="***"/>
      <w:numFmt w:val="bullet"/>
      <w:start w:val="1"/>
    </w:lvl>
  </w:abstractNum>
  <w:abstractNum w:abstractNumId="28">
    <w:nsid w:val="5DB70AE5"/>
    <w:multiLevelType w:val="hybridMultilevel"/>
    <w:lvl w:ilvl="0">
      <w:lvlJc w:val="left"/>
      <w:lvlText w:val="(%1)"/>
      <w:numFmt w:val="decimal"/>
      <w:start w:val="1"/>
    </w:lvl>
  </w:abstractNum>
  <w:abstractNum w:abstractNumId="29">
    <w:nsid w:val="100F8FCA"/>
    <w:multiLevelType w:val="hybridMultilevel"/>
    <w:lvl w:ilvl="0">
      <w:lvlJc w:val="left"/>
      <w:lvlText w:val="(%1)"/>
      <w:numFmt w:val="decimal"/>
      <w:start w:val="3"/>
    </w:lvl>
  </w:abstractNum>
  <w:abstractNum w:abstractNumId="30">
    <w:nsid w:val="6590700B"/>
    <w:multiLevelType w:val="hybridMultilevel"/>
    <w:lvl w:ilvl="0">
      <w:lvlJc w:val="left"/>
      <w:lvlText w:val="(%1)"/>
      <w:numFmt w:val="decimal"/>
      <w:start w:val="1"/>
    </w:lvl>
  </w:abstractNum>
  <w:abstractNum w:abstractNumId="31">
    <w:nsid w:val="15014ACB"/>
    <w:multiLevelType w:val="hybridMultilevel"/>
    <w:lvl w:ilvl="0">
      <w:lvlJc w:val="left"/>
      <w:lvlText w:val="(%1)"/>
      <w:numFmt w:val="decimal"/>
      <w:start w:val="1"/>
    </w:lvl>
  </w:abstractNum>
  <w:abstractNum w:abstractNumId="32">
    <w:nsid w:val="5F5E7FD0"/>
    <w:multiLevelType w:val="hybridMultilevel"/>
    <w:lvl w:ilvl="0">
      <w:lvlJc w:val="left"/>
      <w:lvlText w:val="(%1)"/>
      <w:numFmt w:val="lowerRoman"/>
      <w:start w:val="2"/>
    </w:lvl>
  </w:abstractNum>
  <w:abstractNum w:abstractNumId="33">
    <w:nsid w:val="98A3148"/>
    <w:multiLevelType w:val="hybridMultilevel"/>
    <w:lvl w:ilvl="0">
      <w:lvlJc w:val="left"/>
      <w:lvlText w:val="&amp;"/>
      <w:numFmt w:val="bullet"/>
      <w:start w:val="1"/>
    </w:lvl>
  </w:abstractNum>
  <w:abstractNum w:abstractNumId="34">
    <w:nsid w:val="799D0247"/>
    <w:multiLevelType w:val="hybridMultilevel"/>
    <w:lvl w:ilvl="0">
      <w:lvlJc w:val="left"/>
      <w:lvlText w:val="(%1)"/>
      <w:numFmt w:val="decimal"/>
      <w:start w:val="1"/>
    </w:lvl>
  </w:abstractNum>
  <w:abstractNum w:abstractNumId="35">
    <w:nsid w:val="6B94764"/>
    <w:multiLevelType w:val="hybridMultilevel"/>
    <w:lvl w:ilvl="0">
      <w:lvlJc w:val="left"/>
      <w:lvlText w:val="(%1)"/>
      <w:numFmt w:val="decimal"/>
      <w:start w:val="1"/>
    </w:lvl>
  </w:abstractNum>
  <w:abstractNum w:abstractNumId="36">
    <w:nsid w:val="42C296BD"/>
    <w:multiLevelType w:val="hybridMultilevel"/>
    <w:lvl w:ilvl="0">
      <w:lvlJc w:val="left"/>
      <w:lvlText w:val="•"/>
      <w:numFmt w:val="bullet"/>
      <w:start w:val="1"/>
    </w:lvl>
  </w:abstractNum>
  <w:abstractNum w:abstractNumId="37">
    <w:nsid w:val="168E121F"/>
    <w:multiLevelType w:val="hybridMultilevel"/>
    <w:lvl w:ilvl="0">
      <w:lvlJc w:val="left"/>
      <w:lvlText w:val="•"/>
      <w:numFmt w:val="bullet"/>
      <w:start w:val="1"/>
    </w:lvl>
  </w:abstractNum>
  <w:abstractNum w:abstractNumId="38">
    <w:nsid w:val="1EBA5D23"/>
    <w:multiLevelType w:val="hybridMultilevel"/>
    <w:lvl w:ilvl="0">
      <w:lvlJc w:val="left"/>
      <w:lvlText w:val="(%1)"/>
      <w:numFmt w:val="decimal"/>
      <w:start w:val="1"/>
    </w:lvl>
  </w:abstractNum>
  <w:abstractNum w:abstractNumId="39">
    <w:nsid w:val="661E3F1E"/>
    <w:multiLevelType w:val="hybridMultilevel"/>
    <w:lvl w:ilvl="0">
      <w:lvlJc w:val="left"/>
      <w:lvlText w:val="(%1)"/>
      <w:numFmt w:val="decimal"/>
      <w:start w:val="1"/>
    </w:lvl>
  </w:abstractNum>
  <w:abstractNum w:abstractNumId="40">
    <w:nsid w:val="5DC79EA8"/>
    <w:multiLevelType w:val="hybridMultilevel"/>
    <w:lvl w:ilvl="0">
      <w:lvlJc w:val="left"/>
      <w:lvlText w:val="(%1)"/>
      <w:numFmt w:val="decimal"/>
      <w:start w:val="4"/>
    </w:lvl>
  </w:abstractNum>
  <w:abstractNum w:abstractNumId="41">
    <w:nsid w:val="540A471C"/>
    <w:multiLevelType w:val="hybridMultilevel"/>
    <w:lvl w:ilvl="0">
      <w:lvlJc w:val="left"/>
      <w:lvlText w:val="(%1)"/>
      <w:numFmt w:val="decimal"/>
      <w:start w:val="1"/>
    </w:lvl>
  </w:abstractNum>
  <w:abstractNum w:abstractNumId="42">
    <w:nsid w:val="7BD3EE7B"/>
    <w:multiLevelType w:val="hybridMultilevel"/>
    <w:lvl w:ilvl="0">
      <w:lvlJc w:val="left"/>
      <w:lvlText w:val="(%1)"/>
      <w:numFmt w:val="decimal"/>
      <w:start w:val="1"/>
    </w:lvl>
  </w:abstractNum>
  <w:abstractNum w:abstractNumId="43">
    <w:nsid w:val="51D9C564"/>
    <w:multiLevelType w:val="hybridMultilevel"/>
    <w:lvl w:ilvl="0">
      <w:lvlJc w:val="left"/>
      <w:lvlText w:val="(%1)"/>
      <w:numFmt w:val="decimal"/>
      <w:start w:val="1"/>
    </w:lvl>
  </w:abstractNum>
  <w:abstractNum w:abstractNumId="44">
    <w:nsid w:val="613EFDC5"/>
    <w:multiLevelType w:val="hybridMultilevel"/>
    <w:lvl w:ilvl="0">
      <w:lvlJc w:val="left"/>
      <w:lvlText w:val="(%1)"/>
      <w:numFmt w:val="decimal"/>
      <w:start w:val="1"/>
    </w:lvl>
  </w:abstractNum>
  <w:abstractNum w:abstractNumId="45">
    <w:nsid w:val="BF72B14"/>
    <w:multiLevelType w:val="hybridMultilevel"/>
    <w:lvl w:ilvl="0">
      <w:lvlJc w:val="left"/>
      <w:lvlText w:val="(%1)"/>
      <w:numFmt w:val="decimal"/>
      <w:start w:val="7"/>
    </w:lvl>
  </w:abstractNum>
  <w:abstractNum w:abstractNumId="46">
    <w:nsid w:val="11447B73"/>
    <w:multiLevelType w:val="hybridMultilevel"/>
    <w:lvl w:ilvl="0">
      <w:lvlJc w:val="left"/>
      <w:lvlText w:val="(%1)"/>
      <w:numFmt w:val="decimal"/>
      <w:start w:val="1"/>
    </w:lvl>
  </w:abstractNum>
  <w:abstractNum w:abstractNumId="47">
    <w:nsid w:val="42963E5A"/>
    <w:multiLevelType w:val="hybridMultilevel"/>
    <w:lvl w:ilvl="0">
      <w:lvlJc w:val="left"/>
      <w:lvlText w:val="(%1)"/>
      <w:numFmt w:val="decimal"/>
      <w:start w:val="1"/>
    </w:lvl>
  </w:abstractNum>
  <w:abstractNum w:abstractNumId="48">
    <w:nsid w:val="A0382C5"/>
    <w:multiLevelType w:val="hybridMultilevel"/>
    <w:lvl w:ilvl="0">
      <w:lvlJc w:val="left"/>
      <w:lvlText w:val="%1."/>
      <w:numFmt w:val="decimal"/>
      <w:start w:val="1"/>
    </w:lvl>
  </w:abstractNum>
  <w:abstractNum w:abstractNumId="49">
    <w:nsid w:val="8F2B15E"/>
    <w:multiLevelType w:val="hybridMultilevel"/>
    <w:lvl w:ilvl="0">
      <w:lvlJc w:val="left"/>
      <w:lvlText w:val="%1."/>
      <w:numFmt w:val="decimal"/>
      <w:start w:val="4"/>
    </w:lvl>
    <w:lvl w:ilvl="1">
      <w:lvlJc w:val="left"/>
      <w:lvlText w:val="%2."/>
      <w:numFmt w:val="lowerLetter"/>
      <w:start w:val="2"/>
    </w:lvl>
    <w:lvl w:ilvl="2">
      <w:lvlJc w:val="left"/>
      <w:lvlText w:val="%3."/>
      <w:numFmt w:val="lowerLetter"/>
      <w:start w:val="1"/>
    </w:lvl>
  </w:abstractNum>
  <w:abstractNum w:abstractNumId="50">
    <w:nsid w:val="1A32234B"/>
    <w:multiLevelType w:val="hybridMultilevel"/>
    <w:lvl w:ilvl="0">
      <w:lvlJc w:val="left"/>
      <w:lvlText w:val="%1"/>
      <w:numFmt w:val="decimal"/>
      <w:start w:val="1"/>
    </w:lvl>
    <w:lvl w:ilvl="1">
      <w:lvlJc w:val="left"/>
      <w:lvlText w:val="-"/>
      <w:numFmt w:val="bullet"/>
      <w:start w:val="1"/>
    </w:lvl>
    <w:lvl w:ilvl="2">
      <w:lvlJc w:val="left"/>
      <w:lvlText w:val="%3."/>
      <w:numFmt w:val="lowerLetter"/>
      <w:start w:val="4"/>
    </w:lvl>
  </w:abstractNum>
  <w:abstractNum w:abstractNumId="51">
    <w:nsid w:val="3B0FD379"/>
    <w:multiLevelType w:val="hybridMultilevel"/>
    <w:lvl w:ilvl="0">
      <w:lvlJc w:val="left"/>
      <w:lvlText w:val="%1."/>
      <w:numFmt w:val="decimal"/>
      <w:start w:val="1"/>
    </w:lvl>
    <w:lvl w:ilvl="1">
      <w:lvlJc w:val="left"/>
      <w:lvlText w:val="-"/>
      <w:numFmt w:val="bullet"/>
      <w:start w:val="1"/>
    </w:lvl>
    <w:lvl w:ilvl="2">
      <w:lvlJc w:val="left"/>
      <w:lvlText w:val="%3."/>
      <w:numFmt w:val="lowerLetter"/>
      <w:start w:val="1"/>
    </w:lvl>
  </w:abstractNum>
  <w:abstractNum w:abstractNumId="52">
    <w:nsid w:val="68EB2F63"/>
    <w:multiLevelType w:val="hybridMultilevel"/>
    <w:lvl w:ilvl="0">
      <w:lvlJc w:val="left"/>
      <w:lvlText w:val="%1."/>
      <w:numFmt w:val="decimal"/>
      <w:start w:val="2"/>
    </w:lvl>
    <w:lvl w:ilvl="1">
      <w:lvlJc w:val="left"/>
      <w:lvlText w:val="%2."/>
      <w:numFmt w:val="lowerRoman"/>
      <w:start w:val="1"/>
    </w:lvl>
    <w:lvl w:ilvl="2">
      <w:lvlJc w:val="left"/>
      <w:lvlText w:val="-"/>
      <w:numFmt w:val="bullet"/>
      <w:start w:val="1"/>
    </w:lvl>
  </w:abstractNum>
  <w:abstractNum w:abstractNumId="53">
    <w:nsid w:val="4962813B"/>
    <w:multiLevelType w:val="hybridMultilevel"/>
    <w:lvl w:ilvl="0">
      <w:lvlJc w:val="left"/>
      <w:lvlText w:val="%1."/>
      <w:numFmt w:val="lowerRoman"/>
      <w:start w:val="3"/>
    </w:lvl>
    <w:lvl w:ilvl="1">
      <w:lvlJc w:val="left"/>
      <w:lvlText w:val="(%2)"/>
      <w:numFmt w:val="upperLetter"/>
      <w:start w:val="28"/>
    </w:lvl>
  </w:abstractNum>
  <w:abstractNum w:abstractNumId="54">
    <w:nsid w:val="60B6DF70"/>
    <w:multiLevelType w:val="hybridMultilevel"/>
    <w:lvl w:ilvl="0">
      <w:lvlJc w:val="left"/>
      <w:lvlText w:val="%1."/>
      <w:numFmt w:val="lowerRoman"/>
      <w:start w:val="4"/>
    </w:lvl>
    <w:lvl w:ilvl="1">
      <w:lvlJc w:val="left"/>
      <w:lvlText w:val="-"/>
      <w:numFmt w:val="bullet"/>
      <w:start w:val="1"/>
    </w:lvl>
  </w:abstractNum>
  <w:abstractNum w:abstractNumId="55">
    <w:nsid w:val="6A5EE64"/>
    <w:multiLevelType w:val="hybridMultilevel"/>
    <w:lvl w:ilvl="0">
      <w:lvlJc w:val="left"/>
      <w:lvlText w:val="%1."/>
      <w:numFmt w:val="lowerRoman"/>
      <w:start w:val="5"/>
    </w:lvl>
  </w:abstractNum>
  <w:abstractNum w:abstractNumId="56">
    <w:nsid w:val="14330624"/>
    <w:multiLevelType w:val="hybridMultilevel"/>
    <w:lvl w:ilvl="0">
      <w:lvlJc w:val="left"/>
      <w:lvlText w:val="%1."/>
      <w:numFmt w:val="lowerRoman"/>
      <w:start w:val="6"/>
    </w:lvl>
    <w:lvl w:ilvl="1">
      <w:lvlJc w:val="left"/>
      <w:lvlText w:val="-"/>
      <w:numFmt w:val="bullet"/>
      <w:start w:val="1"/>
    </w:lvl>
    <w:lvl w:ilvl="2">
      <w:lvlJc w:val="left"/>
      <w:lvlText w:val="%3."/>
      <w:numFmt w:val="lowerLetter"/>
      <w:start w:val="1"/>
    </w:lvl>
  </w:abstractNum>
  <w:abstractNum w:abstractNumId="57">
    <w:nsid w:val="7FFFCA11"/>
    <w:multiLevelType w:val="hybridMultilevel"/>
    <w:lvl w:ilvl="0">
      <w:lvlJc w:val="left"/>
      <w:lvlText w:val="%1."/>
      <w:numFmt w:val="lowerLetter"/>
      <w:start w:val="3"/>
    </w:lvl>
  </w:abstractNum>
  <w:abstractNum w:abstractNumId="58">
    <w:nsid w:val="1A27709E"/>
    <w:multiLevelType w:val="hybridMultilevel"/>
    <w:lvl w:ilvl="0">
      <w:lvlJc w:val="left"/>
      <w:lvlText w:val="(%1)"/>
      <w:numFmt w:val="lowerRoman"/>
      <w:start w:val="1"/>
    </w:lvl>
  </w:abstractNum>
  <w:abstractNum w:abstractNumId="59">
    <w:nsid w:val="71EA1109"/>
    <w:multiLevelType w:val="hybridMultilevel"/>
    <w:lvl w:ilvl="0">
      <w:lvlJc w:val="left"/>
      <w:lvlText w:val="%1"/>
      <w:numFmt w:val="decimal"/>
      <w:start w:val="1"/>
    </w:lvl>
    <w:lvl w:ilvl="1">
      <w:lvlJc w:val="left"/>
      <w:lvlText w:val="%2."/>
      <w:numFmt w:val="lowerRoman"/>
      <w:start w:val="7"/>
    </w:lvl>
    <w:lvl w:ilvl="2">
      <w:lvlJc w:val="left"/>
      <w:lvlText w:val="-"/>
      <w:numFmt w:val="bullet"/>
      <w:start w:val="1"/>
    </w:lvl>
  </w:abstractNum>
  <w:abstractNum w:abstractNumId="60">
    <w:nsid w:val="100F59DC"/>
    <w:multiLevelType w:val="hybridMultilevel"/>
    <w:lvl w:ilvl="0">
      <w:lvlJc w:val="left"/>
      <w:lvlText w:val="%1."/>
      <w:numFmt w:val="decimal"/>
      <w:start w:val="5"/>
    </w:lvl>
    <w:lvl w:ilvl="1">
      <w:lvlJc w:val="left"/>
      <w:lvlText w:val="%2"/>
      <w:numFmt w:val="lowerRoman"/>
      <w:start w:val="1"/>
    </w:lvl>
    <w:lvl w:ilvl="2">
      <w:lvlJc w:val="left"/>
      <w:lvlText w:val="-"/>
      <w:numFmt w:val="bullet"/>
      <w:start w:val="1"/>
    </w:lvl>
  </w:abstractNum>
  <w:abstractNum w:abstractNumId="61">
    <w:nsid w:val="7FB7E0AA"/>
    <w:multiLevelType w:val="hybridMultilevel"/>
    <w:lvl w:ilvl="0">
      <w:lvlJc w:val="left"/>
      <w:lvlText w:val="%1."/>
      <w:numFmt w:val="decimal"/>
      <w:start w:val="6"/>
    </w:lvl>
    <w:lvl w:ilvl="1">
      <w:lvlJc w:val="left"/>
      <w:lvlText w:val="%2."/>
      <w:numFmt w:val="lowerRoman"/>
      <w:start w:val="10"/>
    </w:lvl>
    <w:lvl w:ilvl="2">
      <w:lvlJc w:val="left"/>
      <w:lvlText w:val="(%3)"/>
      <w:numFmt w:val="lowerLetter"/>
      <w:start w:val="1"/>
    </w:lvl>
  </w:abstractNum>
  <w:abstractNum w:abstractNumId="62">
    <w:nsid w:val="6EB5BD4"/>
    <w:multiLevelType w:val="hybridMultilevel"/>
    <w:lvl w:ilvl="0">
      <w:lvlJc w:val="left"/>
      <w:lvlText w:val="%1."/>
      <w:numFmt w:val="decimal"/>
      <w:start w:val="7"/>
    </w:lvl>
    <w:lvl w:ilvl="1">
      <w:lvlJc w:val="left"/>
      <w:lvlText w:val="-"/>
      <w:numFmt w:val="bullet"/>
      <w:start w:val="1"/>
    </w:lvl>
  </w:abstractNum>
  <w:abstractNum w:abstractNumId="63">
    <w:nsid w:val="6F6DD9AC"/>
    <w:multiLevelType w:val="hybridMultilevel"/>
    <w:lvl w:ilvl="0">
      <w:lvlJc w:val="left"/>
      <w:lvlText w:val="%1."/>
      <w:numFmt w:val="decimal"/>
      <w:start w:val="13"/>
    </w:lvl>
  </w:abstractNum>
  <w:abstractNum w:abstractNumId="64">
    <w:nsid w:val="94211F2"/>
    <w:multiLevelType w:val="hybridMultilevel"/>
    <w:lvl w:ilvl="0">
      <w:lvlJc w:val="left"/>
      <w:lvlText w:val="%1."/>
      <w:numFmt w:val="decimal"/>
      <w:start w:val="15"/>
    </w:lvl>
    <w:lvl w:ilvl="1">
      <w:lvlJc w:val="left"/>
      <w:lvlText w:val="-"/>
      <w:numFmt w:val="bullet"/>
      <w:start w:val="1"/>
    </w:lvl>
  </w:abstractNum>
  <w:abstractNum w:abstractNumId="65">
    <w:nsid w:val="885E1B"/>
    <w:multiLevelType w:val="hybridMultilevel"/>
    <w:lvl w:ilvl="0">
      <w:lvlJc w:val="left"/>
      <w:lvlText w:val="%1."/>
      <w:numFmt w:val="decimal"/>
      <w:start w:val="17"/>
    </w:lvl>
  </w:abstractNum>
  <w:abstractNum w:abstractNumId="66">
    <w:nsid w:val="76272110"/>
    <w:multiLevelType w:val="hybridMultilevel"/>
    <w:lvl w:ilvl="0">
      <w:lvlJc w:val="left"/>
      <w:lvlText w:val="%1."/>
      <w:numFmt w:val="lowerRoman"/>
      <w:start w:val="13"/>
    </w:lvl>
  </w:abstractNum>
  <w:abstractNum w:abstractNumId="67">
    <w:nsid w:val="4C04A8AF"/>
    <w:multiLevelType w:val="hybridMultilevel"/>
    <w:lvl w:ilvl="0">
      <w:lvlJc w:val="left"/>
      <w:lvlText w:val="%1."/>
      <w:numFmt w:val="lowerRoman"/>
      <w:start w:val="14"/>
    </w:lvl>
    <w:lvl w:ilvl="1">
      <w:lvlJc w:val="left"/>
      <w:lvlText w:val="%2."/>
      <w:numFmt w:val="decimal"/>
      <w:start w:val="20"/>
    </w:lvl>
    <w:lvl w:ilvl="2">
      <w:lvlJc w:val="left"/>
      <w:lvlText w:val="-"/>
      <w:numFmt w:val="bullet"/>
      <w:start w:val="1"/>
    </w:lvl>
  </w:abstractNum>
  <w:abstractNum w:abstractNumId="68">
    <w:nsid w:val="1716703B"/>
    <w:multiLevelType w:val="hybridMultilevel"/>
    <w:lvl w:ilvl="0">
      <w:lvlJc w:val="left"/>
      <w:lvlText w:val="%1."/>
      <w:numFmt w:val="decimal"/>
      <w:start w:val="21"/>
    </w:lvl>
  </w:abstractNum>
  <w:abstractNum w:abstractNumId="69">
    <w:nsid w:val="14E17E33"/>
    <w:multiLevelType w:val="hybridMultilevel"/>
    <w:lvl w:ilvl="0">
      <w:lvlJc w:val="left"/>
      <w:lvlText w:val="%1."/>
      <w:numFmt w:val="decimal"/>
      <w:start w:val="1"/>
    </w:lvl>
    <w:lvl w:ilvl="1">
      <w:lvlJc w:val="left"/>
      <w:lvlText w:val="%2."/>
      <w:numFmt w:val="lowerLetter"/>
      <w:start w:val="1"/>
    </w:lvl>
  </w:abstractNum>
  <w:abstractNum w:abstractNumId="70">
    <w:nsid w:val="3222E7CD"/>
    <w:multiLevelType w:val="hybridMultilevel"/>
    <w:lvl w:ilvl="0">
      <w:lvlJc w:val="left"/>
      <w:lvlText w:val="%1."/>
      <w:numFmt w:val="decimal"/>
      <w:start w:val="3"/>
    </w:lvl>
    <w:lvl w:ilvl="1">
      <w:lvlJc w:val="left"/>
      <w:lvlText w:val="-"/>
      <w:numFmt w:val="bullet"/>
      <w:start w:val="1"/>
    </w:lvl>
    <w:lvl w:ilvl="2">
      <w:lvlJc w:val="left"/>
      <w:lvlText w:val="%3."/>
      <w:numFmt w:val="lowerLetter"/>
      <w:start w:val="1"/>
    </w:lvl>
  </w:abstractNum>
  <w:abstractNum w:abstractNumId="71">
    <w:nsid w:val="74DE0EE3"/>
    <w:multiLevelType w:val="hybridMultilevel"/>
    <w:lvl w:ilvl="0">
      <w:lvlJc w:val="left"/>
      <w:lvlText w:val="%1."/>
      <w:numFmt w:val="decimal"/>
      <w:start w:val="5"/>
    </w:lvl>
    <w:lvl w:ilvl="1">
      <w:lvlJc w:val="left"/>
      <w:lvlText w:val="-"/>
      <w:numFmt w:val="bullet"/>
      <w:start w:val="1"/>
    </w:lvl>
    <w:lvl w:ilvl="2">
      <w:lvlJc w:val="left"/>
      <w:lvlText w:val="%3."/>
      <w:numFmt w:val="lowerLetter"/>
      <w:start w:val="1"/>
    </w:lvl>
  </w:abstractNum>
  <w:abstractNum w:abstractNumId="72">
    <w:nsid w:val="68EBC550"/>
    <w:multiLevelType w:val="hybridMultilevel"/>
    <w:lvl w:ilvl="0">
      <w:lvlJc w:val="left"/>
      <w:lvlText w:val="%1"/>
      <w:numFmt w:val="decimal"/>
      <w:start w:val="1"/>
    </w:lvl>
    <w:lvl w:ilvl="1">
      <w:lvlJc w:val="left"/>
      <w:lvlText w:val="%2."/>
      <w:numFmt w:val="lowerRoman"/>
      <w:start w:val="1"/>
    </w:lvl>
    <w:lvl w:ilvl="2">
      <w:lvlJc w:val="left"/>
      <w:lvlText w:val="-"/>
      <w:numFmt w:val="bullet"/>
      <w:start w:val="1"/>
    </w:lvl>
  </w:abstractNum>
  <w:abstractNum w:abstractNumId="73">
    <w:nsid w:val="2DF6D648"/>
    <w:multiLevelType w:val="hybridMultilevel"/>
    <w:lvl w:ilvl="0">
      <w:lvlJc w:val="left"/>
      <w:lvlText w:val="%1."/>
      <w:numFmt w:val="decimal"/>
      <w:start w:val="10"/>
    </w:lvl>
    <w:lvl w:ilvl="1">
      <w:lvlJc w:val="left"/>
      <w:lvlText w:val="%2"/>
      <w:numFmt w:val="lowerRoman"/>
      <w:start w:val="1"/>
    </w:lvl>
    <w:lvl w:ilvl="2">
      <w:lvlJc w:val="left"/>
      <w:lvlText w:val="-"/>
      <w:numFmt w:val="bullet"/>
      <w:start w:val="1"/>
    </w:lvl>
  </w:abstractNum>
  <w:abstractNum w:abstractNumId="74">
    <w:nsid w:val="46B7D447"/>
    <w:multiLevelType w:val="hybridMultilevel"/>
    <w:lvl w:ilvl="0">
      <w:lvlJc w:val="left"/>
      <w:lvlText w:val="%1."/>
      <w:numFmt w:val="decimal"/>
      <w:start w:val="15"/>
    </w:lvl>
  </w:abstractNum>
  <w:abstractNum w:abstractNumId="75">
    <w:nsid w:val="4A2AC315"/>
    <w:multiLevelType w:val="hybridMultilevel"/>
    <w:lvl w:ilvl="0">
      <w:lvlJc w:val="left"/>
      <w:lvlText w:val="%1."/>
      <w:numFmt w:val="decimal"/>
      <w:start w:val="1"/>
    </w:lvl>
  </w:abstractNum>
  <w:abstractNum w:abstractNumId="76">
    <w:nsid w:val="39EE015C"/>
    <w:multiLevelType w:val="hybridMultilevel"/>
    <w:lvl w:ilvl="0">
      <w:lvlJc w:val="left"/>
      <w:lvlText w:val="%1."/>
      <w:numFmt w:val="decimal"/>
      <w:start w:val="4"/>
    </w:lvl>
    <w:lvl w:ilvl="1">
      <w:lvlJc w:val="left"/>
      <w:lvlText w:val="%2."/>
      <w:numFmt w:val="lowerLetter"/>
      <w:start w:val="2"/>
    </w:lvl>
    <w:lvl w:ilvl="2">
      <w:lvlJc w:val="left"/>
      <w:lvlText w:val="%3."/>
      <w:numFmt w:val="lowerLetter"/>
      <w:start w:val="1"/>
    </w:lvl>
  </w:abstractNum>
  <w:abstractNum w:abstractNumId="77">
    <w:nsid w:val="57FC4FBB"/>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4"/>
    </w:lvl>
  </w:abstractNum>
  <w:abstractNum w:abstractNumId="78">
    <w:nsid w:val="CC1016F"/>
    <w:multiLevelType w:val="hybridMultilevel"/>
    <w:lvl w:ilvl="0">
      <w:lvlJc w:val="left"/>
      <w:lvlText w:val="%1."/>
      <w:numFmt w:val="decimal"/>
      <w:start w:val="1"/>
    </w:lvl>
    <w:lvl w:ilvl="1">
      <w:lvlJc w:val="left"/>
      <w:lvlText w:val="%2."/>
      <w:numFmt w:val="lowerLetter"/>
      <w:start w:val="1"/>
    </w:lvl>
  </w:abstractNum>
  <w:abstractNum w:abstractNumId="79">
    <w:nsid w:val="43F18422"/>
    <w:multiLevelType w:val="hybridMultilevel"/>
    <w:lvl w:ilvl="0">
      <w:lvlJc w:val="left"/>
      <w:lvlText w:val="%1"/>
      <w:numFmt w:val="decimal"/>
      <w:start w:val="1"/>
    </w:lvl>
    <w:lvl w:ilvl="1">
      <w:lvlJc w:val="left"/>
      <w:lvlText w:val="%2"/>
      <w:numFmt w:val="lowerRoman"/>
      <w:start w:val="1"/>
    </w:lvl>
    <w:lvl w:ilvl="2">
      <w:lvlJc w:val="left"/>
      <w:lvlText w:val="%3."/>
      <w:numFmt w:val="lowerLetter"/>
      <w:start w:val="2"/>
    </w:lvl>
  </w:abstractNum>
  <w:abstractNum w:abstractNumId="80">
    <w:nsid w:val="60EF0119"/>
    <w:multiLevelType w:val="hybridMultilevel"/>
    <w:lvl w:ilvl="0">
      <w:lvlJc w:val="left"/>
      <w:lvlText w:val="%1."/>
      <w:numFmt w:val="decimal"/>
      <w:start w:val="2"/>
    </w:lvl>
    <w:lvl w:ilvl="1">
      <w:lvlJc w:val="left"/>
      <w:lvlText w:val="%2."/>
      <w:numFmt w:val="lowerRoman"/>
      <w:start w:val="1"/>
    </w:lvl>
    <w:lvl w:ilvl="2">
      <w:lvlJc w:val="left"/>
      <w:lvlText w:val="%3"/>
      <w:numFmt w:val="lowerLetter"/>
      <w:start w:val="1"/>
    </w:lvl>
  </w:abstractNum>
  <w:abstractNum w:abstractNumId="81">
    <w:nsid w:val="26F324BA"/>
    <w:multiLevelType w:val="hybridMultilevel"/>
    <w:lvl w:ilvl="0">
      <w:lvlJc w:val="left"/>
      <w:lvlText w:val="%1."/>
      <w:numFmt w:val="lowerRoman"/>
      <w:start w:val="3"/>
    </w:lvl>
    <w:lvl w:ilvl="1">
      <w:lvlJc w:val="left"/>
      <w:lvlText w:val="(%2)"/>
      <w:numFmt w:val="upperLetter"/>
      <w:start w:val="28"/>
    </w:lvl>
  </w:abstractNum>
  <w:abstractNum w:abstractNumId="82">
    <w:nsid w:val="7F01579B"/>
    <w:multiLevelType w:val="hybridMultilevel"/>
    <w:lvl w:ilvl="0">
      <w:lvlJc w:val="left"/>
      <w:lvlText w:val="%1."/>
      <w:numFmt w:val="lowerRoman"/>
      <w:start w:val="4"/>
    </w:lvl>
  </w:abstractNum>
  <w:abstractNum w:abstractNumId="83">
    <w:nsid w:val="49DA307D"/>
    <w:multiLevelType w:val="hybridMultilevel"/>
    <w:lvl w:ilvl="0">
      <w:lvlJc w:val="left"/>
      <w:lvlText w:val="%1."/>
      <w:numFmt w:val="lowerRoman"/>
      <w:start w:val="5"/>
    </w:lvl>
  </w:abstractNum>
  <w:abstractNum w:abstractNumId="84">
    <w:nsid w:val="7055A5F5"/>
    <w:multiLevelType w:val="hybridMultilevel"/>
    <w:lvl w:ilvl="0">
      <w:lvlJc w:val="left"/>
      <w:lvlText w:val="%1."/>
      <w:numFmt w:val="lowerRoman"/>
      <w:start w:val="6"/>
    </w:lvl>
    <w:lvl w:ilvl="1">
      <w:lvlJc w:val="left"/>
      <w:lvlText w:val="%2."/>
      <w:numFmt w:val="lowerLetter"/>
      <w:start w:val="1"/>
    </w:lvl>
  </w:abstractNum>
  <w:abstractNum w:abstractNumId="85">
    <w:nsid w:val="5FB8370B"/>
    <w:multiLevelType w:val="hybridMultilevel"/>
    <w:lvl w:ilvl="0">
      <w:lvlJc w:val="left"/>
      <w:lvlText w:val="%1."/>
      <w:numFmt w:val="lowerLetter"/>
      <w:start w:val="2"/>
    </w:lvl>
  </w:abstractNum>
  <w:abstractNum w:abstractNumId="86">
    <w:nsid w:val="50801EE1"/>
    <w:multiLevelType w:val="hybridMultilevel"/>
    <w:lvl w:ilvl="0">
      <w:lvlJc w:val="left"/>
      <w:lvlText w:val="(%1)"/>
      <w:numFmt w:val="lowerRoman"/>
      <w:start w:val="1"/>
    </w:lvl>
  </w:abstractNum>
  <w:abstractNum w:abstractNumId="87">
    <w:nsid w:val="488AC1A"/>
    <w:multiLevelType w:val="hybridMultilevel"/>
    <w:lvl w:ilvl="0">
      <w:lvlJc w:val="left"/>
      <w:lvlText w:val="%1"/>
      <w:numFmt w:val="decimal"/>
      <w:start w:val="1"/>
    </w:lvl>
    <w:lvl w:ilvl="1">
      <w:lvlJc w:val="left"/>
      <w:lvlText w:val="%2."/>
      <w:numFmt w:val="lowerRoman"/>
      <w:start w:val="7"/>
    </w:lvl>
  </w:abstractNum>
  <w:abstractNum w:abstractNumId="88">
    <w:nsid w:val="5FB8011C"/>
    <w:multiLevelType w:val="hybridMultilevel"/>
    <w:lvl w:ilvl="0">
      <w:lvlJc w:val="left"/>
      <w:lvlText w:val="%1."/>
      <w:numFmt w:val="decimal"/>
      <w:start w:val="5"/>
    </w:lvl>
    <w:lvl w:ilvl="1">
      <w:lvlJc w:val="left"/>
      <w:lvlText w:val="%2"/>
      <w:numFmt w:val="lowerRoman"/>
      <w:start w:val="1"/>
    </w:lvl>
  </w:abstractNum>
  <w:abstractNum w:abstractNumId="89">
    <w:nsid w:val="6AA78F7F"/>
    <w:multiLevelType w:val="hybridMultilevel"/>
    <w:lvl w:ilvl="0">
      <w:lvlJc w:val="left"/>
      <w:lvlText w:val="%1."/>
      <w:numFmt w:val="decimal"/>
      <w:start w:val="6"/>
    </w:lvl>
    <w:lvl w:ilvl="1">
      <w:lvlJc w:val="left"/>
      <w:lvlText w:val="%2."/>
      <w:numFmt w:val="lowerRoman"/>
      <w:start w:val="10"/>
    </w:lvl>
    <w:lvl w:ilvl="2">
      <w:lvlJc w:val="left"/>
      <w:lvlText w:val="(%3)"/>
      <w:numFmt w:val="lowerLetter"/>
      <w:start w:val="1"/>
    </w:lvl>
  </w:abstractNum>
  <w:abstractNum w:abstractNumId="90">
    <w:nsid w:val="7672BD23"/>
    <w:multiLevelType w:val="hybridMultilevel"/>
    <w:lvl w:ilvl="0">
      <w:lvlJc w:val="left"/>
      <w:lvlText w:val="%1."/>
      <w:numFmt w:val="decimal"/>
      <w:start w:val="7"/>
    </w:lvl>
  </w:abstractNum>
  <w:abstractNum w:abstractNumId="91">
    <w:nsid w:val="6FC75AF8"/>
    <w:multiLevelType w:val="hybridMultilevel"/>
    <w:lvl w:ilvl="0">
      <w:lvlJc w:val="left"/>
      <w:lvlText w:val="%1."/>
      <w:numFmt w:val="decimal"/>
      <w:start w:val="13"/>
    </w:lvl>
  </w:abstractNum>
  <w:abstractNum w:abstractNumId="92">
    <w:nsid w:val="6A5F7029"/>
    <w:multiLevelType w:val="hybridMultilevel"/>
    <w:lvl w:ilvl="0">
      <w:lvlJc w:val="left"/>
      <w:lvlText w:val="%1."/>
      <w:numFmt w:val="decimal"/>
      <w:start w:val="15"/>
    </w:lvl>
  </w:abstractNum>
  <w:abstractNum w:abstractNumId="93">
    <w:nsid w:val="7D5E18F8"/>
    <w:multiLevelType w:val="hybridMultilevel"/>
    <w:lvl w:ilvl="0">
      <w:lvlJc w:val="left"/>
      <w:lvlText w:val="%1."/>
      <w:numFmt w:val="decimal"/>
      <w:start w:val="16"/>
    </w:lvl>
  </w:abstractNum>
  <w:abstractNum w:abstractNumId="94">
    <w:nsid w:val="5F3534A4"/>
    <w:multiLevelType w:val="hybridMultilevel"/>
    <w:lvl w:ilvl="0">
      <w:lvlJc w:val="left"/>
      <w:lvlText w:val="%1."/>
      <w:numFmt w:val="lowerRoman"/>
      <w:start w:val="13"/>
    </w:lvl>
  </w:abstractNum>
  <w:abstractNum w:abstractNumId="95">
    <w:nsid w:val="73A1821B"/>
    <w:multiLevelType w:val="hybridMultilevel"/>
    <w:lvl w:ilvl="0">
      <w:lvlJc w:val="left"/>
      <w:lvlText w:val="%1."/>
      <w:numFmt w:val="lowerRoman"/>
      <w:start w:val="14"/>
    </w:lvl>
    <w:lvl w:ilvl="1">
      <w:lvlJc w:val="left"/>
      <w:lvlText w:val="%2."/>
      <w:numFmt w:val="decimal"/>
      <w:start w:val="20"/>
    </w:lvl>
  </w:abstractNum>
  <w:abstractNum w:abstractNumId="96">
    <w:nsid w:val="7DE67713"/>
    <w:multiLevelType w:val="hybridMultilevel"/>
    <w:lvl w:ilvl="0">
      <w:lvlJc w:val="left"/>
      <w:lvlText w:val="%1."/>
      <w:numFmt w:val="decimal"/>
      <w:start w:val="21"/>
    </w:lvl>
  </w:abstractNum>
  <w:abstractNum w:abstractNumId="97">
    <w:nsid w:val="555C55B5"/>
    <w:multiLevelType w:val="hybridMultilevel"/>
    <w:lvl w:ilvl="0">
      <w:lvlJc w:val="left"/>
      <w:lvlText w:val="%1."/>
      <w:numFmt w:val="decimal"/>
      <w:start w:val="1"/>
    </w:lvl>
    <w:lvl w:ilvl="1">
      <w:lvlJc w:val="left"/>
      <w:lvlText w:val="%2."/>
      <w:numFmt w:val="lowerLetter"/>
      <w:start w:val="1"/>
    </w:lvl>
  </w:abstractNum>
  <w:abstractNum w:abstractNumId="98">
    <w:nsid w:val="3FA62ACA"/>
    <w:multiLevelType w:val="hybridMultilevel"/>
    <w:lvl w:ilvl="0">
      <w:lvlJc w:val="left"/>
      <w:lvlText w:val="%1."/>
      <w:numFmt w:val="decimal"/>
      <w:start w:val="3"/>
    </w:lvl>
    <w:lvl w:ilvl="1">
      <w:lvlJc w:val="left"/>
      <w:lvlText w:val="-"/>
      <w:numFmt w:val="bullet"/>
      <w:start w:val="1"/>
    </w:lvl>
    <w:lvl w:ilvl="2">
      <w:lvlJc w:val="left"/>
      <w:lvlText w:val="%3."/>
      <w:numFmt w:val="lowerLetter"/>
      <w:start w:val="1"/>
    </w:lvl>
  </w:abstractNum>
  <w:abstractNum w:abstractNumId="99">
    <w:nsid w:val="14FCE74E"/>
    <w:multiLevelType w:val="hybridMultilevel"/>
    <w:lvl w:ilvl="0">
      <w:lvlJc w:val="left"/>
      <w:lvlText w:val="%1."/>
      <w:numFmt w:val="decimal"/>
      <w:start w:val="5"/>
    </w:lvl>
    <w:lvl w:ilvl="1">
      <w:lvlJc w:val="left"/>
      <w:lvlText w:val="-"/>
      <w:numFmt w:val="bullet"/>
      <w:start w:val="1"/>
    </w:lvl>
    <w:lvl w:ilvl="2">
      <w:lvlJc w:val="left"/>
      <w:lvlText w:val="%3."/>
      <w:numFmt w:val="lowerLetter"/>
      <w:start w:val="1"/>
    </w:lvl>
  </w:abstractNum>
  <w:abstractNum w:abstractNumId="100">
    <w:nsid w:val="6A3DD3E8"/>
    <w:multiLevelType w:val="hybridMultilevel"/>
    <w:lvl w:ilvl="0">
      <w:lvlJc w:val="left"/>
      <w:lvlText w:val="%1"/>
      <w:numFmt w:val="decimal"/>
      <w:start w:val="1"/>
    </w:lvl>
    <w:lvl w:ilvl="1">
      <w:lvlJc w:val="left"/>
      <w:lvlText w:val="%2."/>
      <w:numFmt w:val="lowerRoman"/>
      <w:start w:val="1"/>
    </w:lvl>
    <w:lvl w:ilvl="2">
      <w:lvlJc w:val="left"/>
      <w:lvlText w:val="-"/>
      <w:numFmt w:val="bullet"/>
      <w:start w:val="1"/>
    </w:lvl>
  </w:abstractNum>
  <w:abstractNum w:abstractNumId="101">
    <w:nsid w:val="71C91298"/>
    <w:multiLevelType w:val="hybridMultilevel"/>
    <w:lvl w:ilvl="0">
      <w:lvlJc w:val="left"/>
      <w:lvlText w:val="%1."/>
      <w:numFmt w:val="decimal"/>
      <w:start w:val="10"/>
    </w:lvl>
    <w:lvl w:ilvl="1">
      <w:lvlJc w:val="left"/>
      <w:lvlText w:val="%2"/>
      <w:numFmt w:val="lowerRoman"/>
      <w:start w:val="1"/>
    </w:lvl>
    <w:lvl w:ilvl="2">
      <w:lvlJc w:val="left"/>
      <w:lvlText w:val="-"/>
      <w:numFmt w:val="bullet"/>
      <w:start w:val="1"/>
    </w:lvl>
  </w:abstractNum>
  <w:abstractNum w:abstractNumId="102">
    <w:nsid w:val="9DAF632"/>
    <w:multiLevelType w:val="hybridMultilevel"/>
    <w:lvl w:ilvl="0">
      <w:lvlJc w:val="left"/>
      <w:lvlText w:val="%1."/>
      <w:numFmt w:val="decimal"/>
      <w:start w:val="15"/>
    </w:lvl>
  </w:abstractNum>
  <w:abstractNum w:abstractNumId="103">
    <w:nsid w:val="53299938"/>
    <w:multiLevelType w:val="hybridMultilevel"/>
    <w:lvl w:ilvl="0">
      <w:lvlJc w:val="left"/>
      <w:lvlText w:val="%1."/>
      <w:numFmt w:val="decimal"/>
      <w:start w:val="1"/>
    </w:lvl>
    <w:lvl w:ilvl="1">
      <w:lvlJc w:val="left"/>
      <w:lvlText w:val="(%2)"/>
      <w:numFmt w:val="lowerLetter"/>
      <w:start w:val="1"/>
    </w:lvl>
  </w:abstractNum>
  <w:abstractNum w:abstractNumId="104">
    <w:nsid w:val="1FBFE8E0"/>
    <w:multiLevelType w:val="hybridMultilevel"/>
    <w:lvl w:ilvl="0">
      <w:lvlJc w:val="left"/>
      <w:lvlText w:val="%1."/>
      <w:numFmt w:val="decimal"/>
      <w:start w:val="1"/>
    </w:lvl>
    <w:lvl w:ilvl="1">
      <w:lvlJc w:val="left"/>
      <w:lvlText w:val="(%2)"/>
      <w:numFmt w:val="lowerLetter"/>
      <w:start w:val="1"/>
    </w:lvl>
  </w:abstractNum>
  <w:abstractNum w:abstractNumId="105">
    <w:nsid w:val="5092CA79"/>
    <w:multiLevelType w:val="hybridMultilevel"/>
    <w:lvl w:ilvl="0">
      <w:lvlJc w:val="left"/>
      <w:lvlText w:val="(%1)"/>
      <w:numFmt w:val="decimal"/>
      <w:start w:val="1"/>
    </w:lvl>
  </w:abstractNum>
  <w:abstractNum w:abstractNumId="106">
    <w:nsid w:val="1D545C4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93" Type="http://schemas.openxmlformats.org/officeDocument/2006/relationships/image" Target="media/image81.png"/><Relationship Id="rId94" Type="http://schemas.openxmlformats.org/officeDocument/2006/relationships/image" Target="media/image82.png"/><Relationship Id="rId95" Type="http://schemas.openxmlformats.org/officeDocument/2006/relationships/image" Target="media/image83.png"/><Relationship Id="rId96" Type="http://schemas.openxmlformats.org/officeDocument/2006/relationships/image" Target="media/image84.png"/><Relationship Id="rId97" Type="http://schemas.openxmlformats.org/officeDocument/2006/relationships/image" Target="media/image85.png"/><Relationship Id="rId98" Type="http://schemas.openxmlformats.org/officeDocument/2006/relationships/image" Target="media/image86.png"/><Relationship Id="rId99" Type="http://schemas.openxmlformats.org/officeDocument/2006/relationships/image" Target="media/image87.png"/><Relationship Id="rId100" Type="http://schemas.openxmlformats.org/officeDocument/2006/relationships/image" Target="media/image88.png"/><Relationship Id="rId101" Type="http://schemas.openxmlformats.org/officeDocument/2006/relationships/image" Target="media/image89.png"/><Relationship Id="rId102" Type="http://schemas.openxmlformats.org/officeDocument/2006/relationships/image" Target="media/image90.png"/><Relationship Id="rId103" Type="http://schemas.openxmlformats.org/officeDocument/2006/relationships/image" Target="media/image91.png"/><Relationship Id="rId104" Type="http://schemas.openxmlformats.org/officeDocument/2006/relationships/image" Target="media/image92.png"/><Relationship Id="rId105" Type="http://schemas.openxmlformats.org/officeDocument/2006/relationships/image" Target="media/image93.png"/><Relationship Id="rId106" Type="http://schemas.openxmlformats.org/officeDocument/2006/relationships/image" Target="media/image94.png"/><Relationship Id="rId88" Type="http://schemas.openxmlformats.org/officeDocument/2006/relationships/hyperlink" Target="http://www.sec.gov/Archives/edgar/data/1509470/000113379611000069/k216228_ex99-2a.htm" TargetMode="External"/><Relationship Id="rId89" Type="http://schemas.openxmlformats.org/officeDocument/2006/relationships/hyperlink" Target="http://www.sec.gov/Archives/edgar/data/1509470/000114420411033389/v224342_ex3-1.htm" TargetMode="External"/><Relationship Id="rId90" Type="http://schemas.openxmlformats.org/officeDocument/2006/relationships/hyperlink" Target="http://www.sec.gov/Archives/edgar/data/1509470/000114420419037014/tv526412_ex3-1.htm" TargetMode="External"/><Relationship Id="rId91" Type="http://schemas.openxmlformats.org/officeDocument/2006/relationships/hyperlink" Target="http://www.sec.gov/Archives/edgar/data/1509470/000110465920073783/tm2022743d1_ex3-1.htm" TargetMode="External"/><Relationship Id="rId92" Type="http://schemas.openxmlformats.org/officeDocument/2006/relationships/hyperlink" Target="http://www.sec.gov/Archives/edgar/data/1509470/000114420419037014/tv526412_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2021-05-06T15:50:37Z</dcterms:created>
  <dcterms:modified xsi:type="dcterms:W3CDTF">2021-05-06T15:50:37Z</dcterms:modified>
</cp:coreProperties>
</file>